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Medication prescription (model)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BeModelMedicationPrescription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Medication prescription (model)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https://www.ehealth.fgov.be/standards/fhir/medication/StructureDefinition/BeModelMedicationPrescription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Logical model for medication prescription (or some other form of order)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519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MedicationPrescription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9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65440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MedicationPrescrip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44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1..*</w:t>
            </w:r>
          </w:p>
        </w:tc>
        <w:tc>
          <w:tcPr>
            <w:tcW w:type="dxa" w:w="1728"/>
          </w:tcPr>
          <w:p>
            <w:r>
              <w:t>Extension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Business identifier(s) for the prescription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Time of authoring the prescription/draft in the information system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basedOnMedicationLine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Reference(BeModelMedicationLine)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Link to the Medication Line from which this request is based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person for whom the medication is prescribed/ordered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BeMedicationPrescriptionStatusVS</w:t>
            </w:r>
          </w:p>
        </w:tc>
        <w:tc>
          <w:tcPr>
            <w:tcW w:type="dxa" w:w="1728"/>
          </w:tcPr>
          <w:p>
            <w:r>
              <w:t>Status of the prescription, this should not be status of treatment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statusReason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Reason for the current status of prescription, for example the reason why the prescription was made invalid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statusChanged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and time when the status of the prescription was changed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medication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Reference(BeModelMedication)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Prescribed product, branded, generic, virtual, extemporaneous, etc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prescriber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Reference(Practitioner | PractitionerRole)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person who made the prescription, and who takes the responsibility of the treatment</w:t>
            </w:r>
          </w:p>
          <w:p>
            <w:r>
              <w:rPr>
                <w:sz w:val="16"/>
              </w:rPr>
              <w:t>Question: would we want to add basic Practicioner model?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organization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Reference(be-organization)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organization from which the prescriber issues the prescription.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indication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Reason for the prescription (typically diagnosis, or a procedure)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reference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Reason for the prescription (typically diagnosis, or a procedure)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Reason or text for the prescription (typically diagnosis, or a procedure)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dosage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BeModelDosagingInformation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Dosaging and administration instructions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offLabel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Off-Label / Dosage Override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value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Primitive value for boolean</w:t>
            </w:r>
          </w:p>
          <w:p>
            <w:r>
              <w:rPr>
                <w:sz w:val="16"/>
              </w:rPr>
              <w:t>The actual value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isOffLabelUse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Off-Label / Dosage Override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reason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Dosage Override reason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substitution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Whether substitution is allowed, and reason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substitutionAllowed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Substitution of the product is allowed.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instructionForReimbursement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BeMedicationRequestReimbursementTypeVS</w:t>
            </w:r>
          </w:p>
        </w:tc>
        <w:tc>
          <w:tcPr>
            <w:tcW w:type="dxa" w:w="1728"/>
          </w:tcPr>
          <w:p>
            <w:r>
              <w:t>Instructions for reimbursement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validFrom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Effective date of the prescription. The prescription is not dispensable before this date. In most cases this information repeats issueDate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validUntil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validity period end date. The prescription is not dispensable after this date.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dispenseRequest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Dispense Request or authorization for the prescribed medication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dispenseInterval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Minimum period of time between dispenses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quantityPerDispense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Amount of medication to supply per dispense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note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Additional information or comments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