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BeModelPatient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BeModelPatient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BeModelPatient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https://www.ehealth.fgov.be/standards/fhir/core/StructureDefinition/BeModelPatient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2.2.0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Data about a patient, according to the [National Register of Persons (Ministry of the Interior)](https://www.ibz.rrn.fgov.be/fileadmin/user_upload/nl/rr/bestand-rr/bestand-RR.pdf), and possibly other sources to be mentioned when used.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1057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Patient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7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7470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Pati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70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names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Names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usage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Usage context of the name (e.g. NR 11, if the name is used as a pseudonym)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familyname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Surname (NR 10)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firstnames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Given names (NR 10)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title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Title of nobility (NR 12)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Period of validity of the name (e.g. NR 13 Change of name, first names and title of nobility)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birth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Birth data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address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Address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Place of birth (NR 100 or NR 101)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birth (NR 100 or NR 101)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gender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Gender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administrative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Gender (integrated in the identification no.: 000)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atbirth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Gender at birth, accounts for gender changes and errors (NR 2 and NR 4)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social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Gender the person identifies with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nationality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Current nationality (and dual nationality) (NR 31, NR 32)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residence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Address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Main and other residences (NR 1, 3, 5, 18, 19, 20,22, 23, 24, 26, 27). NR 252 will be covered by other privacy rules.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death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and state of death (place of death is not clinically relevant, and we only care about factual death, not absence (NR 151) or administrative/judicial death (NR 150))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death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deceased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is deceased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maritalstatus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Marital Status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