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BeModelAnnex81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BeModelAnnex81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BeModelAnnex81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https://www.ehealth.fgov.be/standards/fhir/drp/StructureDefinition/BeModelAnnex81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describing the model for the Annex81 proposal and approval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2956847" cy="7498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nnex81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56847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58162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Annex8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16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identifier of the Annex81 proposal / approval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shortCode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Business short identifier allowing the healthcare professional to find a prescription associated with a patient</w:t>
            </w:r>
          </w:p>
          <w:p>
            <w:r>
              <w:rPr>
                <w:sz w:val="16"/>
              </w:rPr>
              <w:t>'Business' code allowing the healthcare professional to find a prescription associated with a patient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recordedDate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Date of encoding of the information by the Recorder.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creationDate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Creation date of the referral prescription. This date will not change throughout the process. This date corresponds to the first recordedDate recorded for this referral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author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person who encodes the prescription (e.g. a doctor, nurse, midwife or dentist) and takes responsibility for their content. The unique identifier must be the National Register Number (NISS) or bis number.</w:t>
            </w:r>
          </w:p>
          <w:p>
            <w:r>
              <w:rPr>
                <w:sz w:val="16"/>
              </w:rPr>
              <w:t>Is the unique identifier of the person who encodes the prescription (e.g. a doctor, nurse, midwife or dentist) and takes responsibility for their content. The unique identifier must be the National Register Number (NISS) or bis number.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Is the status of the referral prescription (e.g. planned, complete, stopped, suspended, in progress, ….)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Gives the reason for the status of the referral prescription (treatment has been changed, patient is allergic, patient refuses, …)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careRequested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Type of care requested (list of acts that each profession can do (not nomenclature code)) (snomed-ct code (procedure))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patient's identification. The unique identifier must be the National Patient Registry Number (NISS) or the patient bis</w:t>
            </w:r>
          </w:p>
          <w:p>
            <w:r>
              <w:rPr>
                <w:sz w:val="16"/>
              </w:rPr>
              <w:t>Is the patient's unique identifier. The unique identifier must be the National Patient Registry Number (NISS) or the patient bis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originRequestId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original prescription on which the prescription is based (prescriptionId), care plan, follow-up path, ….  referenceId. Reference to the CarePlan that addresses this prescription.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validationStartDate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the prescription validity (encoded by the prescriber).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validationEndDate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the prescription validity (encoded by the prescriber)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problem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request. The problem (code or reference) that is the main reason for this prescription (example: problem justifying the patient's inability to manage his medications).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feedbackNeeded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boolean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Boolean - true if the prescriber requests feedback. If he wants to add other care providers, this will be mentioned in free text in the note. Here by default "True"</w:t>
            </w:r>
          </w:p>
          <w:p>
            <w:r>
              <w:rPr>
                <w:sz w:val="16"/>
              </w:rPr>
              <w:t>Boolean – true if the prescriber requests feedback. If he wants to add other care providers, this will be mentioned in free text in the note. Here by default "True"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