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BodySite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BeModelBodySite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BodySite Model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Canonical URL</w:t>
            </w:r>
          </w:p>
        </w:tc>
        <w:tc>
          <w:tcPr>
            <w:tcW w:type="dxa" w:w="4320"/>
          </w:tcPr>
          <w:p>
            <w:r>
              <w:t>https://www.ehealth.fgov.be/standards/fhir/core-clinical/StructureDefinition/BeModelBodySite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Parent model</w:t>
            </w:r>
          </w:p>
        </w:tc>
        <w:tc>
          <w:tcPr>
            <w:tcW w:type="dxa" w:w="4320"/>
          </w:tcPr>
          <w:p>
            <w:r>
              <w:t>Base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4320"/>
          </w:tcPr>
          <w:p>
            <w:r>
              <w:t>eHealth Platform</w:t>
            </w:r>
          </w:p>
        </w:tc>
      </w:tr>
    </w:tbl>
    <w:p/>
    <w:p>
      <w:r>
        <w:t>Body site model</w:t>
      </w:r>
    </w:p>
    <w:p>
      <w:pPr>
        <w:pStyle w:val="Heading1"/>
      </w:pPr>
      <w:r>
        <w:t>Diagram</w:t>
      </w:r>
    </w:p>
    <w:p>
      <w:r>
        <w:drawing>
          <wp:inline xmlns:a="http://schemas.openxmlformats.org/drawingml/2006/main" xmlns:pic="http://schemas.openxmlformats.org/drawingml/2006/picture">
            <wp:extent cx="5760720" cy="2153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ModelBodySi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53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Elements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Card.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 set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bodyLocation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Code that identifies the anatomical location of the specimen on the subject's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bodyLaterality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laterality of a body site - the side of the body</w:t>
            </w:r>
          </w:p>
        </w:tc>
      </w:tr>
      <w:tr>
        <w:tc>
          <w:tcPr>
            <w:tcW w:type="dxa" w:w="1728"/>
          </w:tcPr>
          <w:p>
            <w:pPr>
              <w:ind w:left="0"/>
            </w:pPr>
            <w:r>
              <w:rPr>
                <w:b w:val="0"/>
                <w:i w:val="0"/>
              </w:rPr>
              <w:t>bodyTopography</w:t>
            </w:r>
          </w:p>
        </w:tc>
        <w:tc>
          <w:tcPr>
            <w:tcW w:type="dxa" w:w="1728"/>
          </w:tcPr>
          <w:p>
            <w:r>
              <w:t>0..1</w:t>
            </w:r>
          </w:p>
        </w:tc>
        <w:tc>
          <w:tcPr>
            <w:tcW w:type="dxa" w:w="1728"/>
          </w:tcPr>
          <w:p>
            <w:r>
              <w:t>CodeableConcept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The topography of the location of the specimen on the subject's body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