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BeModelOrganisationClaim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Information of a claim of an organisation to have the prescription fulfilled.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222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OrganisationClai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</w:t>
            </w:r>
          </w:p>
          <w:p>
            <w:r>
              <w:rPr>
                <w:sz w:val="16"/>
              </w:rPr>
              <w:t>Business Identifier.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Defaults to 'Order'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treatmentStatusId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Reference(BeModelTreatmentStatus)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TreatmentStatus related to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focus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Reference(BeModelReferralPrescription)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what the task acts 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organization that will assign the providers to the prescription.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