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https://www.ehealth.fgov.be/standards/fhir/core/StructureDefinition/BeModelPatient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about a patient, according to the [National Register of Persons (Ministry of the Interior)](https://www.ibz.rrn.fgov.be/fileadmin/user_upload/nl/rr/bestand-rr/bestand-RR.pdf), and possibly other sources to be mentioned when used.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7470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names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usage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Usage context of the name (e.g. NR 11, if the name is used as a pseudonym)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familyname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Surname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firstnames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Given names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 of nobility (NR 12)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of validity of the name (e.g. NR 13 Change of name, first names and title of nobility)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Birth data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address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Place of birth (NR 100 or NR 101)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birth (NR 100 or NR 101)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gender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administrative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(integrated in the identification no.: 000)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atbirth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at birth, accounts for gender changes and errors (NR 2 and NR 4)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social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the person identifies with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nationality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nationality (and dual nationality) (NR 31, NR 32)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residence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 and other residences (NR 1, 3, 5, 18, 19, 20,22, 23, 24, 26, 27). NR 252 will be covered by other privacy rules.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death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state of death (place of death is not clinically relevant, and we only care about factual death, not absence (NR 151) or administrative/judicial death (NR 150))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death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deceased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is deceased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maritalstatus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Marital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