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PSS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PSSResponse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PSS Response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https://www.ehealth.fgov.be/standards/fhir/pss/StructureDefinition/PSSResponse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Response containing the results from the PSS.</w:t>
      </w:r>
    </w:p>
    <w:p>
      <w:pPr>
        <w:pStyle w:val="Heading1"/>
      </w:pPr>
      <w:r>
        <w:t>Diagram</w:t>
      </w:r>
    </w:p>
    <w:p>
      <w:r>
        <w:drawing>
          <wp:inline xmlns:a="http://schemas.openxmlformats.org/drawingml/2006/main" xmlns:pic="http://schemas.openxmlformats.org/drawingml/2006/picture">
            <wp:extent cx="5760720" cy="37429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SSRespon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2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recordedDate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on which the information was recorded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pssID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Identifier of the exchange session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indication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Condition that triggered the PSS response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Status of the response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treatmentOptions</w:t>
            </w:r>
          </w:p>
        </w:tc>
        <w:tc>
          <w:tcPr>
            <w:tcW w:type="dxa" w:w="1728"/>
          </w:tcPr>
          <w:p>
            <w:r>
              <w:t>1..*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List of search results provided by PSS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identifier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Identifier of the result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instruction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Code of the examination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scoreRating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Code (e.g. color code) associated with the score (Red, Orange, Green)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radiationExposure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Radiation exposure associated with the response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evidenceSource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Reference(ResearchStudy)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Link to a source (study, publication, etc.) for the PSS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