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D65" w:rsidRPr="00A45B9D" w:rsidRDefault="002D2365" w:rsidP="00A45B9D">
      <w:pPr>
        <w:autoSpaceDE w:val="0"/>
        <w:autoSpaceDN w:val="0"/>
        <w:adjustRightInd w:val="0"/>
        <w:rPr>
          <w:rFonts w:ascii="CMR10" w:hAnsi="CMR10" w:cs="CMR10"/>
        </w:rPr>
      </w:pPr>
      <w:r w:rsidRPr="00A45B9D">
        <w:rPr>
          <w:rFonts w:ascii="CMR10" w:hAnsi="CMR10" w:cs="CMR10"/>
        </w:rPr>
        <w:t xml:space="preserve"> </w:t>
      </w:r>
      <w:r w:rsidR="000114FC" w:rsidRPr="00A45B9D">
        <w:rPr>
          <w:rFonts w:ascii="CMR10" w:hAnsi="CMR10" w:cs="CMR10"/>
        </w:rPr>
        <w:t>“</w:t>
      </w:r>
      <w:r w:rsidR="00BD3CC8" w:rsidRPr="00A45B9D">
        <w:rPr>
          <w:rFonts w:ascii="CMR10" w:hAnsi="CMR10" w:cs="CMR10"/>
        </w:rPr>
        <w:t>[</w:t>
      </w:r>
      <w:r w:rsidR="000114FC" w:rsidRPr="00A45B9D">
        <w:rPr>
          <w:rFonts w:ascii="CMR10" w:hAnsi="CMR10" w:cs="CMR10"/>
        </w:rPr>
        <w:t>S</w:t>
      </w:r>
      <w:r w:rsidR="00A61D65" w:rsidRPr="00A45B9D">
        <w:rPr>
          <w:rFonts w:ascii="CMR10" w:hAnsi="CMR10" w:cs="CMR10"/>
        </w:rPr>
        <w:t>oftware testing</w:t>
      </w:r>
      <w:r w:rsidR="00BD3CC8" w:rsidRPr="00A45B9D">
        <w:rPr>
          <w:rFonts w:ascii="CMR10" w:hAnsi="CMR10" w:cs="CMR10"/>
        </w:rPr>
        <w:t>]</w:t>
      </w:r>
      <w:r w:rsidR="00A61D65" w:rsidRPr="00A45B9D">
        <w:rPr>
          <w:rFonts w:ascii="CMR10" w:hAnsi="CMR10" w:cs="CMR10"/>
        </w:rPr>
        <w:t xml:space="preserve"> is not usually a significant part of the CS curriculum in universities, and it is unclear whether this deficiency is ever addressed successfully </w:t>
      </w:r>
      <w:r w:rsidR="000114FC" w:rsidRPr="00A45B9D">
        <w:rPr>
          <w:rFonts w:ascii="CMR10" w:hAnsi="CMR10" w:cs="CMR10"/>
        </w:rPr>
        <w:t>in organisations.</w:t>
      </w:r>
      <w:r w:rsidR="00BD3CC8" w:rsidRPr="00A45B9D">
        <w:rPr>
          <w:rFonts w:ascii="CMR10" w:hAnsi="CMR10" w:cs="CMR10"/>
        </w:rPr>
        <w:t>”</w:t>
      </w:r>
      <w:r w:rsidR="000114FC" w:rsidRPr="00A45B9D">
        <w:rPr>
          <w:rFonts w:ascii="CMR10" w:hAnsi="CMR10" w:cs="CMR10"/>
        </w:rPr>
        <w:t xml:space="preserve"> </w:t>
      </w:r>
      <w:r w:rsidR="00F86E1F" w:rsidRPr="00B77894">
        <w:rPr>
          <w:rFonts w:ascii="CMR10" w:hAnsi="CMR10" w:cs="CMR10"/>
          <w:i/>
        </w:rPr>
        <w:t>– L. Hatton</w:t>
      </w:r>
      <w:r w:rsidR="00F86E1F">
        <w:rPr>
          <w:rFonts w:ascii="CMR10" w:hAnsi="CMR10" w:cs="CMR10"/>
        </w:rPr>
        <w:t xml:space="preserve"> </w:t>
      </w:r>
      <w:r w:rsidR="00A61D65" w:rsidRPr="00A45B9D">
        <w:rPr>
          <w:rFonts w:ascii="CMR10" w:hAnsi="CMR10" w:cs="CMR10"/>
        </w:rPr>
        <w:fldChar w:fldCharType="begin" w:fldLock="1"/>
      </w:r>
      <w:r w:rsidR="00A61D65" w:rsidRPr="00A45B9D">
        <w:rPr>
          <w:rFonts w:ascii="CMR10" w:hAnsi="CMR10" w:cs="CMR10"/>
        </w:rPr>
        <w:instrText>ADDIN CSL_CITATION { "citationItems" : [ { "id" : "ITEM-1", "itemData" : { "DOI" : "10.1007/978-3-642-32677-6_8", "ISBN" : "978-3-642-32676-9", "author" : [ { "dropping-particle" : "", "family" : "Hatton", "given" : "Les", "non-dropping-particle" : "", "parse-names" : false, "suffix" : "" } ], "container-title" : "Uncertainty Quantification in Scientific Computing SE  - 8", "editor" : [ { "dropping-particle" : "", "family" : "Dienstfrey", "given" : "AndrewM.", "non-dropping-particle" : "", "parse-names" : false, "suffix" : "" }, { "dropping-particle" : "", "family" : "Boisvert", "given" : "RonaldF.", "non-dropping-particle" : "", "parse-names" : false, "suffix" : "" } ], "id" : "ITEM-1", "issued" : { "date-parts" : [ [ "2012" ] ] }, "page" : "123-138", "publisher" : "Springer Berlin Heidelberg", "title" : "Defects, Scientific Computation and the Scientific Method", "type" : "chapter", "volume" : "377" }, "uris" : [ "http://www.mendeley.com/documents/?uuid=55d83929-d472-47a0-b919-df29700910d3" ] } ], "mendeley" : { "previouslyFormattedCitation" : "[3]" }, "properties" : { "noteIndex" : 0 }, "schema" : "https://github.com/citation-style-language/schema/raw/master/csl-citation.json" }</w:instrText>
      </w:r>
      <w:r w:rsidR="00A61D65" w:rsidRPr="00A45B9D">
        <w:rPr>
          <w:rFonts w:ascii="CMR10" w:hAnsi="CMR10" w:cs="CMR10"/>
        </w:rPr>
        <w:fldChar w:fldCharType="separate"/>
      </w:r>
      <w:r w:rsidR="00A61D65" w:rsidRPr="00A45B9D">
        <w:rPr>
          <w:rFonts w:ascii="CMR10" w:hAnsi="CMR10" w:cs="CMR10"/>
          <w:noProof/>
        </w:rPr>
        <w:t>[3]</w:t>
      </w:r>
      <w:r w:rsidR="00A61D65" w:rsidRPr="00A45B9D">
        <w:rPr>
          <w:rFonts w:ascii="CMR10" w:hAnsi="CMR10" w:cs="CMR10"/>
        </w:rPr>
        <w:fldChar w:fldCharType="end"/>
      </w:r>
    </w:p>
    <w:p w:rsidR="00A45B9D" w:rsidRDefault="00A45B9D" w:rsidP="00241CD8">
      <w:pPr>
        <w:autoSpaceDE w:val="0"/>
        <w:autoSpaceDN w:val="0"/>
        <w:adjustRightInd w:val="0"/>
        <w:rPr>
          <w:rFonts w:ascii="CMR10" w:hAnsi="CMR10" w:cs="CMR10"/>
        </w:rPr>
      </w:pPr>
    </w:p>
    <w:p w:rsidR="00DF79B6" w:rsidRDefault="0026607B" w:rsidP="00241CD8">
      <w:pPr>
        <w:autoSpaceDE w:val="0"/>
        <w:autoSpaceDN w:val="0"/>
        <w:adjustRightInd w:val="0"/>
        <w:rPr>
          <w:rFonts w:ascii="CMR10" w:hAnsi="CMR10" w:cs="CMR10"/>
        </w:rPr>
      </w:pPr>
      <w:r>
        <w:rPr>
          <w:rFonts w:ascii="CMR10" w:hAnsi="CMR10" w:cs="CMR10"/>
        </w:rPr>
        <w:t>In order to strike a balance between understanding the effectiveness of a pricing strategy or programming associated with a software development effort, metrics and analyses can be used, and there exist a number of tools to affect such measuring.</w:t>
      </w:r>
      <w:r w:rsidR="00952DFC">
        <w:rPr>
          <w:rFonts w:ascii="CMR10" w:hAnsi="CMR10" w:cs="CMR10"/>
        </w:rPr>
        <w:t xml:space="preserve">  This paper intends to provide a brief overview of the types of metrics that are available and to </w:t>
      </w:r>
      <w:r w:rsidR="005A38EA">
        <w:rPr>
          <w:rFonts w:ascii="CMR10" w:hAnsi="CMR10" w:cs="CMR10"/>
        </w:rPr>
        <w:t>provide some mathematical/graphy-theory based illustrations of the effecti</w:t>
      </w:r>
      <w:r w:rsidR="001E16EC">
        <w:rPr>
          <w:rFonts w:ascii="CMR10" w:hAnsi="CMR10" w:cs="CMR10"/>
        </w:rPr>
        <w:t>veness of the metrics available, as described:</w:t>
      </w:r>
    </w:p>
    <w:p w:rsidR="0060296B" w:rsidRDefault="0060296B" w:rsidP="00241CD8">
      <w:pPr>
        <w:autoSpaceDE w:val="0"/>
        <w:autoSpaceDN w:val="0"/>
        <w:adjustRightInd w:val="0"/>
        <w:rPr>
          <w:rFonts w:ascii="CMR10" w:hAnsi="CMR10" w:cs="CMR10"/>
        </w:rPr>
      </w:pPr>
    </w:p>
    <w:p w:rsidR="008F2A76" w:rsidRPr="003F7D07" w:rsidRDefault="0031588F" w:rsidP="00A45B9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10"/>
        <w:rPr>
          <w:rFonts w:ascii="CMR10" w:hAnsi="CMR10" w:cs="CMR10"/>
        </w:rPr>
      </w:pPr>
      <w:r w:rsidRPr="003F7D07">
        <w:rPr>
          <w:rFonts w:ascii="CMR10" w:hAnsi="CMR10" w:cs="CMR10"/>
        </w:rPr>
        <w:t>Per Leveson, m</w:t>
      </w:r>
      <w:r w:rsidR="008F2A76" w:rsidRPr="003F7D07">
        <w:rPr>
          <w:rFonts w:ascii="CMR10" w:hAnsi="CMR10" w:cs="CMR10"/>
        </w:rPr>
        <w:t xml:space="preserve">etrics </w:t>
      </w:r>
      <w:r w:rsidR="00A768A7" w:rsidRPr="003F7D07">
        <w:rPr>
          <w:rFonts w:ascii="CMR10" w:hAnsi="CMR10" w:cs="CMR10"/>
        </w:rPr>
        <w:t xml:space="preserve">for any given software project </w:t>
      </w:r>
      <w:r w:rsidR="008F2A76" w:rsidRPr="003F7D07">
        <w:rPr>
          <w:rFonts w:ascii="CMR10" w:hAnsi="CMR10" w:cs="CMR10"/>
        </w:rPr>
        <w:t xml:space="preserve">may </w:t>
      </w:r>
      <w:r w:rsidR="005E7B77">
        <w:rPr>
          <w:rFonts w:ascii="CMR10" w:hAnsi="CMR10" w:cs="CMR10"/>
        </w:rPr>
        <w:t xml:space="preserve">serve as </w:t>
      </w:r>
      <w:r w:rsidR="00997A96">
        <w:rPr>
          <w:rFonts w:ascii="CMR10" w:hAnsi="CMR10" w:cs="CMR10"/>
        </w:rPr>
        <w:t>a</w:t>
      </w:r>
      <w:r w:rsidR="00A768A7" w:rsidRPr="003F7D07">
        <w:rPr>
          <w:rFonts w:ascii="CMR10" w:hAnsi="CMR10" w:cs="CMR10"/>
        </w:rPr>
        <w:t xml:space="preserve"> measure</w:t>
      </w:r>
      <w:r w:rsidR="00997A96">
        <w:rPr>
          <w:rFonts w:ascii="CMR10" w:hAnsi="CMR10" w:cs="CMR10"/>
        </w:rPr>
        <w:t xml:space="preserve"> of</w:t>
      </w:r>
      <w:r w:rsidR="008F2A76" w:rsidRPr="003F7D07">
        <w:rPr>
          <w:rFonts w:ascii="CMR10" w:hAnsi="CMR10" w:cs="CMR10"/>
        </w:rPr>
        <w:t>:</w:t>
      </w:r>
    </w:p>
    <w:p w:rsidR="00351E59" w:rsidRPr="003F7D07" w:rsidRDefault="00351E59" w:rsidP="00A45B9D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900" w:hanging="540"/>
        <w:rPr>
          <w:rFonts w:ascii="CMR10" w:hAnsi="CMR10" w:cs="CMR10"/>
        </w:rPr>
      </w:pPr>
      <w:r w:rsidRPr="00940A07">
        <w:rPr>
          <w:rFonts w:ascii="CMR10" w:hAnsi="CMR10" w:cs="CMR10"/>
          <w:b/>
        </w:rPr>
        <w:t>Reliability</w:t>
      </w:r>
      <w:r>
        <w:rPr>
          <w:rFonts w:ascii="CMR10" w:hAnsi="CMR10" w:cs="CMR10"/>
        </w:rPr>
        <w:t>:</w:t>
      </w:r>
      <w:r w:rsidR="003F7D07">
        <w:rPr>
          <w:rFonts w:ascii="CMR10" w:hAnsi="CMR10" w:cs="CMR10"/>
        </w:rPr>
        <w:t xml:space="preserve"> a</w:t>
      </w:r>
      <w:r w:rsidRPr="003F7D07">
        <w:rPr>
          <w:rFonts w:ascii="CMR10" w:hAnsi="CMR10" w:cs="CMR10"/>
        </w:rPr>
        <w:t>s computed by SCA or Dynamic Analysis to determine:</w:t>
      </w:r>
    </w:p>
    <w:p w:rsidR="008F2A76" w:rsidRDefault="00731F86" w:rsidP="00A45B9D">
      <w:pPr>
        <w:pStyle w:val="ListParagraph"/>
        <w:autoSpaceDE w:val="0"/>
        <w:autoSpaceDN w:val="0"/>
        <w:adjustRightInd w:val="0"/>
        <w:ind w:left="900"/>
        <w:rPr>
          <w:rFonts w:ascii="CMR10" w:hAnsi="CMR10" w:cs="CMR10"/>
        </w:rPr>
      </w:pPr>
      <w:r>
        <w:rPr>
          <w:rFonts w:ascii="CMR10" w:hAnsi="CMR10" w:cs="CMR10"/>
        </w:rPr>
        <w:t>-</w:t>
      </w:r>
      <w:r w:rsidR="00555C83">
        <w:rPr>
          <w:rFonts w:ascii="CMR10" w:hAnsi="CMR10" w:cs="CMR10"/>
        </w:rPr>
        <w:t xml:space="preserve"> </w:t>
      </w:r>
      <w:r w:rsidR="00351E59">
        <w:rPr>
          <w:rFonts w:ascii="CMR10" w:hAnsi="CMR10" w:cs="CMR10"/>
        </w:rPr>
        <w:t>Bugginess</w:t>
      </w:r>
      <w:r w:rsidR="00714BFA">
        <w:rPr>
          <w:rFonts w:ascii="CMR10" w:hAnsi="CMR10" w:cs="CMR10"/>
        </w:rPr>
        <w:t xml:space="preserve"> - </w:t>
      </w:r>
      <w:r w:rsidR="008F2A76">
        <w:rPr>
          <w:rFonts w:ascii="CMR10" w:hAnsi="CMR10" w:cs="CMR10"/>
        </w:rPr>
        <w:t># bugs left in code (defect density</w:t>
      </w:r>
      <w:r w:rsidR="002C646A">
        <w:rPr>
          <w:rFonts w:ascii="CMR10" w:hAnsi="CMR10" w:cs="CMR10"/>
        </w:rPr>
        <w:t xml:space="preserve"> – via static or dynamic analysis</w:t>
      </w:r>
      <w:r w:rsidR="008F2A76">
        <w:rPr>
          <w:rFonts w:ascii="CMR10" w:hAnsi="CMR10" w:cs="CMR10"/>
        </w:rPr>
        <w:t>)</w:t>
      </w:r>
    </w:p>
    <w:p w:rsidR="008F2A76" w:rsidRDefault="00731F86" w:rsidP="00A45B9D">
      <w:pPr>
        <w:pStyle w:val="ListParagraph"/>
        <w:autoSpaceDE w:val="0"/>
        <w:autoSpaceDN w:val="0"/>
        <w:adjustRightInd w:val="0"/>
        <w:ind w:left="900"/>
        <w:rPr>
          <w:rFonts w:ascii="CMR10" w:hAnsi="CMR10" w:cs="CMR10"/>
        </w:rPr>
      </w:pPr>
      <w:r>
        <w:rPr>
          <w:rFonts w:ascii="CMR10" w:hAnsi="CMR10" w:cs="CMR10"/>
        </w:rPr>
        <w:t>-</w:t>
      </w:r>
      <w:r w:rsidR="00555C83">
        <w:rPr>
          <w:rFonts w:ascii="CMR10" w:hAnsi="CMR10" w:cs="CMR10"/>
        </w:rPr>
        <w:t xml:space="preserve"> </w:t>
      </w:r>
      <w:r w:rsidR="007B6654">
        <w:rPr>
          <w:rFonts w:ascii="CMR10" w:hAnsi="CMR10" w:cs="CMR10"/>
        </w:rPr>
        <w:t>Futu</w:t>
      </w:r>
      <w:r w:rsidR="005D6C82">
        <w:rPr>
          <w:rFonts w:ascii="CMR10" w:hAnsi="CMR10" w:cs="CMR10"/>
        </w:rPr>
        <w:t xml:space="preserve">re failure times(MTBF)/ </w:t>
      </w:r>
      <w:r w:rsidR="002361D8">
        <w:rPr>
          <w:rFonts w:ascii="CMR10" w:hAnsi="CMR10" w:cs="CMR10"/>
        </w:rPr>
        <w:t>operational reliability</w:t>
      </w:r>
      <w:r w:rsidR="00310EF7">
        <w:rPr>
          <w:rFonts w:ascii="CMR10" w:hAnsi="CMR10" w:cs="CMR10"/>
        </w:rPr>
        <w:t xml:space="preserve"> –</w:t>
      </w:r>
      <w:r w:rsidR="00502FC5">
        <w:rPr>
          <w:rFonts w:ascii="CMR10" w:hAnsi="CMR10" w:cs="CMR10"/>
        </w:rPr>
        <w:t xml:space="preserve"> (</w:t>
      </w:r>
      <w:r w:rsidR="00351E59">
        <w:rPr>
          <w:rFonts w:ascii="CMR10" w:hAnsi="CMR10" w:cs="CMR10"/>
        </w:rPr>
        <w:t xml:space="preserve">via </w:t>
      </w:r>
      <w:r w:rsidR="00351E59">
        <w:rPr>
          <w:rFonts w:ascii="CMR10" w:hAnsi="CMR10" w:cs="CMR10"/>
        </w:rPr>
        <w:t xml:space="preserve">dynamic analysis, using input-domain model, which </w:t>
      </w:r>
      <w:r w:rsidR="0017589F">
        <w:rPr>
          <w:rFonts w:ascii="CMR10" w:hAnsi="CMR10" w:cs="CMR10"/>
        </w:rPr>
        <w:t>approximates the current/prospective situation</w:t>
      </w:r>
      <w:r w:rsidR="00502FC5">
        <w:rPr>
          <w:rFonts w:ascii="CMR10" w:hAnsi="CMR10" w:cs="CMR10"/>
        </w:rPr>
        <w:t xml:space="preserve"> to a previous instance vs. reliability growth modelling)</w:t>
      </w:r>
    </w:p>
    <w:p w:rsidR="00997A96" w:rsidRDefault="003D31CE" w:rsidP="00A45B9D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900" w:hanging="540"/>
        <w:rPr>
          <w:rFonts w:ascii="CMR10" w:hAnsi="CMR10" w:cs="CMR10"/>
        </w:rPr>
      </w:pPr>
      <w:r w:rsidRPr="00940A07">
        <w:rPr>
          <w:rFonts w:ascii="CMR10" w:hAnsi="CMR10" w:cs="CMR10"/>
          <w:b/>
        </w:rPr>
        <w:t>SW</w:t>
      </w:r>
      <w:r w:rsidR="007926CB" w:rsidRPr="00940A07">
        <w:rPr>
          <w:rFonts w:ascii="CMR10" w:hAnsi="CMR10" w:cs="CMR10"/>
          <w:b/>
        </w:rPr>
        <w:t xml:space="preserve"> Requirements</w:t>
      </w:r>
      <w:r w:rsidR="00997A96" w:rsidRPr="00940A07">
        <w:rPr>
          <w:rFonts w:ascii="CMR10" w:hAnsi="CMR10" w:cs="CMR10"/>
          <w:b/>
        </w:rPr>
        <w:t xml:space="preserve"> validity</w:t>
      </w:r>
      <w:r w:rsidRPr="00A61D65">
        <w:rPr>
          <w:rFonts w:ascii="CMR10" w:hAnsi="CMR10" w:cs="CMR10"/>
        </w:rPr>
        <w:t>:</w:t>
      </w:r>
      <w:r w:rsidR="007926CB" w:rsidRPr="00A61D65">
        <w:rPr>
          <w:rFonts w:ascii="CMR10" w:hAnsi="CMR10" w:cs="CMR10"/>
        </w:rPr>
        <w:t xml:space="preserve"> can be measured</w:t>
      </w:r>
      <w:r w:rsidRPr="00A61D65">
        <w:rPr>
          <w:rFonts w:ascii="CMR10" w:hAnsi="CMR10" w:cs="CMR10"/>
        </w:rPr>
        <w:t xml:space="preserve"> by </w:t>
      </w:r>
      <w:r w:rsidR="00261232" w:rsidRPr="00A61D65">
        <w:rPr>
          <w:rFonts w:ascii="CMR10" w:hAnsi="CMR10" w:cs="CMR10"/>
        </w:rPr>
        <w:t>requirements tracing</w:t>
      </w:r>
      <w:r w:rsidR="00F332E0" w:rsidRPr="00A61D65">
        <w:rPr>
          <w:rFonts w:ascii="CMR10" w:hAnsi="CMR10" w:cs="CMR10"/>
        </w:rPr>
        <w:fldChar w:fldCharType="begin" w:fldLock="1"/>
      </w:r>
      <w:r w:rsidR="00CD62F3" w:rsidRPr="00A61D65">
        <w:rPr>
          <w:rFonts w:ascii="CMR10" w:hAnsi="CMR10" w:cs="CMR10"/>
        </w:rPr>
        <w:instrText>ADDIN CSL_CITATION { "citationItems" : [ { "id" : "ITEM-1", "itemData" : { "author" : [ { "dropping-particle" : "", "family" : "Etestinghub", "given" : "", "non-dropping-particle" : "", "parse-names" : false, "suffix" : "" } ], "id" : "ITEM-1", "issued" : { "date-parts" : [ [ "0" ] ] }, "title" : "No Title", "type" : "article-journal" }, "uris" : [ "http://www.mendeley.com/documents/?uuid=f2a4ede3-1338-4a1b-a4ae-155bdc1befb3" ] } ], "mendeley" : { "previouslyFormattedCitation" : "[1]" }, "properties" : { "noteIndex" : 0 }, "schema" : "https://github.com/citation-style-language/schema/raw/master/csl-citation.json" }</w:instrText>
      </w:r>
      <w:r w:rsidR="00F332E0" w:rsidRPr="00A61D65">
        <w:rPr>
          <w:rFonts w:ascii="CMR10" w:hAnsi="CMR10" w:cs="CMR10"/>
        </w:rPr>
        <w:fldChar w:fldCharType="separate"/>
      </w:r>
      <w:r w:rsidR="001A3B66" w:rsidRPr="00A61D65">
        <w:rPr>
          <w:rFonts w:ascii="CMR10" w:hAnsi="CMR10" w:cs="CMR10"/>
          <w:noProof/>
        </w:rPr>
        <w:t>[1]</w:t>
      </w:r>
      <w:r w:rsidR="00F332E0" w:rsidRPr="00A61D65">
        <w:rPr>
          <w:rFonts w:ascii="CMR10" w:hAnsi="CMR10" w:cs="CMR10"/>
        </w:rPr>
        <w:fldChar w:fldCharType="end"/>
      </w:r>
      <w:r w:rsidR="001A3B66" w:rsidRPr="00A61D65">
        <w:rPr>
          <w:rFonts w:ascii="CMR10" w:hAnsi="CMR10" w:cs="CMR10"/>
        </w:rPr>
        <w:t xml:space="preserve"> </w:t>
      </w:r>
      <w:r w:rsidR="00261232" w:rsidRPr="00A61D65">
        <w:rPr>
          <w:rFonts w:ascii="CMR10" w:hAnsi="CMR10" w:cs="CMR10"/>
        </w:rPr>
        <w:t xml:space="preserve">- </w:t>
      </w:r>
      <w:r w:rsidR="007926CB" w:rsidRPr="00A61D65">
        <w:rPr>
          <w:rFonts w:ascii="CMR10" w:hAnsi="CMR10" w:cs="CMR10"/>
        </w:rPr>
        <w:t xml:space="preserve"> (more change </w:t>
      </w:r>
      <w:r w:rsidR="007154EF">
        <w:rPr>
          <w:rFonts w:ascii="CMR10" w:hAnsi="CMR10" w:cs="CMR10"/>
        </w:rPr>
        <w:t>requests more often may mean</w:t>
      </w:r>
      <w:r w:rsidR="007926CB" w:rsidRPr="00A61D65">
        <w:rPr>
          <w:rFonts w:ascii="CMR10" w:hAnsi="CMR10" w:cs="CMR10"/>
        </w:rPr>
        <w:t xml:space="preserve"> requirements </w:t>
      </w:r>
      <w:r w:rsidR="007154EF">
        <w:rPr>
          <w:rFonts w:ascii="CMR10" w:hAnsi="CMR10" w:cs="CMR10"/>
        </w:rPr>
        <w:t xml:space="preserve">possibly </w:t>
      </w:r>
      <w:r w:rsidR="007926CB" w:rsidRPr="00A61D65">
        <w:rPr>
          <w:rFonts w:ascii="CMR10" w:hAnsi="CMR10" w:cs="CMR10"/>
        </w:rPr>
        <w:t>weren’t adequate in first place)</w:t>
      </w:r>
    </w:p>
    <w:p w:rsidR="00A9485F" w:rsidRDefault="00846F55" w:rsidP="00A45B9D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900" w:hanging="540"/>
        <w:rPr>
          <w:rFonts w:ascii="CMR10" w:hAnsi="CMR10" w:cs="CMR10"/>
        </w:rPr>
      </w:pPr>
      <w:r>
        <w:rPr>
          <w:rFonts w:ascii="CMR10" w:hAnsi="CMR10" w:cs="CMR10"/>
          <w:b/>
        </w:rPr>
        <w:t>Programmer productivity:</w:t>
      </w:r>
      <w:r>
        <w:rPr>
          <w:rFonts w:ascii="CMR10" w:hAnsi="CMR10" w:cs="CMR10"/>
        </w:rPr>
        <w:t xml:space="preserve"> a pretty ‘intangible’</w:t>
      </w:r>
      <w:r w:rsidR="00ED0A41">
        <w:rPr>
          <w:rFonts w:ascii="CMR10" w:hAnsi="CMR10" w:cs="CMR10"/>
        </w:rPr>
        <w:t xml:space="preserve"> property (due to feasibility/practicality, </w:t>
      </w:r>
      <w:r w:rsidR="000C57C2">
        <w:rPr>
          <w:rFonts w:ascii="CMR10" w:hAnsi="CMR10" w:cs="CMR10"/>
        </w:rPr>
        <w:t>this probably has not been ‘scientifically’ addressed</w:t>
      </w:r>
      <w:r w:rsidR="00ED0A41">
        <w:rPr>
          <w:rFonts w:ascii="CMR10" w:hAnsi="CMR10" w:cs="CMR10"/>
        </w:rPr>
        <w:t xml:space="preserve"> to a level of ‘fine granularity’ as human productivity will always remain somewhat subjective and intangible</w:t>
      </w:r>
      <w:r>
        <w:rPr>
          <w:rFonts w:ascii="CMR10" w:hAnsi="CMR10" w:cs="CMR10"/>
        </w:rPr>
        <w:t>)</w:t>
      </w:r>
    </w:p>
    <w:p w:rsidR="00010259" w:rsidRPr="002E4819" w:rsidRDefault="00010259" w:rsidP="00A45B9D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900" w:hanging="540"/>
        <w:rPr>
          <w:rFonts w:ascii="CMR10" w:hAnsi="CMR10" w:cs="CMR10"/>
        </w:rPr>
      </w:pPr>
      <w:r>
        <w:rPr>
          <w:rFonts w:ascii="CMR10" w:hAnsi="CMR10" w:cs="CMR10"/>
          <w:b/>
        </w:rPr>
        <w:t>Cost projections –</w:t>
      </w:r>
      <w:r>
        <w:rPr>
          <w:rFonts w:ascii="CMR10" w:hAnsi="CMR10" w:cs="CMR10"/>
        </w:rPr>
        <w:t xml:space="preserve"> using ie: Algorithmic cost modelling</w:t>
      </w:r>
      <w:r w:rsidR="002C59A7">
        <w:rPr>
          <w:rFonts w:ascii="CMR10" w:hAnsi="CMR10" w:cs="CMR10"/>
        </w:rPr>
        <w:t xml:space="preserve"> (uses historical data to project costs of current based on analogy to past project) / winning-bid strategy (build out price est. towards expected final budget) / top-down (decomposition-oriented) / bottom-up (cost accumulates)</w:t>
      </w:r>
    </w:p>
    <w:p w:rsidR="002E4819" w:rsidRDefault="002E4819" w:rsidP="00A45B9D">
      <w:pPr>
        <w:pStyle w:val="ListParagraph"/>
        <w:autoSpaceDE w:val="0"/>
        <w:autoSpaceDN w:val="0"/>
        <w:adjustRightInd w:val="0"/>
        <w:ind w:left="900"/>
        <w:rPr>
          <w:rFonts w:ascii="CMR10" w:hAnsi="CMR10" w:cs="CMR10"/>
        </w:rPr>
      </w:pPr>
    </w:p>
    <w:p w:rsidR="00241CD8" w:rsidRPr="00241CD8" w:rsidRDefault="00241CD8" w:rsidP="00241C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MR10" w:hAnsi="CMR10" w:cs="CMR10"/>
        </w:rPr>
      </w:pPr>
      <w:r>
        <w:rPr>
          <w:rFonts w:ascii="CMR10" w:hAnsi="CMR10" w:cs="CMR10"/>
        </w:rPr>
        <w:t xml:space="preserve">Reliability of Metrics – are we comparing </w:t>
      </w:r>
      <w:r w:rsidR="00B4723A">
        <w:rPr>
          <w:rFonts w:ascii="CMR10" w:hAnsi="CMR10" w:cs="CMR10"/>
        </w:rPr>
        <w:t>like to like? … maybe it’s not so reliable – is a line of code just one line if it contains two statements.</w:t>
      </w:r>
    </w:p>
    <w:p w:rsidR="00D26741" w:rsidRDefault="00D26741" w:rsidP="00EE57A1">
      <w:pPr>
        <w:rPr>
          <w:rFonts w:ascii="CMR10" w:hAnsi="CMR10" w:cs="CMR10"/>
        </w:rPr>
      </w:pPr>
    </w:p>
    <w:p w:rsidR="00901DF8" w:rsidRDefault="00B03D28" w:rsidP="00007386">
      <w:pPr>
        <w:pStyle w:val="ListParagraph"/>
        <w:numPr>
          <w:ilvl w:val="0"/>
          <w:numId w:val="1"/>
        </w:numPr>
        <w:rPr>
          <w:rFonts w:ascii="CMR10" w:hAnsi="CMR10" w:cs="CMR10"/>
        </w:rPr>
      </w:pPr>
      <w:r w:rsidRPr="00007386">
        <w:rPr>
          <w:rFonts w:ascii="CMR10" w:hAnsi="CMR10" w:cs="CMR10"/>
        </w:rPr>
        <w:t>Verification may be hindered by</w:t>
      </w:r>
      <w:r w:rsidR="00901DF8" w:rsidRPr="00007386">
        <w:rPr>
          <w:rFonts w:ascii="CMR10" w:hAnsi="CMR10" w:cs="CMR10"/>
        </w:rPr>
        <w:t xml:space="preserve"> “Observer Effect” (</w:t>
      </w:r>
      <w:r w:rsidR="00514D48">
        <w:rPr>
          <w:rFonts w:ascii="CMR10" w:hAnsi="CMR10" w:cs="CMR10"/>
        </w:rPr>
        <w:t>may refer to</w:t>
      </w:r>
      <w:r w:rsidR="00554AB2" w:rsidRPr="00007386">
        <w:rPr>
          <w:rFonts w:ascii="CMR10" w:hAnsi="CMR10" w:cs="CMR10"/>
        </w:rPr>
        <w:t xml:space="preserve"> </w:t>
      </w:r>
      <w:r w:rsidR="00901DF8" w:rsidRPr="00007386">
        <w:rPr>
          <w:rFonts w:ascii="CMR10" w:hAnsi="CMR10" w:cs="CMR10"/>
          <w:i/>
        </w:rPr>
        <w:t>definitions</w:t>
      </w:r>
      <w:r w:rsidR="00514D48">
        <w:rPr>
          <w:rFonts w:ascii="CMR10" w:hAnsi="CMR10" w:cs="CMR10"/>
        </w:rPr>
        <w:t xml:space="preserve"> to discover h</w:t>
      </w:r>
      <w:r w:rsidR="0027275B">
        <w:rPr>
          <w:rFonts w:ascii="CMR10" w:hAnsi="CMR10" w:cs="CMR10"/>
        </w:rPr>
        <w:t>ow this relates</w:t>
      </w:r>
      <w:r w:rsidR="00901DF8" w:rsidRPr="00007386">
        <w:rPr>
          <w:rFonts w:ascii="CMR10" w:hAnsi="CMR10" w:cs="CMR10"/>
        </w:rPr>
        <w:t>)</w:t>
      </w:r>
      <w:r w:rsidR="002C771C">
        <w:rPr>
          <w:rFonts w:ascii="CMR10" w:hAnsi="CMR10" w:cs="CMR10"/>
        </w:rPr>
        <w:t xml:space="preserve"> –</w:t>
      </w:r>
      <w:r w:rsidR="005E065B">
        <w:rPr>
          <w:rFonts w:ascii="CMR10" w:hAnsi="CMR10" w:cs="CMR10"/>
        </w:rPr>
        <w:t xml:space="preserve"> </w:t>
      </w:r>
      <w:r w:rsidR="005E065B" w:rsidRPr="005E065B">
        <w:rPr>
          <w:rFonts w:ascii="CMR10" w:hAnsi="CMR10" w:cs="CMR10"/>
          <w:highlight w:val="yellow"/>
        </w:rPr>
        <w:t>a point I intend to highlight in</w:t>
      </w:r>
      <w:r w:rsidR="002C771C" w:rsidRPr="005E065B">
        <w:rPr>
          <w:rFonts w:ascii="CMR10" w:hAnsi="CMR10" w:cs="CMR10"/>
          <w:highlight w:val="yellow"/>
        </w:rPr>
        <w:t xml:space="preserve"> my paper is</w:t>
      </w:r>
      <w:r w:rsidR="005E065B" w:rsidRPr="005E065B">
        <w:rPr>
          <w:rFonts w:ascii="CMR10" w:hAnsi="CMR10" w:cs="CMR10"/>
          <w:highlight w:val="yellow"/>
        </w:rPr>
        <w:t xml:space="preserve">: </w:t>
      </w:r>
      <w:r w:rsidR="002C771C" w:rsidRPr="005E065B">
        <w:rPr>
          <w:rFonts w:ascii="CMR10" w:hAnsi="CMR10" w:cs="CMR10"/>
          <w:highlight w:val="yellow"/>
        </w:rPr>
        <w:t>types of conditions that are measurable when assessing software (-metrics)</w:t>
      </w:r>
      <w:r w:rsidR="00901DF8" w:rsidRPr="00007386">
        <w:rPr>
          <w:rFonts w:ascii="CMR10" w:hAnsi="CMR10" w:cs="CMR10"/>
        </w:rPr>
        <w:t>.</w:t>
      </w:r>
      <w:r w:rsidR="003B146F">
        <w:rPr>
          <w:rFonts w:ascii="CMR10" w:hAnsi="CMR10" w:cs="CMR10"/>
        </w:rPr>
        <w:t xml:space="preserve">  As dynamic-analysis method</w:t>
      </w:r>
      <w:r w:rsidR="00D559D4">
        <w:rPr>
          <w:rFonts w:ascii="CMR10" w:hAnsi="CMR10" w:cs="CMR10"/>
        </w:rPr>
        <w:t>s may</w:t>
      </w:r>
      <w:r w:rsidR="003B146F">
        <w:rPr>
          <w:rFonts w:ascii="CMR10" w:hAnsi="CMR10" w:cs="CMR10"/>
        </w:rPr>
        <w:t xml:space="preserve"> </w:t>
      </w:r>
      <w:r w:rsidR="00D559D4">
        <w:rPr>
          <w:rFonts w:ascii="CMR10" w:hAnsi="CMR10" w:cs="CMR10"/>
        </w:rPr>
        <w:t>realize</w:t>
      </w:r>
      <w:r w:rsidR="003B146F">
        <w:rPr>
          <w:rFonts w:ascii="CMR10" w:hAnsi="CMR10" w:cs="CMR10"/>
        </w:rPr>
        <w:t xml:space="preserve"> effects of this phenomenon I may </w:t>
      </w:r>
      <w:r w:rsidR="0001736F">
        <w:rPr>
          <w:rFonts w:ascii="CMR10" w:hAnsi="CMR10" w:cs="CMR10"/>
        </w:rPr>
        <w:t>focus on</w:t>
      </w:r>
      <w:r w:rsidR="003B146F">
        <w:rPr>
          <w:rFonts w:ascii="CMR10" w:hAnsi="CMR10" w:cs="CMR10"/>
        </w:rPr>
        <w:t xml:space="preserve"> it minimally and </w:t>
      </w:r>
      <w:r w:rsidR="005C33AF">
        <w:rPr>
          <w:rFonts w:ascii="CMR10" w:hAnsi="CMR10" w:cs="CMR10"/>
        </w:rPr>
        <w:t>transition from it into</w:t>
      </w:r>
      <w:r w:rsidR="003B146F">
        <w:rPr>
          <w:rFonts w:ascii="CMR10" w:hAnsi="CMR10" w:cs="CMR10"/>
        </w:rPr>
        <w:t xml:space="preserve"> broader picture</w:t>
      </w:r>
      <w:r w:rsidR="005C33AF">
        <w:rPr>
          <w:rFonts w:ascii="CMR10" w:hAnsi="CMR10" w:cs="CMR10"/>
        </w:rPr>
        <w:t>, in terms of what are alternative approaches that are not subject to it</w:t>
      </w:r>
      <w:r w:rsidR="003B146F">
        <w:rPr>
          <w:rFonts w:ascii="CMR10" w:hAnsi="CMR10" w:cs="CMR10"/>
        </w:rPr>
        <w:t>.</w:t>
      </w:r>
    </w:p>
    <w:p w:rsidR="00C914AC" w:rsidRPr="00007386" w:rsidRDefault="00C914AC" w:rsidP="00C914AC">
      <w:pPr>
        <w:pStyle w:val="ListParagraph"/>
        <w:numPr>
          <w:ilvl w:val="0"/>
          <w:numId w:val="7"/>
        </w:numPr>
        <w:rPr>
          <w:rFonts w:ascii="CMR10" w:hAnsi="CMR10" w:cs="CMR10"/>
        </w:rPr>
      </w:pPr>
      <w:r>
        <w:rPr>
          <w:rFonts w:ascii="CMR10" w:hAnsi="CMR10" w:cs="CMR10"/>
        </w:rPr>
        <w:t>Output-generating statements can affect location of variables in memory</w:t>
      </w:r>
      <w:bookmarkStart w:id="0" w:name="_GoBack"/>
      <w:bookmarkEnd w:id="0"/>
    </w:p>
    <w:p w:rsidR="00BA125B" w:rsidRDefault="00C914AC" w:rsidP="00746E00">
      <w:pPr>
        <w:tabs>
          <w:tab w:val="left" w:pos="360"/>
        </w:tabs>
        <w:rPr>
          <w:rFonts w:ascii="CMR10" w:hAnsi="CMR10" w:cs="CMR1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</w:p>
    <w:p w:rsidR="00A61D65" w:rsidRDefault="00A61D65" w:rsidP="00A61D6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MR10" w:hAnsi="CMR10" w:cs="CMR10"/>
        </w:rPr>
      </w:pPr>
      <w:r>
        <w:rPr>
          <w:rFonts w:ascii="CMR10" w:hAnsi="CMR10" w:cs="CMR10"/>
        </w:rPr>
        <w:t>can be improved by asserting invariant (pre-)conditions are adhered to</w:t>
      </w:r>
      <w:r>
        <w:rPr>
          <w:rFonts w:ascii="CMR10" w:hAnsi="CMR10" w:cs="CMR10"/>
        </w:rPr>
        <w:fldChar w:fldCharType="begin" w:fldLock="1"/>
      </w:r>
      <w:r>
        <w:rPr>
          <w:rFonts w:ascii="CMR10" w:hAnsi="CMR10" w:cs="CMR10"/>
        </w:rPr>
        <w:instrText>ADDIN CSL_CITATION { "citationItems" : [ { "id" : "ITEM-1", "itemData" : { "DOI" : "10.1145/302405.302467", "ISBN" : "1-58113-074-0", "author" : [ { "dropping-particle" : "", "family" : "Ernst", "given" : "Michael D", "non-dropping-particle" : "", "parse-names" : false, "suffix" : "" }, { "dropping-particle" : "", "family" : "Cockrell", "given" : "Jake", "non-dropping-particle" : "", "parse-names" : false, "suffix" : "" }, { "dropping-particle" : "", "family" : "Griswold", "given" : "William G", "non-dropping-particle" : "", "parse-names" : false, "suffix" : "" }, { "dropping-particle" : "", "family" : "Notkin", "given" : "David", "non-dropping-particle" : "", "parse-names" : false, "suffix" : "" } ], "container-title" : "Proceedings of the 21st international conference on Software engineering", "id" : "ITEM-1", "issued" : { "date-parts" : [ [ "1999" ] ] }, "page" : "213-224", "publisher" : "ACM", "publisher-place" : "New York, NY, USA", "title" : "Dynamically discovering likely program invariants to support program evolution", "type" : "paper-conference" }, "uris" : [ "http://www.mendeley.com/documents/?uuid=3bd3577f-a5a6-4209-8764-e85f11b55a66" ] } ], "mendeley" : { "previouslyFormattedCitation" : "[2]" }, "properties" : { "noteIndex" : 0 }, "schema" : "https://github.com/citation-style-language/schema/raw/master/csl-citation.json" }</w:instrText>
      </w:r>
      <w:r>
        <w:rPr>
          <w:rFonts w:ascii="CMR10" w:hAnsi="CMR10" w:cs="CMR10"/>
        </w:rPr>
        <w:fldChar w:fldCharType="separate"/>
      </w:r>
      <w:r w:rsidRPr="00CD62F3">
        <w:rPr>
          <w:rFonts w:ascii="CMR10" w:hAnsi="CMR10" w:cs="CMR10"/>
          <w:noProof/>
        </w:rPr>
        <w:t>[2]</w:t>
      </w:r>
      <w:r>
        <w:rPr>
          <w:rFonts w:ascii="CMR10" w:hAnsi="CMR10" w:cs="CMR10"/>
        </w:rPr>
        <w:fldChar w:fldCharType="end"/>
      </w:r>
      <w:r>
        <w:rPr>
          <w:rFonts w:ascii="CMR10" w:hAnsi="CMR10" w:cs="CMR10"/>
        </w:rPr>
        <w:t>(pg1)</w:t>
      </w:r>
      <w:r w:rsidR="00E24E6C">
        <w:rPr>
          <w:rFonts w:ascii="CMR10" w:hAnsi="CMR10" w:cs="CMR10"/>
        </w:rPr>
        <w:t xml:space="preserve"> – this point may be addressed minimally but is not intended to be</w:t>
      </w:r>
      <w:r w:rsidR="004B7CB8">
        <w:rPr>
          <w:rFonts w:ascii="CMR10" w:hAnsi="CMR10" w:cs="CMR10"/>
        </w:rPr>
        <w:t xml:space="preserve"> a focal point</w:t>
      </w:r>
      <w:r w:rsidR="00E24E6C">
        <w:rPr>
          <w:rFonts w:ascii="CMR10" w:hAnsi="CMR10" w:cs="CMR10"/>
        </w:rPr>
        <w:t xml:space="preserve"> in my paper.</w:t>
      </w:r>
    </w:p>
    <w:p w:rsidR="00A61D65" w:rsidRDefault="00A61D65" w:rsidP="00746E00">
      <w:pPr>
        <w:tabs>
          <w:tab w:val="left" w:pos="360"/>
        </w:tabs>
        <w:rPr>
          <w:rFonts w:ascii="CMR10" w:hAnsi="CMR10" w:cs="CMR10"/>
        </w:rPr>
      </w:pPr>
    </w:p>
    <w:p w:rsidR="00BA125B" w:rsidRPr="00007386" w:rsidRDefault="00746E00" w:rsidP="00007386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CMR10" w:hAnsi="CMR10" w:cs="CMR10"/>
        </w:rPr>
      </w:pPr>
      <w:r w:rsidRPr="00007386">
        <w:rPr>
          <w:rFonts w:ascii="CMR10" w:hAnsi="CMR10" w:cs="CMR10"/>
        </w:rPr>
        <w:t>There exist</w:t>
      </w:r>
      <w:r w:rsidR="000514B2">
        <w:rPr>
          <w:rFonts w:ascii="CMR10" w:hAnsi="CMR10" w:cs="CMR10"/>
        </w:rPr>
        <w:t xml:space="preserve"> a variety of programs that can be</w:t>
      </w:r>
      <w:r w:rsidR="005948DA" w:rsidRPr="00007386">
        <w:rPr>
          <w:rFonts w:ascii="CMR10" w:hAnsi="CMR10" w:cs="CMR10"/>
        </w:rPr>
        <w:t xml:space="preserve"> useful as tooling</w:t>
      </w:r>
      <w:r w:rsidR="00D35EB0" w:rsidRPr="00007386">
        <w:rPr>
          <w:rFonts w:ascii="CMR10" w:hAnsi="CMR10" w:cs="CMR10"/>
        </w:rPr>
        <w:t xml:space="preserve"> for post-mortem debugging</w:t>
      </w:r>
      <w:r w:rsidR="005948DA" w:rsidRPr="00007386">
        <w:rPr>
          <w:rFonts w:ascii="CMR10" w:hAnsi="CMR10" w:cs="CMR10"/>
        </w:rPr>
        <w:t>:</w:t>
      </w:r>
    </w:p>
    <w:p w:rsidR="005948DA" w:rsidRDefault="005948DA" w:rsidP="00007386">
      <w:pPr>
        <w:pStyle w:val="ListParagraph"/>
        <w:numPr>
          <w:ilvl w:val="0"/>
          <w:numId w:val="2"/>
        </w:numPr>
        <w:tabs>
          <w:tab w:val="left" w:pos="1080"/>
        </w:tabs>
        <w:ind w:firstLine="0"/>
        <w:rPr>
          <w:rFonts w:ascii="CMR10" w:hAnsi="CMR10" w:cs="CMR10"/>
        </w:rPr>
      </w:pPr>
      <w:r>
        <w:rPr>
          <w:rFonts w:ascii="CMR10" w:hAnsi="CMR10" w:cs="CMR10"/>
        </w:rPr>
        <w:t>For java, there are post-mortem debugging tools that have been developed</w:t>
      </w:r>
      <w:r w:rsidR="00C4700D">
        <w:rPr>
          <w:rFonts w:ascii="CMR10" w:hAnsi="CMR10" w:cs="CMR10"/>
        </w:rPr>
        <w:t xml:space="preserve"> incl/ JDM,</w:t>
      </w:r>
      <w:r w:rsidR="000749D8">
        <w:rPr>
          <w:rFonts w:ascii="CMR10" w:hAnsi="CMR10" w:cs="CMR10"/>
        </w:rPr>
        <w:t>JMAP</w:t>
      </w:r>
    </w:p>
    <w:p w:rsidR="005948DA" w:rsidRDefault="005948DA" w:rsidP="00007386">
      <w:pPr>
        <w:pStyle w:val="ListParagraph"/>
        <w:numPr>
          <w:ilvl w:val="0"/>
          <w:numId w:val="2"/>
        </w:numPr>
        <w:tabs>
          <w:tab w:val="left" w:pos="1080"/>
        </w:tabs>
        <w:ind w:firstLine="0"/>
        <w:rPr>
          <w:rFonts w:ascii="CMR10" w:hAnsi="CMR10" w:cs="CMR10"/>
        </w:rPr>
      </w:pPr>
      <w:r>
        <w:rPr>
          <w:rFonts w:ascii="CMR10" w:hAnsi="CMR10" w:cs="CMR10"/>
        </w:rPr>
        <w:t>In python</w:t>
      </w:r>
      <w:r w:rsidR="00CB605E">
        <w:rPr>
          <w:rFonts w:ascii="CMR10" w:hAnsi="CMR10" w:cs="CMR10"/>
        </w:rPr>
        <w:t xml:space="preserve"> &amp; ruby</w:t>
      </w:r>
      <w:r>
        <w:rPr>
          <w:rFonts w:ascii="CMR10" w:hAnsi="CMR10" w:cs="CMR10"/>
        </w:rPr>
        <w:t>, a debugger can be attached to the interpreter</w:t>
      </w:r>
      <w:r w:rsidR="00CB605E">
        <w:rPr>
          <w:rFonts w:ascii="CMR10" w:hAnsi="CMR10" w:cs="CMR10"/>
        </w:rPr>
        <w:t xml:space="preserve"> or </w:t>
      </w:r>
      <w:r w:rsidR="003866AE">
        <w:rPr>
          <w:rFonts w:ascii="CMR10" w:hAnsi="CMR10" w:cs="CMR10"/>
        </w:rPr>
        <w:t>run simul</w:t>
      </w:r>
      <w:r w:rsidR="00CB605E">
        <w:rPr>
          <w:rFonts w:ascii="CMR10" w:hAnsi="CMR10" w:cs="CMR10"/>
        </w:rPr>
        <w:t>t</w:t>
      </w:r>
      <w:r w:rsidR="003866AE">
        <w:rPr>
          <w:rFonts w:ascii="CMR10" w:hAnsi="CMR10" w:cs="CMR10"/>
        </w:rPr>
        <w:t xml:space="preserve">aneously and </w:t>
      </w:r>
      <w:r w:rsidR="00CB605E">
        <w:rPr>
          <w:rFonts w:ascii="CMR10" w:hAnsi="CMR10" w:cs="CMR10"/>
        </w:rPr>
        <w:t>interactively</w:t>
      </w:r>
      <w:r w:rsidR="003866AE">
        <w:rPr>
          <w:rFonts w:ascii="CMR10" w:hAnsi="CMR10" w:cs="CMR10"/>
        </w:rPr>
        <w:t xml:space="preserve"> alongside the program during execution</w:t>
      </w:r>
    </w:p>
    <w:p w:rsidR="005948DA" w:rsidRDefault="005948DA" w:rsidP="00007386">
      <w:pPr>
        <w:pStyle w:val="ListParagraph"/>
        <w:numPr>
          <w:ilvl w:val="0"/>
          <w:numId w:val="2"/>
        </w:numPr>
        <w:tabs>
          <w:tab w:val="left" w:pos="1080"/>
        </w:tabs>
        <w:ind w:firstLine="0"/>
        <w:rPr>
          <w:rFonts w:ascii="CMR10" w:hAnsi="CMR10" w:cs="CMR10"/>
        </w:rPr>
      </w:pPr>
      <w:r>
        <w:rPr>
          <w:rFonts w:ascii="CMR10" w:hAnsi="CMR10" w:cs="CMR10"/>
        </w:rPr>
        <w:t>In C/C</w:t>
      </w:r>
      <w:r w:rsidR="00684917">
        <w:rPr>
          <w:rFonts w:ascii="CMR10" w:hAnsi="CMR10" w:cs="CMR10"/>
        </w:rPr>
        <w:t>++/Objective-C, there are extensive facilities for handling crashes, saving dumps, and analyzing them; while in some newer dynamic languages, these facilities may not be available or applicable such as by way of presenting merely a list of global symbols, pointers to thread stacks, and all of a program’s virtual memory – rather, users may need to gain insight into abstractions of the state of the program at it’s time of crash in the context of the environment such as interpreter/virtual machine/</w:t>
      </w:r>
    </w:p>
    <w:p w:rsidR="0044764D" w:rsidRDefault="005948DA" w:rsidP="0052661A">
      <w:pPr>
        <w:pStyle w:val="ListParagraph"/>
        <w:numPr>
          <w:ilvl w:val="0"/>
          <w:numId w:val="2"/>
        </w:numPr>
        <w:tabs>
          <w:tab w:val="left" w:pos="1080"/>
        </w:tabs>
        <w:ind w:firstLine="0"/>
        <w:rPr>
          <w:rFonts w:ascii="CMR10" w:hAnsi="CMR10" w:cs="CMR10"/>
        </w:rPr>
      </w:pPr>
      <w:r w:rsidRPr="00B70098">
        <w:rPr>
          <w:rFonts w:ascii="CMR10" w:hAnsi="CMR10" w:cs="CMR10"/>
        </w:rPr>
        <w:t xml:space="preserve">For javascript, there is a node.js facility developed by </w:t>
      </w:r>
      <w:r w:rsidR="00B70098" w:rsidRPr="00B70098">
        <w:rPr>
          <w:rFonts w:ascii="CMR10" w:hAnsi="CMR10" w:cs="CMR10"/>
        </w:rPr>
        <w:t xml:space="preserve">David Pacheco, Pacheco also references </w:t>
      </w:r>
      <w:r w:rsidR="00930124" w:rsidRPr="00B70098">
        <w:rPr>
          <w:rFonts w:ascii="CMR10" w:hAnsi="CMR10" w:cs="CMR10"/>
        </w:rPr>
        <w:t>Eric Schrock</w:t>
      </w:r>
      <w:r w:rsidR="00C4700D" w:rsidRPr="00B70098">
        <w:rPr>
          <w:rFonts w:ascii="CMR10" w:hAnsi="CMR10" w:cs="CMR10"/>
        </w:rPr>
        <w:t>’s</w:t>
      </w:r>
      <w:r w:rsidR="00930124" w:rsidRPr="00B70098">
        <w:rPr>
          <w:rFonts w:ascii="CMR10" w:hAnsi="CMR10" w:cs="CMR10"/>
        </w:rPr>
        <w:t xml:space="preserve"> AJAX strategies</w:t>
      </w:r>
      <w:r w:rsidRPr="00B70098">
        <w:rPr>
          <w:rFonts w:ascii="CMR10" w:hAnsi="CMR10" w:cs="CMR10"/>
        </w:rPr>
        <w:t xml:space="preserve"> </w:t>
      </w:r>
    </w:p>
    <w:p w:rsidR="007975F8" w:rsidRDefault="007975F8">
      <w:pPr>
        <w:rPr>
          <w:rFonts w:ascii="CMR10" w:hAnsi="CMR10" w:cs="CMR10"/>
        </w:rPr>
      </w:pPr>
      <w:r>
        <w:rPr>
          <w:rFonts w:ascii="CMR10" w:hAnsi="CMR10" w:cs="CMR10"/>
        </w:rPr>
        <w:br w:type="page"/>
      </w:r>
    </w:p>
    <w:p w:rsidR="00E3005B" w:rsidRPr="00C204B4" w:rsidRDefault="00C204B4" w:rsidP="00EE57A1">
      <w:pPr>
        <w:rPr>
          <w:rFonts w:ascii="CMR10" w:hAnsi="CMR10" w:cs="CMR10"/>
          <w:b/>
        </w:rPr>
      </w:pPr>
      <w:r w:rsidRPr="00C204B4">
        <w:rPr>
          <w:rFonts w:ascii="CMR10" w:hAnsi="CMR10" w:cs="CMR10"/>
          <w:b/>
        </w:rPr>
        <w:lastRenderedPageBreak/>
        <w:t>Definitions:</w:t>
      </w:r>
    </w:p>
    <w:p w:rsidR="0044764D" w:rsidRPr="00901DF8" w:rsidRDefault="0044764D" w:rsidP="0044764D">
      <w:pPr>
        <w:rPr>
          <w:rStyle w:val="SubtleEmphasis"/>
        </w:rPr>
      </w:pPr>
    </w:p>
    <w:p w:rsidR="00C204B4" w:rsidRPr="00F601B4" w:rsidRDefault="00C204B4" w:rsidP="0044764D">
      <w:pPr>
        <w:rPr>
          <w:rStyle w:val="SubtleEmphasis"/>
          <w:i w:val="0"/>
        </w:rPr>
      </w:pPr>
      <w:r w:rsidRPr="00F601B4">
        <w:rPr>
          <w:rStyle w:val="SubtleEmphasis"/>
          <w:i w:val="0"/>
        </w:rPr>
        <w:t>Cyclomatic Complexity:</w:t>
      </w:r>
    </w:p>
    <w:p w:rsidR="00C204B4" w:rsidRPr="00901DF8" w:rsidRDefault="00C204B4" w:rsidP="0044764D">
      <w:pPr>
        <w:rPr>
          <w:rStyle w:val="SubtleEmphasis"/>
        </w:rPr>
      </w:pPr>
      <w:r w:rsidRPr="00901DF8">
        <w:rPr>
          <w:rStyle w:val="SubtleEmphasis"/>
        </w:rPr>
        <w:t>Software metric that directly measures the number of linearly independent paths through a program's source code.</w:t>
      </w:r>
      <w:r w:rsidR="001B4997">
        <w:rPr>
          <w:rStyle w:val="SubtleEmphasis"/>
        </w:rPr>
        <w:t xml:space="preserve"> Often measured by conditionals.</w:t>
      </w:r>
    </w:p>
    <w:p w:rsidR="0044764D" w:rsidRPr="00901DF8" w:rsidRDefault="0044764D" w:rsidP="0044764D">
      <w:pPr>
        <w:rPr>
          <w:rStyle w:val="SubtleEmphasis"/>
        </w:rPr>
      </w:pPr>
    </w:p>
    <w:p w:rsidR="00C204B4" w:rsidRPr="00F601B4" w:rsidRDefault="00C204B4" w:rsidP="0044764D">
      <w:pPr>
        <w:rPr>
          <w:rStyle w:val="SubtleEmphasis"/>
          <w:i w:val="0"/>
        </w:rPr>
      </w:pPr>
      <w:r w:rsidRPr="00F601B4">
        <w:rPr>
          <w:rStyle w:val="SubtleEmphasis"/>
          <w:i w:val="0"/>
        </w:rPr>
        <w:t>Tokens:</w:t>
      </w:r>
    </w:p>
    <w:p w:rsidR="00D26741" w:rsidRDefault="00D26741" w:rsidP="0044764D">
      <w:pPr>
        <w:rPr>
          <w:rStyle w:val="SubtleEmphasis"/>
        </w:rPr>
      </w:pPr>
      <w:r w:rsidRPr="00901DF8">
        <w:rPr>
          <w:rStyle w:val="SubtleEmphasis"/>
        </w:rPr>
        <w:t xml:space="preserve">In programming, a </w:t>
      </w:r>
      <w:hyperlink r:id="rId8" w:history="1">
        <w:r w:rsidRPr="00F43664">
          <w:rPr>
            <w:rStyle w:val="Hyperlink"/>
          </w:rPr>
          <w:t>token</w:t>
        </w:r>
      </w:hyperlink>
      <w:r w:rsidRPr="00901DF8">
        <w:rPr>
          <w:rStyle w:val="SubtleEmphasis"/>
        </w:rPr>
        <w:t xml:space="preserve"> is a single element of a programming language. There are five categories of tokens: 1) constants, 2) identifiers, 3) operators, 4) separators, and 5) reserved words. For example, the reserved words "new" and "function" are tokens of the JavaScript language.</w:t>
      </w:r>
      <w:r w:rsidR="00F43664">
        <w:rPr>
          <w:rStyle w:val="SubtleEmphasis"/>
        </w:rPr>
        <w:t xml:space="preserve"> </w:t>
      </w:r>
    </w:p>
    <w:p w:rsidR="00901DF8" w:rsidRDefault="00901DF8" w:rsidP="0044764D">
      <w:pPr>
        <w:rPr>
          <w:rStyle w:val="SubtleEmphasis"/>
        </w:rPr>
      </w:pPr>
    </w:p>
    <w:p w:rsidR="00180F83" w:rsidRDefault="00067CC4" w:rsidP="0044764D">
      <w:pPr>
        <w:rPr>
          <w:rStyle w:val="SubtleEmphasis"/>
          <w:i w:val="0"/>
        </w:rPr>
      </w:pPr>
      <w:hyperlink r:id="rId9" w:history="1">
        <w:r w:rsidR="00180F83" w:rsidRPr="00067CC4">
          <w:rPr>
            <w:rStyle w:val="Hyperlink"/>
          </w:rPr>
          <w:t>Glossary</w:t>
        </w:r>
        <w:r w:rsidR="00180F83" w:rsidRPr="00067CC4">
          <w:rPr>
            <w:rStyle w:val="Hyperlink"/>
          </w:rPr>
          <w:t xml:space="preserve"> </w:t>
        </w:r>
        <w:r w:rsidR="00180F83" w:rsidRPr="00067CC4">
          <w:rPr>
            <w:rStyle w:val="Hyperlink"/>
          </w:rPr>
          <w:t>of Graphing terminology</w:t>
        </w:r>
      </w:hyperlink>
      <w:r w:rsidR="00180F83">
        <w:rPr>
          <w:rStyle w:val="SubtleEmphasis"/>
          <w:i w:val="0"/>
        </w:rPr>
        <w:t xml:space="preserve"> (ie: </w:t>
      </w:r>
      <w:r>
        <w:rPr>
          <w:rStyle w:val="SubtleEmphasis"/>
          <w:i w:val="0"/>
        </w:rPr>
        <w:t>concise reviews of ‘</w:t>
      </w:r>
      <w:r w:rsidR="00180F83">
        <w:rPr>
          <w:rStyle w:val="SubtleEmphasis"/>
          <w:i w:val="0"/>
        </w:rPr>
        <w:t>subgraph</w:t>
      </w:r>
      <w:r>
        <w:rPr>
          <w:rStyle w:val="SubtleEmphasis"/>
          <w:i w:val="0"/>
        </w:rPr>
        <w:t>’</w:t>
      </w:r>
      <w:r w:rsidR="00180F83">
        <w:rPr>
          <w:rStyle w:val="SubtleEmphasis"/>
          <w:i w:val="0"/>
        </w:rPr>
        <w:t xml:space="preserve">, </w:t>
      </w:r>
      <w:r>
        <w:rPr>
          <w:rStyle w:val="SubtleEmphasis"/>
          <w:i w:val="0"/>
        </w:rPr>
        <w:t>‘</w:t>
      </w:r>
      <w:r w:rsidR="00180F83">
        <w:rPr>
          <w:rStyle w:val="SubtleEmphasis"/>
          <w:i w:val="0"/>
        </w:rPr>
        <w:t>DAG</w:t>
      </w:r>
      <w:r>
        <w:rPr>
          <w:rStyle w:val="SubtleEmphasis"/>
          <w:i w:val="0"/>
        </w:rPr>
        <w:t>’</w:t>
      </w:r>
      <w:r w:rsidR="00180F83">
        <w:rPr>
          <w:rStyle w:val="SubtleEmphasis"/>
          <w:i w:val="0"/>
        </w:rPr>
        <w:t>,</w:t>
      </w:r>
      <w:r w:rsidR="00EC41EF">
        <w:rPr>
          <w:rStyle w:val="SubtleEmphasis"/>
          <w:i w:val="0"/>
        </w:rPr>
        <w:t xml:space="preserve"> ‘</w:t>
      </w:r>
      <w:hyperlink r:id="rId10" w:history="1">
        <w:r w:rsidR="00EC41EF" w:rsidRPr="00EC41EF">
          <w:rPr>
            <w:rStyle w:val="Hyperlink"/>
          </w:rPr>
          <w:t>Eulerian circuit</w:t>
        </w:r>
      </w:hyperlink>
      <w:r w:rsidR="00EC41EF">
        <w:rPr>
          <w:rStyle w:val="SubtleEmphasis"/>
          <w:i w:val="0"/>
        </w:rPr>
        <w:t>’,</w:t>
      </w:r>
      <w:r w:rsidR="00180F83">
        <w:rPr>
          <w:rStyle w:val="SubtleEmphasis"/>
          <w:i w:val="0"/>
        </w:rPr>
        <w:t xml:space="preserve"> etc):</w:t>
      </w:r>
    </w:p>
    <w:p w:rsidR="00180F83" w:rsidRDefault="00180F83" w:rsidP="0044764D">
      <w:pPr>
        <w:rPr>
          <w:rStyle w:val="SubtleEmphasis"/>
          <w:i w:val="0"/>
        </w:rPr>
      </w:pPr>
    </w:p>
    <w:p w:rsidR="00261232" w:rsidRPr="00261232" w:rsidRDefault="00261232" w:rsidP="0044764D">
      <w:pPr>
        <w:rPr>
          <w:rStyle w:val="SubtleEmphasis"/>
          <w:i w:val="0"/>
        </w:rPr>
      </w:pPr>
      <w:r w:rsidRPr="00261232">
        <w:rPr>
          <w:rStyle w:val="SubtleEmphasis"/>
          <w:i w:val="0"/>
        </w:rPr>
        <w:t>Requirements Traceability:</w:t>
      </w:r>
    </w:p>
    <w:p w:rsidR="00261232" w:rsidRPr="005E3574" w:rsidRDefault="00261232" w:rsidP="0044764D">
      <w:pPr>
        <w:rPr>
          <w:rStyle w:val="SubtleEmphasis"/>
          <w:rFonts w:ascii="Verdana" w:hAnsi="Verdana"/>
          <w:iCs w:val="0"/>
          <w:color w:val="333333"/>
          <w:sz w:val="17"/>
          <w:szCs w:val="17"/>
          <w:shd w:val="clear" w:color="auto" w:fill="FFFFFF"/>
        </w:rPr>
      </w:pPr>
      <w:r w:rsidRPr="00261232">
        <w:rPr>
          <w:rFonts w:ascii="Verdana" w:hAnsi="Verdana"/>
          <w:i/>
          <w:color w:val="333333"/>
          <w:sz w:val="17"/>
          <w:szCs w:val="17"/>
          <w:shd w:val="clear" w:color="auto" w:fill="FFFFFF"/>
        </w:rPr>
        <w:t>Requirements tracing is the process of documenting the links between the user requirements for the system you're building and the work products developed to implement and verify those requirements.</w:t>
      </w:r>
      <w:r w:rsidR="00DA5A34">
        <w:rPr>
          <w:rFonts w:ascii="Verdana" w:hAnsi="Verdana"/>
          <w:i/>
          <w:color w:val="333333"/>
          <w:sz w:val="17"/>
          <w:szCs w:val="17"/>
          <w:shd w:val="clear" w:color="auto" w:fill="FFFFFF"/>
        </w:rPr>
        <w:t xml:space="preserve"> Sometimes, this is a matter of tracing a requirement described in one document to its measure described in another </w:t>
      </w:r>
      <w:r w:rsidR="00DA5A34">
        <w:rPr>
          <w:rFonts w:ascii="Verdana" w:hAnsi="Verdana"/>
          <w:i/>
          <w:color w:val="333333"/>
          <w:sz w:val="17"/>
          <w:szCs w:val="17"/>
          <w:shd w:val="clear" w:color="auto" w:fill="FFFFFF"/>
        </w:rPr>
        <w:fldChar w:fldCharType="begin" w:fldLock="1"/>
      </w:r>
      <w:r w:rsidR="00CD62F3">
        <w:rPr>
          <w:rFonts w:ascii="Verdana" w:hAnsi="Verdana"/>
          <w:i/>
          <w:color w:val="333333"/>
          <w:sz w:val="17"/>
          <w:szCs w:val="17"/>
          <w:shd w:val="clear" w:color="auto" w:fill="FFFFFF"/>
        </w:rPr>
        <w:instrText>ADDIN CSL_CITATION { "citationItems" : [ { "id" : "ITEM-1", "itemData" : { "author" : [ { "dropping-particle" : "", "family" : "Shin", "given" : "Yonghee", "non-dropping-particle" : "", "parse-names" : false, "suffix" : "" }, { "dropping-particle" : "", "family" : "Hayes", "given" : "Jane Huffman", "non-dropping-particle" : "", "parse-names" : false, "suffix" : "" }, { "dropping-particle" : "", "family" : "Cleland-Huang", "given" : "Jane", "non-dropping-particle" : "", "parse-names" : false, "suffix" : "" } ], "id" : "ITEM-1", "issued" : { "date-parts" : [ [ "2012" ] ] }, "title" : "A framework for evaluating traceability benchmark metrics", "type" : "article-journal" }, "uris" : [ "http://www.mendeley.com/documents/?uuid=9139eae2-dc0b-4f3d-8062-f51b591c209e" ] } ], "mendeley" : { "previouslyFormattedCitation" : "[5]" }, "properties" : { "noteIndex" : 0 }, "schema" : "https://github.com/citation-style-language/schema/raw/master/csl-citation.json" }</w:instrText>
      </w:r>
      <w:r w:rsidR="00DA5A34">
        <w:rPr>
          <w:rFonts w:ascii="Verdana" w:hAnsi="Verdana"/>
          <w:i/>
          <w:color w:val="333333"/>
          <w:sz w:val="17"/>
          <w:szCs w:val="17"/>
          <w:shd w:val="clear" w:color="auto" w:fill="FFFFFF"/>
        </w:rPr>
        <w:fldChar w:fldCharType="separate"/>
      </w:r>
      <w:r w:rsidR="00DA5A34" w:rsidRPr="00DA5A34">
        <w:rPr>
          <w:rFonts w:ascii="Verdana" w:hAnsi="Verdana"/>
          <w:noProof/>
          <w:color w:val="333333"/>
          <w:sz w:val="17"/>
          <w:szCs w:val="17"/>
          <w:shd w:val="clear" w:color="auto" w:fill="FFFFFF"/>
        </w:rPr>
        <w:t>[5]</w:t>
      </w:r>
      <w:r w:rsidR="00DA5A34">
        <w:rPr>
          <w:rFonts w:ascii="Verdana" w:hAnsi="Verdana"/>
          <w:i/>
          <w:color w:val="333333"/>
          <w:sz w:val="17"/>
          <w:szCs w:val="17"/>
          <w:shd w:val="clear" w:color="auto" w:fill="FFFFFF"/>
        </w:rPr>
        <w:fldChar w:fldCharType="end"/>
      </w:r>
    </w:p>
    <w:p w:rsidR="0011143C" w:rsidRDefault="0011143C" w:rsidP="0044764D">
      <w:pPr>
        <w:rPr>
          <w:rStyle w:val="SubtleEmphasis"/>
          <w:i w:val="0"/>
        </w:rPr>
      </w:pPr>
    </w:p>
    <w:p w:rsidR="00806E16" w:rsidRDefault="00806E16" w:rsidP="0044764D">
      <w:pPr>
        <w:rPr>
          <w:rStyle w:val="SubtleEmphasis"/>
          <w:i w:val="0"/>
        </w:rPr>
      </w:pPr>
      <w:r>
        <w:rPr>
          <w:rStyle w:val="SubtleEmphasis"/>
          <w:i w:val="0"/>
        </w:rPr>
        <w:t>Reliability Growth Model:</w:t>
      </w:r>
    </w:p>
    <w:p w:rsidR="00806E16" w:rsidRDefault="00806E16" w:rsidP="0044764D">
      <w:pPr>
        <w:rPr>
          <w:i/>
          <w:iCs/>
          <w:color w:val="404040" w:themeColor="text1" w:themeTint="BF"/>
        </w:rPr>
      </w:pPr>
      <w:r w:rsidRPr="00806E16">
        <w:rPr>
          <w:i/>
          <w:iCs/>
          <w:color w:val="404040" w:themeColor="text1" w:themeTint="BF"/>
        </w:rPr>
        <w:t xml:space="preserve">A </w:t>
      </w:r>
      <w:hyperlink r:id="rId11" w:history="1">
        <w:r w:rsidRPr="00295033">
          <w:rPr>
            <w:rStyle w:val="Hyperlink"/>
            <w:i/>
            <w:iCs/>
          </w:rPr>
          <w:t>reliability growth model</w:t>
        </w:r>
      </w:hyperlink>
      <w:r w:rsidRPr="00806E16">
        <w:rPr>
          <w:i/>
          <w:iCs/>
          <w:color w:val="404040" w:themeColor="text1" w:themeTint="BF"/>
        </w:rPr>
        <w:t xml:space="preserve"> is a model of how the system reliability changes over time during the testing process</w:t>
      </w:r>
    </w:p>
    <w:p w:rsidR="00C9578F" w:rsidRPr="00806E16" w:rsidRDefault="00C9578F" w:rsidP="0044764D">
      <w:pPr>
        <w:rPr>
          <w:rStyle w:val="SubtleEmphasis"/>
          <w:i w:val="0"/>
        </w:rPr>
      </w:pPr>
    </w:p>
    <w:p w:rsidR="00901DF8" w:rsidRPr="00A14DB8" w:rsidRDefault="003A04CF" w:rsidP="00A14DB8">
      <w:pPr>
        <w:rPr>
          <w:rStyle w:val="SubtleEmphasis"/>
        </w:rPr>
      </w:pPr>
      <w:r>
        <w:rPr>
          <w:rStyle w:val="SubtleEmphasis"/>
        </w:rPr>
        <w:t>(</w:t>
      </w:r>
      <w:r w:rsidR="00A14DB8">
        <w:rPr>
          <w:rStyle w:val="SubtleEmphasis"/>
        </w:rPr>
        <w:t>Heisenbug</w:t>
      </w:r>
      <w:r w:rsidR="002713B2">
        <w:rPr>
          <w:rStyle w:val="SubtleEmphasis"/>
        </w:rPr>
        <w:t xml:space="preserve"> is</w:t>
      </w:r>
      <w:r>
        <w:rPr>
          <w:rStyle w:val="SubtleEmphasis"/>
        </w:rPr>
        <w:t xml:space="preserve"> sensitive to..)</w:t>
      </w:r>
      <w:r w:rsidR="00901DF8" w:rsidRPr="00F601B4">
        <w:rPr>
          <w:rStyle w:val="SubtleEmphasis"/>
          <w:i w:val="0"/>
        </w:rPr>
        <w:t>Observer Effect:</w:t>
      </w:r>
    </w:p>
    <w:p w:rsidR="00F71915" w:rsidRPr="00F71915" w:rsidRDefault="00F71915" w:rsidP="00F71915">
      <w:pPr>
        <w:rPr>
          <w:i/>
          <w:iCs/>
          <w:color w:val="404040" w:themeColor="text1" w:themeTint="BF"/>
        </w:rPr>
      </w:pPr>
      <w:r w:rsidRPr="00F71915">
        <w:rPr>
          <w:i/>
          <w:iCs/>
          <w:color w:val="404040" w:themeColor="text1" w:themeTint="BF"/>
        </w:rPr>
        <w:t>Attempts to find the bug by inserting debugging code or running in a debugger often disrupt the sequence of events that led to</w:t>
      </w:r>
      <w:r>
        <w:rPr>
          <w:i/>
          <w:iCs/>
          <w:color w:val="404040" w:themeColor="text1" w:themeTint="BF"/>
        </w:rPr>
        <w:t xml:space="preserve"> </w:t>
      </w:r>
      <w:r w:rsidRPr="00F71915">
        <w:rPr>
          <w:i/>
          <w:iCs/>
          <w:color w:val="404040" w:themeColor="text1" w:themeTint="BF"/>
        </w:rPr>
        <w:t>the bug, making it go away.</w:t>
      </w:r>
      <w:r w:rsidRPr="00F71915">
        <w:rPr>
          <w:i/>
          <w:iCs/>
          <w:color w:val="404040" w:themeColor="text1" w:themeTint="BF"/>
        </w:rPr>
        <w:fldChar w:fldCharType="begin" w:fldLock="1"/>
      </w:r>
      <w:r w:rsidRPr="00F71915">
        <w:rPr>
          <w:i/>
          <w:iCs/>
          <w:color w:val="404040" w:themeColor="text1" w:themeTint="BF"/>
        </w:rPr>
        <w:instrText>ADDIN CSL_CITATION { "citationItems" : [ { "id" : "ITEM-1", "itemData" : { "DOI" : "10.1145/2330667.2330683", "ISSN" : "0001-0782", "author" : [ { "dropping-particle" : "", "family" : "Berger", "given" : "Emery D", "non-dropping-particle" : "", "parse-names" : false, "suffix" : "" } ], "container-title" : "Commun. ACM", "id" : "ITEM-1", "issue" : "9", "issued" : { "date-parts" : [ [ "2012", "9" ] ] }, "page" : "48-53", "publisher" : "ACM", "publisher-place" : "New York, NY, USA", "title" : "Software needs seatbelts and airbags", "type" : "article-journal", "volume" : "55" }, "uris" : [ "http://www.mendeley.com/documents/?uuid=7a45c141-b588-410f-b19f-e79d6e9e9988" ] } ], "mendeley" : { "previouslyFormattedCitation" : "[6]" }, "properties" : { "noteIndex" : 0 }, "schema" : "https://github.com/citation-style-language/schema/raw/master/csl-citation.json" }</w:instrText>
      </w:r>
      <w:r w:rsidRPr="00F71915">
        <w:rPr>
          <w:i/>
          <w:iCs/>
          <w:color w:val="404040" w:themeColor="text1" w:themeTint="BF"/>
        </w:rPr>
        <w:fldChar w:fldCharType="separate"/>
      </w:r>
      <w:r w:rsidRPr="00F71915">
        <w:rPr>
          <w:i/>
          <w:iCs/>
          <w:color w:val="404040" w:themeColor="text1" w:themeTint="BF"/>
        </w:rPr>
        <w:t>[6]</w:t>
      </w:r>
      <w:r w:rsidRPr="00F71915">
        <w:rPr>
          <w:i/>
          <w:iCs/>
          <w:color w:val="404040" w:themeColor="text1" w:themeTint="BF"/>
        </w:rPr>
        <w:fldChar w:fldCharType="end"/>
      </w:r>
    </w:p>
    <w:p w:rsidR="00F54B01" w:rsidRPr="00901DF8" w:rsidRDefault="00F54B01" w:rsidP="0044764D">
      <w:pPr>
        <w:rPr>
          <w:rStyle w:val="SubtleEmphasis"/>
        </w:rPr>
      </w:pPr>
    </w:p>
    <w:p w:rsidR="0096257E" w:rsidRDefault="0096257E">
      <w:pPr>
        <w:rPr>
          <w:rFonts w:ascii="CMR10" w:hAnsi="CMR10" w:cs="CMR10"/>
        </w:rPr>
      </w:pPr>
      <w:r>
        <w:rPr>
          <w:rFonts w:ascii="CMR10" w:hAnsi="CMR10" w:cs="CMR10"/>
        </w:rPr>
        <w:br w:type="page"/>
      </w:r>
    </w:p>
    <w:p w:rsidR="002B14C8" w:rsidRDefault="0096257E" w:rsidP="0096257E">
      <w:pPr>
        <w:pStyle w:val="Heading1"/>
        <w:rPr>
          <w:sz w:val="20"/>
          <w:szCs w:val="20"/>
        </w:rPr>
      </w:pPr>
      <w:bookmarkStart w:id="1" w:name="_Bibliography"/>
      <w:bookmarkEnd w:id="1"/>
      <w:r>
        <w:lastRenderedPageBreak/>
        <w:t>Bibliography</w:t>
      </w:r>
    </w:p>
    <w:p w:rsidR="00CD62F3" w:rsidRPr="00CD62F3" w:rsidRDefault="0096257E">
      <w:pPr>
        <w:pStyle w:val="NormalWeb"/>
        <w:ind w:left="640" w:hanging="640"/>
        <w:divId w:val="895817997"/>
        <w:rPr>
          <w:rFonts w:ascii="CMR10" w:hAnsi="CMR10"/>
          <w:noProof/>
          <w:sz w:val="20"/>
        </w:rPr>
      </w:pPr>
      <w:r>
        <w:rPr>
          <w:rFonts w:ascii="CMR10" w:hAnsi="CMR10" w:cs="CMR10"/>
          <w:sz w:val="20"/>
          <w:szCs w:val="20"/>
        </w:rPr>
        <w:fldChar w:fldCharType="begin" w:fldLock="1"/>
      </w:r>
      <w:r>
        <w:rPr>
          <w:rFonts w:ascii="CMR10" w:hAnsi="CMR10" w:cs="CMR10"/>
          <w:sz w:val="20"/>
          <w:szCs w:val="20"/>
        </w:rPr>
        <w:instrText xml:space="preserve">ADDIN Mendeley Bibliography CSL_BIBLIOGRAPHY </w:instrText>
      </w:r>
      <w:r>
        <w:rPr>
          <w:rFonts w:ascii="CMR10" w:hAnsi="CMR10" w:cs="CMR10"/>
          <w:sz w:val="20"/>
          <w:szCs w:val="20"/>
        </w:rPr>
        <w:fldChar w:fldCharType="separate"/>
      </w:r>
      <w:r w:rsidR="00CD62F3" w:rsidRPr="00CD62F3">
        <w:rPr>
          <w:rFonts w:ascii="CMR10" w:hAnsi="CMR10"/>
          <w:noProof/>
          <w:sz w:val="20"/>
        </w:rPr>
        <w:t>[1]</w:t>
      </w:r>
      <w:r w:rsidR="00CD62F3" w:rsidRPr="00CD62F3">
        <w:rPr>
          <w:rFonts w:ascii="CMR10" w:hAnsi="CMR10"/>
          <w:noProof/>
          <w:sz w:val="20"/>
        </w:rPr>
        <w:tab/>
        <w:t>Etestinghub, “No Title.”</w:t>
      </w:r>
    </w:p>
    <w:p w:rsidR="00CD62F3" w:rsidRPr="00CD62F3" w:rsidRDefault="00CD62F3">
      <w:pPr>
        <w:pStyle w:val="NormalWeb"/>
        <w:ind w:left="640" w:hanging="640"/>
        <w:divId w:val="895817997"/>
        <w:rPr>
          <w:rFonts w:ascii="CMR10" w:hAnsi="CMR10"/>
          <w:noProof/>
          <w:sz w:val="20"/>
        </w:rPr>
      </w:pPr>
      <w:r w:rsidRPr="00CD62F3">
        <w:rPr>
          <w:rFonts w:ascii="CMR10" w:hAnsi="CMR10"/>
          <w:noProof/>
          <w:sz w:val="20"/>
        </w:rPr>
        <w:t>[2]</w:t>
      </w:r>
      <w:r w:rsidRPr="00CD62F3">
        <w:rPr>
          <w:rFonts w:ascii="CMR10" w:hAnsi="CMR10"/>
          <w:noProof/>
          <w:sz w:val="20"/>
        </w:rPr>
        <w:tab/>
        <w:t xml:space="preserve">M. D. Ernst, J. Cockrell, W. G. Griswold, and D. Notkin, “Dynamically discovering likely program invariants to support program evolution,” in </w:t>
      </w:r>
      <w:r w:rsidRPr="00CD62F3">
        <w:rPr>
          <w:rFonts w:ascii="CMR10" w:hAnsi="CMR10"/>
          <w:i/>
          <w:iCs/>
          <w:noProof/>
          <w:sz w:val="20"/>
        </w:rPr>
        <w:t>Proceedings of the 21st international conference on Software engineering</w:t>
      </w:r>
      <w:r w:rsidRPr="00CD62F3">
        <w:rPr>
          <w:rFonts w:ascii="CMR10" w:hAnsi="CMR10"/>
          <w:noProof/>
          <w:sz w:val="20"/>
        </w:rPr>
        <w:t>, 1999, pp. 213–224.</w:t>
      </w:r>
    </w:p>
    <w:p w:rsidR="00CD62F3" w:rsidRPr="00CD62F3" w:rsidRDefault="00CD62F3">
      <w:pPr>
        <w:pStyle w:val="NormalWeb"/>
        <w:ind w:left="640" w:hanging="640"/>
        <w:divId w:val="895817997"/>
        <w:rPr>
          <w:rFonts w:ascii="CMR10" w:hAnsi="CMR10"/>
          <w:noProof/>
          <w:sz w:val="20"/>
        </w:rPr>
      </w:pPr>
      <w:r w:rsidRPr="00CD62F3">
        <w:rPr>
          <w:rFonts w:ascii="CMR10" w:hAnsi="CMR10"/>
          <w:noProof/>
          <w:sz w:val="20"/>
        </w:rPr>
        <w:t>[3]</w:t>
      </w:r>
      <w:r w:rsidRPr="00CD62F3">
        <w:rPr>
          <w:rFonts w:ascii="CMR10" w:hAnsi="CMR10"/>
          <w:noProof/>
          <w:sz w:val="20"/>
        </w:rPr>
        <w:tab/>
        <w:t xml:space="preserve">L. Hatton, “Defects, Scientific Computation and the Scientific Method,” in in </w:t>
      </w:r>
      <w:r w:rsidRPr="00CD62F3">
        <w:rPr>
          <w:rFonts w:ascii="CMR10" w:hAnsi="CMR10"/>
          <w:i/>
          <w:iCs/>
          <w:noProof/>
          <w:sz w:val="20"/>
        </w:rPr>
        <w:t>Uncertainty Quantification in Scientific Computing SE  - 8</w:t>
      </w:r>
      <w:r w:rsidRPr="00CD62F3">
        <w:rPr>
          <w:rFonts w:ascii="CMR10" w:hAnsi="CMR10"/>
          <w:noProof/>
          <w:sz w:val="20"/>
        </w:rPr>
        <w:t>, vol. 377, A. Dienstfrey and R. Boisvert, Eds. Springer Berlin Heidelberg, 2012, pp. 123–138.</w:t>
      </w:r>
    </w:p>
    <w:p w:rsidR="00CD62F3" w:rsidRPr="00CD62F3" w:rsidRDefault="00CD62F3">
      <w:pPr>
        <w:pStyle w:val="NormalWeb"/>
        <w:ind w:left="640" w:hanging="640"/>
        <w:divId w:val="895817997"/>
        <w:rPr>
          <w:rFonts w:ascii="CMR10" w:hAnsi="CMR10"/>
          <w:noProof/>
          <w:sz w:val="20"/>
        </w:rPr>
      </w:pPr>
      <w:r w:rsidRPr="00CD62F3">
        <w:rPr>
          <w:rFonts w:ascii="CMR10" w:hAnsi="CMR10"/>
          <w:noProof/>
          <w:sz w:val="20"/>
        </w:rPr>
        <w:t>[5]</w:t>
      </w:r>
      <w:r w:rsidRPr="00CD62F3">
        <w:rPr>
          <w:rFonts w:ascii="CMR10" w:hAnsi="CMR10"/>
          <w:noProof/>
          <w:sz w:val="20"/>
        </w:rPr>
        <w:tab/>
        <w:t>Y. Shin, J. H. Hayes, and J. Cleland-Huang, “A framework for evaluating traceability benchmark metrics,” 2012.</w:t>
      </w:r>
    </w:p>
    <w:p w:rsidR="00CD62F3" w:rsidRPr="00CD62F3" w:rsidRDefault="00CD62F3">
      <w:pPr>
        <w:pStyle w:val="NormalWeb"/>
        <w:ind w:left="640" w:hanging="640"/>
        <w:divId w:val="895817997"/>
        <w:rPr>
          <w:rFonts w:ascii="CMR10" w:hAnsi="CMR10"/>
          <w:noProof/>
          <w:sz w:val="20"/>
        </w:rPr>
      </w:pPr>
      <w:r w:rsidRPr="00CD62F3">
        <w:rPr>
          <w:rFonts w:ascii="CMR10" w:hAnsi="CMR10"/>
          <w:noProof/>
          <w:sz w:val="20"/>
        </w:rPr>
        <w:t>[6]</w:t>
      </w:r>
      <w:r w:rsidRPr="00CD62F3">
        <w:rPr>
          <w:rFonts w:ascii="CMR10" w:hAnsi="CMR10"/>
          <w:noProof/>
          <w:sz w:val="20"/>
        </w:rPr>
        <w:tab/>
        <w:t xml:space="preserve">E. D. Berger, “Software needs seatbelts and airbags,” </w:t>
      </w:r>
      <w:r w:rsidRPr="00CD62F3">
        <w:rPr>
          <w:rFonts w:ascii="CMR10" w:hAnsi="CMR10"/>
          <w:i/>
          <w:iCs/>
          <w:noProof/>
          <w:sz w:val="20"/>
        </w:rPr>
        <w:t>Commun. ACM</w:t>
      </w:r>
      <w:r w:rsidRPr="00CD62F3">
        <w:rPr>
          <w:rFonts w:ascii="CMR10" w:hAnsi="CMR10"/>
          <w:noProof/>
          <w:sz w:val="20"/>
        </w:rPr>
        <w:t xml:space="preserve">, vol. 55, no. 9, pp. 48–53, Sep. 2012. </w:t>
      </w:r>
    </w:p>
    <w:p w:rsidR="002B14C8" w:rsidRDefault="0096257E" w:rsidP="00EE57A1">
      <w:r>
        <w:rPr>
          <w:rFonts w:ascii="CMR10" w:hAnsi="CMR10" w:cs="CMR10"/>
        </w:rPr>
        <w:fldChar w:fldCharType="end"/>
      </w:r>
    </w:p>
    <w:sectPr w:rsidR="002B14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AAA" w:rsidRDefault="00441AAA" w:rsidP="00AA1F20">
      <w:r>
        <w:separator/>
      </w:r>
    </w:p>
  </w:endnote>
  <w:endnote w:type="continuationSeparator" w:id="0">
    <w:p w:rsidR="00441AAA" w:rsidRDefault="00441AAA" w:rsidP="00AA1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F20" w:rsidRDefault="00AA1F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F20" w:rsidRDefault="00AA1F2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F20" w:rsidRDefault="00AA1F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AAA" w:rsidRDefault="00441AAA" w:rsidP="00AA1F20">
      <w:r>
        <w:separator/>
      </w:r>
    </w:p>
  </w:footnote>
  <w:footnote w:type="continuationSeparator" w:id="0">
    <w:p w:rsidR="00441AAA" w:rsidRDefault="00441AAA" w:rsidP="00AA1F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F20" w:rsidRDefault="00AA1F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42B" w:rsidRDefault="004504C8" w:rsidP="004B125E">
    <w:pPr>
      <w:pStyle w:val="Header"/>
    </w:pPr>
    <w:r>
      <w:t xml:space="preserve">Chris Cargile  - </w:t>
    </w:r>
    <w:r w:rsidR="00AA1F20">
      <w:t>Paper 3</w:t>
    </w:r>
    <w:r w:rsidR="00473B1E">
      <w:t>, Prompt 4 Paper outline</w:t>
    </w:r>
  </w:p>
  <w:p w:rsidR="00786A7C" w:rsidRDefault="00786A7C" w:rsidP="00786A7C">
    <w:pPr>
      <w:pStyle w:val="Header"/>
    </w:pPr>
    <w:r>
      <w:t>CSCI602 – 11/08/13</w:t>
    </w:r>
  </w:p>
  <w:p w:rsidR="00786A7C" w:rsidRDefault="00786A7C" w:rsidP="004B125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F20" w:rsidRDefault="00AA1F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50651"/>
    <w:multiLevelType w:val="hybridMultilevel"/>
    <w:tmpl w:val="10328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04EEF"/>
    <w:multiLevelType w:val="hybridMultilevel"/>
    <w:tmpl w:val="BAB2B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9167E0"/>
    <w:multiLevelType w:val="hybridMultilevel"/>
    <w:tmpl w:val="034E3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F7BF8"/>
    <w:multiLevelType w:val="hybridMultilevel"/>
    <w:tmpl w:val="5F1AC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F0769C"/>
    <w:multiLevelType w:val="hybridMultilevel"/>
    <w:tmpl w:val="B02AD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D2CF1"/>
    <w:multiLevelType w:val="hybridMultilevel"/>
    <w:tmpl w:val="A2B8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5F085D"/>
    <w:multiLevelType w:val="hybridMultilevel"/>
    <w:tmpl w:val="7F7C3582"/>
    <w:lvl w:ilvl="0" w:tplc="088C59FC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="CMR10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A1"/>
    <w:rsid w:val="00007386"/>
    <w:rsid w:val="00010259"/>
    <w:rsid w:val="000114FC"/>
    <w:rsid w:val="0001736F"/>
    <w:rsid w:val="000230B0"/>
    <w:rsid w:val="00041428"/>
    <w:rsid w:val="000514B2"/>
    <w:rsid w:val="00067CC4"/>
    <w:rsid w:val="000749D8"/>
    <w:rsid w:val="000C57C2"/>
    <w:rsid w:val="000E5F94"/>
    <w:rsid w:val="0010442B"/>
    <w:rsid w:val="0011143C"/>
    <w:rsid w:val="0017589F"/>
    <w:rsid w:val="00180F83"/>
    <w:rsid w:val="001A3B66"/>
    <w:rsid w:val="001B4997"/>
    <w:rsid w:val="001B62AF"/>
    <w:rsid w:val="001C1EB0"/>
    <w:rsid w:val="001E16EC"/>
    <w:rsid w:val="001E609D"/>
    <w:rsid w:val="002155DE"/>
    <w:rsid w:val="002361D8"/>
    <w:rsid w:val="00241CD8"/>
    <w:rsid w:val="00261232"/>
    <w:rsid w:val="0026607B"/>
    <w:rsid w:val="002713B2"/>
    <w:rsid w:val="0027275B"/>
    <w:rsid w:val="00295033"/>
    <w:rsid w:val="00296FD1"/>
    <w:rsid w:val="002B14C8"/>
    <w:rsid w:val="002C59A7"/>
    <w:rsid w:val="002C646A"/>
    <w:rsid w:val="002C771C"/>
    <w:rsid w:val="002D2365"/>
    <w:rsid w:val="002E4819"/>
    <w:rsid w:val="002F7FEB"/>
    <w:rsid w:val="00310EF7"/>
    <w:rsid w:val="0031588F"/>
    <w:rsid w:val="0033732C"/>
    <w:rsid w:val="00351E59"/>
    <w:rsid w:val="00372D4A"/>
    <w:rsid w:val="003866AE"/>
    <w:rsid w:val="003A04CF"/>
    <w:rsid w:val="003B146F"/>
    <w:rsid w:val="003D31CE"/>
    <w:rsid w:val="003D77C0"/>
    <w:rsid w:val="003F3260"/>
    <w:rsid w:val="003F7D07"/>
    <w:rsid w:val="00420409"/>
    <w:rsid w:val="00420920"/>
    <w:rsid w:val="00441AAA"/>
    <w:rsid w:val="0044764D"/>
    <w:rsid w:val="004504C8"/>
    <w:rsid w:val="00473B1E"/>
    <w:rsid w:val="004844FF"/>
    <w:rsid w:val="004B125E"/>
    <w:rsid w:val="004B7CB8"/>
    <w:rsid w:val="004E3BD9"/>
    <w:rsid w:val="005006CC"/>
    <w:rsid w:val="00502FC5"/>
    <w:rsid w:val="00514CA8"/>
    <w:rsid w:val="00514D48"/>
    <w:rsid w:val="00517DE7"/>
    <w:rsid w:val="00554AB2"/>
    <w:rsid w:val="00555C83"/>
    <w:rsid w:val="005759DE"/>
    <w:rsid w:val="005948DA"/>
    <w:rsid w:val="005A38EA"/>
    <w:rsid w:val="005C33AF"/>
    <w:rsid w:val="005D6C82"/>
    <w:rsid w:val="005E065B"/>
    <w:rsid w:val="005E3574"/>
    <w:rsid w:val="005E7B77"/>
    <w:rsid w:val="0060296B"/>
    <w:rsid w:val="006271A6"/>
    <w:rsid w:val="00684917"/>
    <w:rsid w:val="006D4F95"/>
    <w:rsid w:val="00711794"/>
    <w:rsid w:val="00714BFA"/>
    <w:rsid w:val="007154EF"/>
    <w:rsid w:val="00731F86"/>
    <w:rsid w:val="00746E00"/>
    <w:rsid w:val="00784AB8"/>
    <w:rsid w:val="00786A7C"/>
    <w:rsid w:val="007926CB"/>
    <w:rsid w:val="007975F8"/>
    <w:rsid w:val="007B6654"/>
    <w:rsid w:val="007E6FF5"/>
    <w:rsid w:val="008050C1"/>
    <w:rsid w:val="00806E16"/>
    <w:rsid w:val="00846F55"/>
    <w:rsid w:val="00861EFB"/>
    <w:rsid w:val="008802D0"/>
    <w:rsid w:val="00885F8A"/>
    <w:rsid w:val="008B07CC"/>
    <w:rsid w:val="008F2A76"/>
    <w:rsid w:val="00901DF8"/>
    <w:rsid w:val="00930124"/>
    <w:rsid w:val="00940A07"/>
    <w:rsid w:val="00952DFC"/>
    <w:rsid w:val="0096257E"/>
    <w:rsid w:val="00996EDA"/>
    <w:rsid w:val="00997A96"/>
    <w:rsid w:val="00A14DB8"/>
    <w:rsid w:val="00A45B9D"/>
    <w:rsid w:val="00A61D65"/>
    <w:rsid w:val="00A767C5"/>
    <w:rsid w:val="00A768A7"/>
    <w:rsid w:val="00A93B88"/>
    <w:rsid w:val="00A9485F"/>
    <w:rsid w:val="00AA1F20"/>
    <w:rsid w:val="00AB7E8F"/>
    <w:rsid w:val="00B03D28"/>
    <w:rsid w:val="00B0677E"/>
    <w:rsid w:val="00B4723A"/>
    <w:rsid w:val="00B70098"/>
    <w:rsid w:val="00B77894"/>
    <w:rsid w:val="00B83C53"/>
    <w:rsid w:val="00BA125B"/>
    <w:rsid w:val="00BD3CC8"/>
    <w:rsid w:val="00C204B4"/>
    <w:rsid w:val="00C4700D"/>
    <w:rsid w:val="00C914AC"/>
    <w:rsid w:val="00C9578F"/>
    <w:rsid w:val="00CB605E"/>
    <w:rsid w:val="00CD62F3"/>
    <w:rsid w:val="00CF6706"/>
    <w:rsid w:val="00CF7072"/>
    <w:rsid w:val="00D26741"/>
    <w:rsid w:val="00D35EB0"/>
    <w:rsid w:val="00D52417"/>
    <w:rsid w:val="00D559D4"/>
    <w:rsid w:val="00D56238"/>
    <w:rsid w:val="00DA5A34"/>
    <w:rsid w:val="00DF6FBF"/>
    <w:rsid w:val="00DF79B6"/>
    <w:rsid w:val="00E24E6C"/>
    <w:rsid w:val="00E3005B"/>
    <w:rsid w:val="00E84A98"/>
    <w:rsid w:val="00EC41EF"/>
    <w:rsid w:val="00ED0A41"/>
    <w:rsid w:val="00EE57A1"/>
    <w:rsid w:val="00F12E1E"/>
    <w:rsid w:val="00F144D6"/>
    <w:rsid w:val="00F32538"/>
    <w:rsid w:val="00F332E0"/>
    <w:rsid w:val="00F408D6"/>
    <w:rsid w:val="00F43664"/>
    <w:rsid w:val="00F54B01"/>
    <w:rsid w:val="00F601B4"/>
    <w:rsid w:val="00F60ECA"/>
    <w:rsid w:val="00F71915"/>
    <w:rsid w:val="00F8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7EA5B-3F3A-431C-98CE-1618F998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57E"/>
  </w:style>
  <w:style w:type="paragraph" w:styleId="Heading1">
    <w:name w:val="heading 1"/>
    <w:basedOn w:val="Normal"/>
    <w:next w:val="Normal"/>
    <w:link w:val="Heading1Char"/>
    <w:uiPriority w:val="9"/>
    <w:qFormat/>
    <w:rsid w:val="0096257E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57E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5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5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57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57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57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57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57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257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625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57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57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57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57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57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57E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57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57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257E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6257E"/>
    <w:pPr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57E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57E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257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6257E"/>
    <w:rPr>
      <w:b/>
      <w:bCs/>
    </w:rPr>
  </w:style>
  <w:style w:type="character" w:styleId="Emphasis">
    <w:name w:val="Emphasis"/>
    <w:basedOn w:val="DefaultParagraphFont"/>
    <w:uiPriority w:val="20"/>
    <w:qFormat/>
    <w:rsid w:val="0096257E"/>
    <w:rPr>
      <w:i/>
      <w:iCs/>
    </w:rPr>
  </w:style>
  <w:style w:type="paragraph" w:styleId="NoSpacing">
    <w:name w:val="No Spacing"/>
    <w:uiPriority w:val="1"/>
    <w:qFormat/>
    <w:rsid w:val="0096257E"/>
  </w:style>
  <w:style w:type="paragraph" w:styleId="Quote">
    <w:name w:val="Quote"/>
    <w:basedOn w:val="Normal"/>
    <w:next w:val="Normal"/>
    <w:link w:val="QuoteChar"/>
    <w:uiPriority w:val="29"/>
    <w:qFormat/>
    <w:rsid w:val="0096257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57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57E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57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6257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257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257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257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6257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257E"/>
    <w:pPr>
      <w:outlineLvl w:val="9"/>
    </w:pPr>
  </w:style>
  <w:style w:type="paragraph" w:styleId="ListParagraph">
    <w:name w:val="List Paragraph"/>
    <w:basedOn w:val="Normal"/>
    <w:uiPriority w:val="34"/>
    <w:qFormat/>
    <w:rsid w:val="00241C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2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4CA8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204B4"/>
  </w:style>
  <w:style w:type="paragraph" w:styleId="Header">
    <w:name w:val="header"/>
    <w:basedOn w:val="Normal"/>
    <w:link w:val="HeaderChar"/>
    <w:uiPriority w:val="99"/>
    <w:unhideWhenUsed/>
    <w:rsid w:val="00AA1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F20"/>
  </w:style>
  <w:style w:type="paragraph" w:styleId="Footer">
    <w:name w:val="footer"/>
    <w:basedOn w:val="Normal"/>
    <w:link w:val="FooterChar"/>
    <w:uiPriority w:val="99"/>
    <w:unhideWhenUsed/>
    <w:rsid w:val="00AA1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5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1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3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45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6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09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1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terms.com/definition/token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fs.host.cs.st-andrews.ac.uk/Books/SE9/Web/DepSecAssur/RGM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en.wikipedia.org/wiki/Eulerian_pat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Glossary_of_graph_theory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9E9BDAA-CF4A-4F27-83AE-9EB27E4BB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5994</TotalTime>
  <Pages>3</Pages>
  <Words>1638</Words>
  <Characters>9339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cargile</dc:creator>
  <cp:keywords/>
  <dc:description/>
  <cp:lastModifiedBy>chris cargile</cp:lastModifiedBy>
  <cp:revision>147</cp:revision>
  <cp:lastPrinted>2013-11-08T22:20:00Z</cp:lastPrinted>
  <dcterms:created xsi:type="dcterms:W3CDTF">2013-11-01T23:07:00Z</dcterms:created>
  <dcterms:modified xsi:type="dcterms:W3CDTF">2013-11-11T11:02:00Z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  <property fmtid="{D5CDD505-2E9C-101B-9397-08002B2CF9AE}" pid="3" name="Mendeley Document_1">
    <vt:lpwstr>True</vt:lpwstr>
  </property>
  <property fmtid="{D5CDD505-2E9C-101B-9397-08002B2CF9AE}" pid="4" name="Mendeley User Name_1">
    <vt:lpwstr>follybeachris@hotmail.com@www.mendeley.com</vt:lpwstr>
  </property>
  <property fmtid="{D5CDD505-2E9C-101B-9397-08002B2CF9AE}" pid="5" name="Mendeley Citation Style_1">
    <vt:lpwstr>http://www.zotero.org/styles/ieee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Name 0_1">
    <vt:lpwstr>American Medical Association (AMA)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Name 1_1">
    <vt:lpwstr>American Political Science Association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2_1">
    <vt:lpwstr>American Psychological Association 6th Edition</vt:lpwstr>
  </property>
  <property fmtid="{D5CDD505-2E9C-101B-9397-08002B2CF9AE}" pid="12" name="Mendeley Recent Style Id 3_1">
    <vt:lpwstr>http://www.zotero.org/styles/american-sociological-association</vt:lpwstr>
  </property>
  <property fmtid="{D5CDD505-2E9C-101B-9397-08002B2CF9AE}" pid="13" name="Mendeley Recent Style Name 3_1">
    <vt:lpwstr>American Sociological Association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4_1">
    <vt:lpwstr>Chicago Manual of Style (author-date)</vt:lpwstr>
  </property>
  <property fmtid="{D5CDD505-2E9C-101B-9397-08002B2CF9AE}" pid="16" name="Mendeley Recent Style Id 5_1">
    <vt:lpwstr>http://www.zotero.org/styles/harvard1</vt:lpwstr>
  </property>
  <property fmtid="{D5CDD505-2E9C-101B-9397-08002B2CF9AE}" pid="17" name="Mendeley Recent Style Name 5_1">
    <vt:lpwstr>Harvard Reference format 1 (author-date)</vt:lpwstr>
  </property>
  <property fmtid="{D5CDD505-2E9C-101B-9397-08002B2CF9AE}" pid="18" name="Mendeley Recent Style Id 6_1">
    <vt:lpwstr>http://www.zotero.org/styles/ieee</vt:lpwstr>
  </property>
  <property fmtid="{D5CDD505-2E9C-101B-9397-08002B2CF9AE}" pid="19" name="Mendeley Recent Style Name 6_1">
    <vt:lpwstr>IEEE</vt:lpwstr>
  </property>
  <property fmtid="{D5CDD505-2E9C-101B-9397-08002B2CF9AE}" pid="20" name="Mendeley Recent Style Id 7_1">
    <vt:lpwstr>http://www.zotero.org/styles/modern-humanities-research-association</vt:lpwstr>
  </property>
  <property fmtid="{D5CDD505-2E9C-101B-9397-08002B2CF9AE}" pid="21" name="Mendeley Recent Style Name 7_1">
    <vt:lpwstr>Modern Humanities Research Association (note with bibliography)</vt:lpwstr>
  </property>
  <property fmtid="{D5CDD505-2E9C-101B-9397-08002B2CF9AE}" pid="22" name="Mendeley Recent Style Id 8_1">
    <vt:lpwstr>http://www.zotero.org/styles/modern-language-association</vt:lpwstr>
  </property>
  <property fmtid="{D5CDD505-2E9C-101B-9397-08002B2CF9AE}" pid="23" name="Mendeley Recent Style Name 8_1">
    <vt:lpwstr>Modern Language Association</vt:lpwstr>
  </property>
  <property fmtid="{D5CDD505-2E9C-101B-9397-08002B2CF9AE}" pid="24" name="Mendeley Recent Style Id 9_1">
    <vt:lpwstr>http://www.zotero.org/styles/nature</vt:lpwstr>
  </property>
  <property fmtid="{D5CDD505-2E9C-101B-9397-08002B2CF9AE}" pid="25" name="Mendeley Recent Style Name 9_1">
    <vt:lpwstr>Nature</vt:lpwstr>
  </property>
</Properties>
</file>