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C2" w:rsidRPr="000F3F7F" w:rsidRDefault="0078095A" w:rsidP="000F3F7F">
      <w:pPr>
        <w:spacing w:after="0"/>
        <w:jc w:val="center"/>
        <w:rPr>
          <w:u w:val="single"/>
        </w:rPr>
      </w:pPr>
      <w:r>
        <w:rPr>
          <w:u w:val="single"/>
        </w:rPr>
        <w:t>HOMEWORK ASSIGNMENT: CHAPTER 12</w:t>
      </w:r>
    </w:p>
    <w:p w:rsidR="003C26FD" w:rsidRDefault="003C26FD" w:rsidP="008853C2">
      <w:pPr>
        <w:spacing w:after="0"/>
        <w:rPr>
          <w:b/>
        </w:rPr>
      </w:pPr>
    </w:p>
    <w:p w:rsidR="008853C2" w:rsidRDefault="003B0611" w:rsidP="008853C2">
      <w:pPr>
        <w:spacing w:after="0"/>
      </w:pPr>
      <w:r w:rsidRPr="004A5CCE">
        <w:rPr>
          <w:b/>
        </w:rPr>
        <w:t xml:space="preserve">Question </w:t>
      </w:r>
      <w:r w:rsidR="0078095A">
        <w:rPr>
          <w:b/>
        </w:rPr>
        <w:t>12</w:t>
      </w:r>
      <w:r w:rsidR="004A5CCE" w:rsidRPr="004A5CCE">
        <w:rPr>
          <w:b/>
        </w:rPr>
        <w:t>.1</w:t>
      </w:r>
      <w:r w:rsidR="008853C2">
        <w:rPr>
          <w:b/>
        </w:rPr>
        <w:t>:</w:t>
      </w:r>
      <w:r>
        <w:tab/>
      </w:r>
    </w:p>
    <w:p w:rsidR="0078095A" w:rsidRPr="0078095A" w:rsidRDefault="0078095A" w:rsidP="008853C2">
      <w:pPr>
        <w:spacing w:after="0"/>
        <w:rPr>
          <w:rFonts w:ascii="Latha" w:hAnsi="Latha" w:cs="Latha"/>
        </w:rPr>
      </w:pPr>
      <w:r>
        <w:t xml:space="preserve">Provide an explanation of MC/DC vs. compound condition adequacy with regard to the compound expression:   </w:t>
      </w:r>
      <w:r>
        <w:tab/>
      </w:r>
      <w:r w:rsidRPr="0078095A">
        <w:rPr>
          <w:rFonts w:ascii="Latha" w:hAnsi="Latha" w:cs="Latha"/>
        </w:rPr>
        <w:t>for</w:t>
      </w:r>
      <w:r>
        <w:rPr>
          <w:rFonts w:ascii="Latha" w:hAnsi="Latha" w:cs="Latha"/>
        </w:rPr>
        <w:t xml:space="preserve"> </w:t>
      </w:r>
      <w:r w:rsidRPr="0078095A">
        <w:rPr>
          <w:rFonts w:ascii="Latha" w:hAnsi="Latha" w:cs="Latha"/>
        </w:rPr>
        <w:t>(</w:t>
      </w:r>
      <w:r>
        <w:rPr>
          <w:rFonts w:ascii="Latha" w:hAnsi="Latha" w:cs="Latha"/>
        </w:rPr>
        <w:t xml:space="preserve"> n=0 ; </w:t>
      </w:r>
      <w:r w:rsidRPr="0078095A">
        <w:rPr>
          <w:rFonts w:ascii="Latha" w:hAnsi="Latha" w:cs="Latha"/>
        </w:rPr>
        <w:t>n&lt;max_size  &amp;&amp; (c=getc(yyin))!=EOF &amp;&amp; c!=’\n’</w:t>
      </w:r>
      <w:r>
        <w:rPr>
          <w:rFonts w:ascii="Latha" w:hAnsi="Latha" w:cs="Latha"/>
        </w:rPr>
        <w:t xml:space="preserve"> </w:t>
      </w:r>
      <w:r w:rsidRPr="0078095A">
        <w:rPr>
          <w:rFonts w:ascii="Latha" w:hAnsi="Latha" w:cs="Latha"/>
        </w:rPr>
        <w:t>; n++)</w:t>
      </w:r>
    </w:p>
    <w:p w:rsidR="0078095A" w:rsidRPr="0078095A" w:rsidRDefault="0078095A" w:rsidP="008853C2">
      <w:pPr>
        <w:spacing w:after="0"/>
      </w:pPr>
    </w:p>
    <w:p w:rsidR="002367F9" w:rsidRPr="00AC4874" w:rsidRDefault="004A72FC" w:rsidP="0024107B">
      <w:pPr>
        <w:spacing w:after="0"/>
      </w:pPr>
      <w:r>
        <w:rPr>
          <w:b/>
        </w:rPr>
        <w:t>Response</w:t>
      </w:r>
      <w:r w:rsidR="003B0611" w:rsidRPr="004A5CCE">
        <w:rPr>
          <w:b/>
        </w:rPr>
        <w:t>:</w:t>
      </w:r>
      <w:r w:rsidR="002A1DD8">
        <w:rPr>
          <w:b/>
        </w:rPr>
        <w:tab/>
      </w:r>
    </w:p>
    <w:p w:rsidR="002B29E8" w:rsidRDefault="003D045C" w:rsidP="008853C2">
      <w:pPr>
        <w:spacing w:after="0"/>
      </w:pPr>
      <w:r>
        <w:t xml:space="preserve">By determining which basic conditions within the above compound conditional expression have an effect on the overall conditional expression’s evaluation, we can simplify the number of test cases required to ensure statement and branch coverage that follows the program’s evaluation of it.  MC/DC is the type of coverage-adequacy </w:t>
      </w:r>
      <w:r>
        <w:t>extension</w:t>
      </w:r>
      <w:r>
        <w:t xml:space="preserve"> that ensures the program is thorough, in regard to its execution sequence, with minimal burden to the test suite developers, in other words.</w:t>
      </w:r>
    </w:p>
    <w:p w:rsidR="00AA3B76" w:rsidRDefault="00AA3B76" w:rsidP="008853C2">
      <w:pPr>
        <w:spacing w:after="0"/>
      </w:pPr>
    </w:p>
    <w:p w:rsidR="00147A5B" w:rsidRDefault="00CE74C9" w:rsidP="008853C2">
      <w:pPr>
        <w:spacing w:after="0"/>
      </w:pPr>
      <w:r>
        <w:t>If the compound condition expression is broken into basic conditions: a) n&lt;max_size …. C) c!=’\n’</w:t>
      </w:r>
      <w:r w:rsidR="00147A5B">
        <w:t>, we might derive a compound condition coverage table that consists of:</w:t>
      </w:r>
    </w:p>
    <w:p w:rsidR="00147A5B" w:rsidRDefault="00147A5B" w:rsidP="008853C2">
      <w:pPr>
        <w:spacing w:after="0"/>
      </w:pPr>
    </w:p>
    <w:tbl>
      <w:tblPr>
        <w:tblStyle w:val="TableGrid"/>
        <w:tblW w:w="0" w:type="auto"/>
        <w:tblLook w:val="04A0" w:firstRow="1" w:lastRow="0" w:firstColumn="1" w:lastColumn="0" w:noHBand="0" w:noVBand="1"/>
      </w:tblPr>
      <w:tblGrid>
        <w:gridCol w:w="2337"/>
        <w:gridCol w:w="2337"/>
        <w:gridCol w:w="2338"/>
        <w:gridCol w:w="2338"/>
      </w:tblGrid>
      <w:tr w:rsidR="00147A5B" w:rsidTr="00DE2C6E">
        <w:tc>
          <w:tcPr>
            <w:tcW w:w="2337" w:type="dxa"/>
            <w:tcBorders>
              <w:bottom w:val="single" w:sz="4" w:space="0" w:color="auto"/>
            </w:tcBorders>
          </w:tcPr>
          <w:p w:rsidR="00147A5B" w:rsidRDefault="00147A5B" w:rsidP="00147A5B">
            <w:pPr>
              <w:jc w:val="center"/>
            </w:pPr>
            <w:r>
              <w:t>Test Case</w:t>
            </w:r>
          </w:p>
        </w:tc>
        <w:tc>
          <w:tcPr>
            <w:tcW w:w="2337" w:type="dxa"/>
            <w:tcBorders>
              <w:bottom w:val="single" w:sz="4" w:space="0" w:color="auto"/>
            </w:tcBorders>
          </w:tcPr>
          <w:p w:rsidR="00147A5B" w:rsidRDefault="00147A5B" w:rsidP="00147A5B">
            <w:pPr>
              <w:jc w:val="center"/>
            </w:pPr>
            <w:r>
              <w:t xml:space="preserve">Basic </w:t>
            </w:r>
            <w:r>
              <w:t>condition A</w:t>
            </w:r>
            <w:r>
              <w:t>:</w:t>
            </w:r>
          </w:p>
          <w:p w:rsidR="00147A5B" w:rsidRDefault="00147A5B" w:rsidP="00147A5B">
            <w:pPr>
              <w:jc w:val="center"/>
            </w:pPr>
            <w:r>
              <w:t>N &lt; Max_size</w:t>
            </w:r>
          </w:p>
        </w:tc>
        <w:tc>
          <w:tcPr>
            <w:tcW w:w="2338" w:type="dxa"/>
            <w:tcBorders>
              <w:bottom w:val="single" w:sz="4" w:space="0" w:color="auto"/>
            </w:tcBorders>
          </w:tcPr>
          <w:p w:rsidR="00147A5B" w:rsidRDefault="00147A5B" w:rsidP="00147A5B">
            <w:pPr>
              <w:jc w:val="center"/>
            </w:pPr>
            <w:r>
              <w:t>Basic condition B:</w:t>
            </w:r>
          </w:p>
          <w:p w:rsidR="00147A5B" w:rsidRDefault="00147A5B" w:rsidP="00147A5B">
            <w:pPr>
              <w:jc w:val="center"/>
            </w:pPr>
            <w:r>
              <w:t>c=getc(yyin)!=EOF</w:t>
            </w:r>
          </w:p>
        </w:tc>
        <w:tc>
          <w:tcPr>
            <w:tcW w:w="2338" w:type="dxa"/>
            <w:tcBorders>
              <w:bottom w:val="single" w:sz="4" w:space="0" w:color="auto"/>
            </w:tcBorders>
          </w:tcPr>
          <w:p w:rsidR="00147A5B" w:rsidRDefault="00147A5B" w:rsidP="00147A5B">
            <w:pPr>
              <w:jc w:val="center"/>
            </w:pPr>
            <w:r>
              <w:t>Basic condition C:</w:t>
            </w:r>
          </w:p>
          <w:p w:rsidR="00147A5B" w:rsidRDefault="00147A5B" w:rsidP="00147A5B">
            <w:pPr>
              <w:jc w:val="center"/>
            </w:pPr>
            <w:r>
              <w:t>c!=’\n’</w:t>
            </w:r>
          </w:p>
        </w:tc>
      </w:tr>
      <w:tr w:rsidR="00147A5B" w:rsidTr="00DE2C6E">
        <w:tc>
          <w:tcPr>
            <w:tcW w:w="2337" w:type="dxa"/>
            <w:tcBorders>
              <w:bottom w:val="single" w:sz="4" w:space="0" w:color="auto"/>
            </w:tcBorders>
            <w:shd w:val="clear" w:color="auto" w:fill="92D050"/>
          </w:tcPr>
          <w:p w:rsidR="00147A5B" w:rsidRDefault="00147A5B" w:rsidP="00147A5B">
            <w:pPr>
              <w:jc w:val="center"/>
            </w:pPr>
            <w:r>
              <w:t>1</w:t>
            </w:r>
          </w:p>
        </w:tc>
        <w:tc>
          <w:tcPr>
            <w:tcW w:w="2337" w:type="dxa"/>
            <w:tcBorders>
              <w:bottom w:val="single" w:sz="4" w:space="0" w:color="auto"/>
            </w:tcBorders>
            <w:shd w:val="clear" w:color="auto" w:fill="92D050"/>
          </w:tcPr>
          <w:p w:rsidR="00147A5B" w:rsidRDefault="00147A5B" w:rsidP="00147A5B">
            <w:pPr>
              <w:jc w:val="center"/>
            </w:pPr>
            <w:r>
              <w:t>T</w:t>
            </w:r>
          </w:p>
        </w:tc>
        <w:tc>
          <w:tcPr>
            <w:tcW w:w="2338" w:type="dxa"/>
            <w:tcBorders>
              <w:bottom w:val="single" w:sz="4" w:space="0" w:color="auto"/>
            </w:tcBorders>
            <w:shd w:val="clear" w:color="auto" w:fill="92D050"/>
          </w:tcPr>
          <w:p w:rsidR="00147A5B" w:rsidRDefault="00147A5B" w:rsidP="00147A5B">
            <w:pPr>
              <w:jc w:val="center"/>
            </w:pPr>
            <w:r>
              <w:t>T</w:t>
            </w:r>
          </w:p>
        </w:tc>
        <w:tc>
          <w:tcPr>
            <w:tcW w:w="2338" w:type="dxa"/>
            <w:tcBorders>
              <w:bottom w:val="single" w:sz="4" w:space="0" w:color="auto"/>
            </w:tcBorders>
            <w:shd w:val="clear" w:color="auto" w:fill="92D050"/>
          </w:tcPr>
          <w:p w:rsidR="00147A5B" w:rsidRDefault="00147A5B" w:rsidP="00147A5B">
            <w:pPr>
              <w:jc w:val="center"/>
            </w:pPr>
            <w:r>
              <w:t>T</w:t>
            </w:r>
          </w:p>
        </w:tc>
      </w:tr>
      <w:tr w:rsidR="00147A5B" w:rsidTr="00DE2C6E">
        <w:tc>
          <w:tcPr>
            <w:tcW w:w="2337" w:type="dxa"/>
            <w:tcBorders>
              <w:bottom w:val="single" w:sz="4" w:space="0" w:color="auto"/>
            </w:tcBorders>
            <w:shd w:val="clear" w:color="auto" w:fill="FFFF00"/>
          </w:tcPr>
          <w:p w:rsidR="00147A5B" w:rsidRDefault="00147A5B" w:rsidP="00147A5B">
            <w:pPr>
              <w:jc w:val="center"/>
            </w:pPr>
            <w:r>
              <w:t>2</w:t>
            </w:r>
          </w:p>
        </w:tc>
        <w:tc>
          <w:tcPr>
            <w:tcW w:w="2337" w:type="dxa"/>
            <w:tcBorders>
              <w:bottom w:val="single" w:sz="4" w:space="0" w:color="auto"/>
            </w:tcBorders>
            <w:shd w:val="clear" w:color="auto" w:fill="FFFF00"/>
          </w:tcPr>
          <w:p w:rsidR="00147A5B" w:rsidRDefault="00147A5B" w:rsidP="00147A5B">
            <w:pPr>
              <w:jc w:val="center"/>
            </w:pPr>
            <w:r>
              <w:t>T</w:t>
            </w:r>
          </w:p>
        </w:tc>
        <w:tc>
          <w:tcPr>
            <w:tcW w:w="2338" w:type="dxa"/>
            <w:tcBorders>
              <w:bottom w:val="single" w:sz="4" w:space="0" w:color="auto"/>
            </w:tcBorders>
            <w:shd w:val="clear" w:color="auto" w:fill="FFFF00"/>
          </w:tcPr>
          <w:p w:rsidR="00147A5B" w:rsidRDefault="00147A5B" w:rsidP="00147A5B">
            <w:pPr>
              <w:jc w:val="center"/>
            </w:pPr>
            <w:r>
              <w:t>T</w:t>
            </w:r>
          </w:p>
        </w:tc>
        <w:tc>
          <w:tcPr>
            <w:tcW w:w="2338" w:type="dxa"/>
            <w:tcBorders>
              <w:bottom w:val="single" w:sz="4" w:space="0" w:color="auto"/>
            </w:tcBorders>
            <w:shd w:val="clear" w:color="auto" w:fill="FFFF00"/>
          </w:tcPr>
          <w:p w:rsidR="00147A5B" w:rsidRDefault="00147A5B" w:rsidP="00147A5B">
            <w:pPr>
              <w:jc w:val="center"/>
            </w:pPr>
            <w:r>
              <w:t>F</w:t>
            </w:r>
          </w:p>
        </w:tc>
      </w:tr>
      <w:tr w:rsidR="00147A5B" w:rsidTr="00DE2C6E">
        <w:tc>
          <w:tcPr>
            <w:tcW w:w="2337" w:type="dxa"/>
            <w:tcBorders>
              <w:bottom w:val="single" w:sz="4" w:space="0" w:color="auto"/>
            </w:tcBorders>
            <w:shd w:val="clear" w:color="auto" w:fill="FF0000"/>
          </w:tcPr>
          <w:p w:rsidR="00147A5B" w:rsidRDefault="00147A5B" w:rsidP="00147A5B">
            <w:pPr>
              <w:jc w:val="center"/>
            </w:pPr>
            <w:r>
              <w:t>3</w:t>
            </w:r>
          </w:p>
        </w:tc>
        <w:tc>
          <w:tcPr>
            <w:tcW w:w="2337" w:type="dxa"/>
            <w:tcBorders>
              <w:bottom w:val="single" w:sz="4" w:space="0" w:color="auto"/>
            </w:tcBorders>
            <w:shd w:val="clear" w:color="auto" w:fill="FF0000"/>
          </w:tcPr>
          <w:p w:rsidR="00147A5B" w:rsidRDefault="00147A5B" w:rsidP="00147A5B">
            <w:pPr>
              <w:jc w:val="center"/>
            </w:pPr>
            <w:r>
              <w:t>T</w:t>
            </w:r>
          </w:p>
        </w:tc>
        <w:tc>
          <w:tcPr>
            <w:tcW w:w="2338" w:type="dxa"/>
            <w:tcBorders>
              <w:bottom w:val="single" w:sz="4" w:space="0" w:color="auto"/>
            </w:tcBorders>
            <w:shd w:val="clear" w:color="auto" w:fill="FF0000"/>
          </w:tcPr>
          <w:p w:rsidR="00147A5B" w:rsidRDefault="00147A5B" w:rsidP="00147A5B">
            <w:pPr>
              <w:jc w:val="center"/>
            </w:pPr>
            <w:r>
              <w:t>F</w:t>
            </w:r>
          </w:p>
        </w:tc>
        <w:tc>
          <w:tcPr>
            <w:tcW w:w="2338" w:type="dxa"/>
            <w:tcBorders>
              <w:bottom w:val="single" w:sz="4" w:space="0" w:color="auto"/>
            </w:tcBorders>
            <w:shd w:val="clear" w:color="auto" w:fill="FF0000"/>
          </w:tcPr>
          <w:p w:rsidR="00147A5B" w:rsidRDefault="00147A5B" w:rsidP="00147A5B">
            <w:pPr>
              <w:jc w:val="center"/>
            </w:pPr>
            <w:r>
              <w:t>F</w:t>
            </w:r>
          </w:p>
        </w:tc>
      </w:tr>
      <w:tr w:rsidR="00147A5B" w:rsidTr="00DE2C6E">
        <w:tc>
          <w:tcPr>
            <w:tcW w:w="2337" w:type="dxa"/>
            <w:tcBorders>
              <w:bottom w:val="single" w:sz="4" w:space="0" w:color="auto"/>
            </w:tcBorders>
            <w:shd w:val="clear" w:color="auto" w:fill="92D050"/>
          </w:tcPr>
          <w:p w:rsidR="00147A5B" w:rsidRDefault="00147A5B" w:rsidP="00147A5B">
            <w:pPr>
              <w:jc w:val="center"/>
            </w:pPr>
            <w:r>
              <w:t>4</w:t>
            </w:r>
          </w:p>
        </w:tc>
        <w:tc>
          <w:tcPr>
            <w:tcW w:w="2337" w:type="dxa"/>
            <w:tcBorders>
              <w:bottom w:val="single" w:sz="4" w:space="0" w:color="auto"/>
            </w:tcBorders>
            <w:shd w:val="clear" w:color="auto" w:fill="92D050"/>
          </w:tcPr>
          <w:p w:rsidR="00147A5B" w:rsidRDefault="00147A5B" w:rsidP="00147A5B">
            <w:pPr>
              <w:jc w:val="center"/>
            </w:pPr>
            <w:r>
              <w:t>F</w:t>
            </w:r>
          </w:p>
        </w:tc>
        <w:tc>
          <w:tcPr>
            <w:tcW w:w="2338" w:type="dxa"/>
            <w:tcBorders>
              <w:bottom w:val="single" w:sz="4" w:space="0" w:color="auto"/>
            </w:tcBorders>
            <w:shd w:val="clear" w:color="auto" w:fill="92D050"/>
          </w:tcPr>
          <w:p w:rsidR="00147A5B" w:rsidRDefault="00147A5B" w:rsidP="00147A5B">
            <w:pPr>
              <w:jc w:val="center"/>
            </w:pPr>
            <w:r>
              <w:t>T</w:t>
            </w:r>
          </w:p>
        </w:tc>
        <w:tc>
          <w:tcPr>
            <w:tcW w:w="2338" w:type="dxa"/>
            <w:tcBorders>
              <w:bottom w:val="single" w:sz="4" w:space="0" w:color="auto"/>
            </w:tcBorders>
            <w:shd w:val="clear" w:color="auto" w:fill="92D050"/>
          </w:tcPr>
          <w:p w:rsidR="00147A5B" w:rsidRDefault="00147A5B" w:rsidP="00147A5B">
            <w:pPr>
              <w:jc w:val="center"/>
            </w:pPr>
            <w:r>
              <w:t>T</w:t>
            </w:r>
          </w:p>
        </w:tc>
      </w:tr>
      <w:tr w:rsidR="00147A5B" w:rsidTr="00DE2C6E">
        <w:tc>
          <w:tcPr>
            <w:tcW w:w="2337" w:type="dxa"/>
            <w:tcBorders>
              <w:bottom w:val="single" w:sz="4" w:space="0" w:color="auto"/>
            </w:tcBorders>
            <w:shd w:val="clear" w:color="auto" w:fill="FFFF00"/>
          </w:tcPr>
          <w:p w:rsidR="00147A5B" w:rsidRDefault="00147A5B" w:rsidP="00147A5B">
            <w:pPr>
              <w:jc w:val="center"/>
            </w:pPr>
            <w:r>
              <w:t>5</w:t>
            </w:r>
          </w:p>
        </w:tc>
        <w:tc>
          <w:tcPr>
            <w:tcW w:w="2337" w:type="dxa"/>
            <w:tcBorders>
              <w:bottom w:val="single" w:sz="4" w:space="0" w:color="auto"/>
            </w:tcBorders>
            <w:shd w:val="clear" w:color="auto" w:fill="FFFF00"/>
          </w:tcPr>
          <w:p w:rsidR="00147A5B" w:rsidRDefault="00147A5B" w:rsidP="00147A5B">
            <w:pPr>
              <w:jc w:val="center"/>
            </w:pPr>
            <w:r>
              <w:t>T</w:t>
            </w:r>
          </w:p>
        </w:tc>
        <w:tc>
          <w:tcPr>
            <w:tcW w:w="2338" w:type="dxa"/>
            <w:tcBorders>
              <w:bottom w:val="single" w:sz="4" w:space="0" w:color="auto"/>
            </w:tcBorders>
            <w:shd w:val="clear" w:color="auto" w:fill="FFFF00"/>
          </w:tcPr>
          <w:p w:rsidR="00147A5B" w:rsidRDefault="00147A5B" w:rsidP="00147A5B">
            <w:pPr>
              <w:jc w:val="center"/>
            </w:pPr>
            <w:r>
              <w:t>F</w:t>
            </w:r>
          </w:p>
        </w:tc>
        <w:tc>
          <w:tcPr>
            <w:tcW w:w="2338" w:type="dxa"/>
            <w:tcBorders>
              <w:bottom w:val="single" w:sz="4" w:space="0" w:color="auto"/>
            </w:tcBorders>
            <w:shd w:val="clear" w:color="auto" w:fill="FFFF00"/>
          </w:tcPr>
          <w:p w:rsidR="00147A5B" w:rsidRDefault="00147A5B" w:rsidP="00147A5B">
            <w:pPr>
              <w:jc w:val="center"/>
            </w:pPr>
            <w:r>
              <w:t>T</w:t>
            </w:r>
          </w:p>
        </w:tc>
      </w:tr>
      <w:tr w:rsidR="00147A5B" w:rsidTr="001E7452">
        <w:tc>
          <w:tcPr>
            <w:tcW w:w="2337" w:type="dxa"/>
            <w:shd w:val="clear" w:color="auto" w:fill="FF0000"/>
          </w:tcPr>
          <w:p w:rsidR="00147A5B" w:rsidRDefault="00147A5B" w:rsidP="00147A5B">
            <w:pPr>
              <w:jc w:val="center"/>
            </w:pPr>
            <w:r>
              <w:t>6</w:t>
            </w:r>
          </w:p>
        </w:tc>
        <w:tc>
          <w:tcPr>
            <w:tcW w:w="2337" w:type="dxa"/>
            <w:shd w:val="clear" w:color="auto" w:fill="FF0000"/>
          </w:tcPr>
          <w:p w:rsidR="00147A5B" w:rsidRDefault="00147A5B" w:rsidP="00147A5B">
            <w:pPr>
              <w:jc w:val="center"/>
            </w:pPr>
            <w:r>
              <w:t>F</w:t>
            </w:r>
          </w:p>
        </w:tc>
        <w:tc>
          <w:tcPr>
            <w:tcW w:w="2338" w:type="dxa"/>
            <w:shd w:val="clear" w:color="auto" w:fill="FF0000"/>
          </w:tcPr>
          <w:p w:rsidR="00147A5B" w:rsidRDefault="00147A5B" w:rsidP="00147A5B">
            <w:pPr>
              <w:jc w:val="center"/>
            </w:pPr>
            <w:r>
              <w:t>F</w:t>
            </w:r>
          </w:p>
        </w:tc>
        <w:tc>
          <w:tcPr>
            <w:tcW w:w="2338" w:type="dxa"/>
            <w:shd w:val="clear" w:color="auto" w:fill="FF0000"/>
          </w:tcPr>
          <w:p w:rsidR="00147A5B" w:rsidRDefault="00147A5B" w:rsidP="00147A5B">
            <w:pPr>
              <w:jc w:val="center"/>
            </w:pPr>
            <w:r>
              <w:t>F</w:t>
            </w:r>
          </w:p>
        </w:tc>
      </w:tr>
    </w:tbl>
    <w:p w:rsidR="00147A5B" w:rsidRDefault="00147A5B" w:rsidP="00147A5B">
      <w:pPr>
        <w:spacing w:after="0"/>
      </w:pPr>
      <w:r>
        <w:t xml:space="preserve">  </w:t>
      </w:r>
    </w:p>
    <w:p w:rsidR="00E61FCE" w:rsidRDefault="000E7D39" w:rsidP="008853C2">
      <w:pPr>
        <w:spacing w:after="0"/>
      </w:pPr>
      <w:r>
        <w:t xml:space="preserve">The worst case for a compound conditional expression with three basic conditions being 2^3=8 test cases, </w:t>
      </w:r>
      <w:r w:rsidR="001E7452" w:rsidRPr="001E7452">
        <w:rPr>
          <w:u w:val="single"/>
        </w:rPr>
        <w:t>(</w:t>
      </w:r>
      <w:r w:rsidR="00AC3661">
        <w:rPr>
          <w:u w:val="single"/>
        </w:rPr>
        <w:t>*</w:t>
      </w:r>
      <w:r w:rsidRPr="001E7452">
        <w:rPr>
          <w:u w:val="single"/>
        </w:rPr>
        <w:t xml:space="preserve">we may </w:t>
      </w:r>
      <w:r w:rsidR="00514D1F">
        <w:rPr>
          <w:u w:val="single"/>
        </w:rPr>
        <w:t>be leaving out a few cases,</w:t>
      </w:r>
      <w:r w:rsidRPr="001E7452">
        <w:rPr>
          <w:u w:val="single"/>
        </w:rPr>
        <w:t xml:space="preserve"> with the above table</w:t>
      </w:r>
      <w:r w:rsidR="00F91DEB">
        <w:rPr>
          <w:u w:val="single"/>
        </w:rPr>
        <w:t xml:space="preserve"> but due to the configuration of short-circuit operators, it seems there is a worst-case of 6 possible test cases per suite in this compound expression statement</w:t>
      </w:r>
      <w:r w:rsidR="001E7452">
        <w:t>)</w:t>
      </w:r>
      <w:r>
        <w:t xml:space="preserve">.  However, if we assess </w:t>
      </w:r>
      <w:r w:rsidR="002A3658">
        <w:t xml:space="preserve">evaluating </w:t>
      </w:r>
      <w:r>
        <w:t>the compound expres</w:t>
      </w:r>
      <w:r w:rsidR="006B1E87">
        <w:t xml:space="preserve">sion </w:t>
      </w:r>
      <w:r w:rsidR="002A3658">
        <w:t xml:space="preserve">statement </w:t>
      </w:r>
      <w:r w:rsidR="00143B93">
        <w:t>with respect to how</w:t>
      </w:r>
      <w:r w:rsidR="006B1E87">
        <w:t xml:space="preserve"> </w:t>
      </w:r>
      <w:r>
        <w:t xml:space="preserve">short-circuit evaluation </w:t>
      </w:r>
      <w:r w:rsidR="00143B93">
        <w:t>impact</w:t>
      </w:r>
      <w:r w:rsidR="00143B93">
        <w:t>s it</w:t>
      </w:r>
      <w:r>
        <w:t xml:space="preserve">, we </w:t>
      </w:r>
      <w:r w:rsidR="00143B93">
        <w:t xml:space="preserve">can </w:t>
      </w:r>
      <w:r w:rsidR="009A6DA4">
        <w:t>minimize</w:t>
      </w:r>
      <w:r w:rsidR="00143B93">
        <w:t xml:space="preserve"> the potential size of the test suite and </w:t>
      </w:r>
      <w:r w:rsidR="007665E4">
        <w:t>arrive at a smaller tes</w:t>
      </w:r>
      <w:r w:rsidR="00387CB5">
        <w:t xml:space="preserve">t suite, such that </w:t>
      </w:r>
      <w:r w:rsidR="00143B93">
        <w:t xml:space="preserve">not </w:t>
      </w:r>
      <w:r w:rsidR="00387CB5">
        <w:t xml:space="preserve">only </w:t>
      </w:r>
      <w:r w:rsidR="00143B93">
        <w:t xml:space="preserve">are the </w:t>
      </w:r>
      <w:r w:rsidR="00387CB5">
        <w:t xml:space="preserve">red </w:t>
      </w:r>
      <w:r w:rsidR="007665E4">
        <w:t xml:space="preserve">shaded test cases </w:t>
      </w:r>
      <w:r w:rsidR="00143B93">
        <w:t>deemed unnecessary, but also evaluation of the basic condition ‘a’, altogether</w:t>
      </w:r>
      <w:r w:rsidR="007665E4">
        <w:t xml:space="preserve">.  </w:t>
      </w:r>
      <w:r>
        <w:t xml:space="preserve">  </w:t>
      </w:r>
    </w:p>
    <w:p w:rsidR="003014D6" w:rsidRDefault="003014D6" w:rsidP="008853C2">
      <w:pPr>
        <w:spacing w:after="0"/>
      </w:pPr>
    </w:p>
    <w:p w:rsidR="00E61FCE" w:rsidRDefault="00044887" w:rsidP="008853C2">
      <w:pPr>
        <w:spacing w:after="0"/>
      </w:pPr>
      <w:r>
        <w:t>For example, with compound condition coverage, w</w:t>
      </w:r>
      <w:r w:rsidR="00E61FCE">
        <w:t>e might need a test suite T</w:t>
      </w:r>
      <w:r w:rsidR="00E61FCE" w:rsidRPr="00E61FCE">
        <w:rPr>
          <w:vertAlign w:val="subscript"/>
        </w:rPr>
        <w:t>0</w:t>
      </w:r>
      <w:r w:rsidR="00E61FCE">
        <w:rPr>
          <w:vertAlign w:val="subscript"/>
        </w:rPr>
        <w:t xml:space="preserve"> </w:t>
      </w:r>
      <w:r w:rsidR="00E61FCE">
        <w:t>{</w:t>
      </w:r>
      <w:r w:rsidR="00E61FCE" w:rsidRPr="00E61FCE">
        <w:rPr>
          <w:i/>
        </w:rPr>
        <w:t>max_size</w:t>
      </w:r>
      <w:r w:rsidR="00E61FCE">
        <w:rPr>
          <w:i/>
        </w:rPr>
        <w:t xml:space="preserve"> </w:t>
      </w:r>
      <w:r w:rsidR="00E61FCE" w:rsidRPr="00E61FCE">
        <w:rPr>
          <w:i/>
        </w:rPr>
        <w:t>,</w:t>
      </w:r>
      <w:r w:rsidR="00E61FCE">
        <w:rPr>
          <w:i/>
        </w:rPr>
        <w:t xml:space="preserve"> </w:t>
      </w:r>
      <w:r w:rsidR="00E61FCE" w:rsidRPr="00E61FCE">
        <w:rPr>
          <w:i/>
        </w:rPr>
        <w:t>c value</w:t>
      </w:r>
      <w:r w:rsidR="00E61FCE">
        <w:t>}</w:t>
      </w:r>
      <w:r w:rsidR="00E61FCE">
        <w:rPr>
          <w:vertAlign w:val="subscript"/>
        </w:rPr>
        <w:t xml:space="preserve"> </w:t>
      </w:r>
      <w:r w:rsidR="00E61FCE">
        <w:t>consist</w:t>
      </w:r>
      <w:r w:rsidR="00912931">
        <w:t>ing</w:t>
      </w:r>
      <w:r w:rsidR="00E61FCE">
        <w:t xml:space="preserve"> of:</w:t>
      </w:r>
      <w:r w:rsidR="00152F06">
        <w:t xml:space="preserve">   T</w:t>
      </w:r>
      <w:r w:rsidR="00152F06" w:rsidRPr="00152F06">
        <w:rPr>
          <w:vertAlign w:val="subscript"/>
        </w:rPr>
        <w:t>0</w:t>
      </w:r>
      <w:r w:rsidRPr="00044887">
        <w:t>=</w:t>
      </w:r>
      <w:r w:rsidR="00E61FCE">
        <w:t xml:space="preserve">{ </w:t>
      </w:r>
      <w:r w:rsidR="002007E3" w:rsidRPr="005D0B4C">
        <w:rPr>
          <w:highlight w:val="green"/>
        </w:rPr>
        <w:t>1, ‘%’</w:t>
      </w:r>
      <w:r w:rsidR="002007E3">
        <w:t xml:space="preserve">  ,  </w:t>
      </w:r>
      <w:r w:rsidR="002007E3" w:rsidRPr="005D0B4C">
        <w:rPr>
          <w:highlight w:val="yellow"/>
        </w:rPr>
        <w:t>1, ‘</w:t>
      </w:r>
      <w:r w:rsidR="001E7452" w:rsidRPr="005D0B4C">
        <w:rPr>
          <w:highlight w:val="yellow"/>
        </w:rPr>
        <w:t>\n</w:t>
      </w:r>
      <w:r w:rsidR="002007E3" w:rsidRPr="005D0B4C">
        <w:rPr>
          <w:highlight w:val="yellow"/>
        </w:rPr>
        <w:t>’</w:t>
      </w:r>
      <w:r w:rsidR="002007E3">
        <w:t xml:space="preserve">  ,</w:t>
      </w:r>
      <w:r w:rsidR="005D0B4C">
        <w:t xml:space="preserve"> </w:t>
      </w:r>
      <w:r w:rsidR="009F6BF5">
        <w:rPr>
          <w:highlight w:val="red"/>
        </w:rPr>
        <w:t>1</w:t>
      </w:r>
      <w:r w:rsidR="005D0B4C">
        <w:rPr>
          <w:highlight w:val="red"/>
        </w:rPr>
        <w:t>,</w:t>
      </w:r>
      <w:r w:rsidR="00C66900">
        <w:rPr>
          <w:highlight w:val="red"/>
        </w:rPr>
        <w:t xml:space="preserve"> </w:t>
      </w:r>
      <w:r w:rsidR="005D0B4C" w:rsidRPr="005D0B4C">
        <w:rPr>
          <w:highlight w:val="red"/>
        </w:rPr>
        <w:t>’--‘</w:t>
      </w:r>
      <w:r w:rsidR="002007E3">
        <w:t xml:space="preserve"> </w:t>
      </w:r>
      <w:r w:rsidR="005D0B4C">
        <w:t xml:space="preserve">,   </w:t>
      </w:r>
      <w:r w:rsidR="005D0B4C" w:rsidRPr="005D0B4C">
        <w:rPr>
          <w:highlight w:val="green"/>
        </w:rPr>
        <w:t>0</w:t>
      </w:r>
      <w:r w:rsidR="002007E3" w:rsidRPr="005D0B4C">
        <w:rPr>
          <w:highlight w:val="green"/>
        </w:rPr>
        <w:t>, ‘%’</w:t>
      </w:r>
      <w:r w:rsidR="002007E3">
        <w:t xml:space="preserve">  ,  </w:t>
      </w:r>
      <w:r w:rsidR="002007E3" w:rsidRPr="005D0B4C">
        <w:rPr>
          <w:highlight w:val="yellow"/>
        </w:rPr>
        <w:t>1, ‘</w:t>
      </w:r>
      <w:r w:rsidR="005D0B4C" w:rsidRPr="005D0B4C">
        <w:rPr>
          <w:highlight w:val="yellow"/>
        </w:rPr>
        <w:t>EOF</w:t>
      </w:r>
      <w:r w:rsidR="002007E3" w:rsidRPr="005D0B4C">
        <w:rPr>
          <w:highlight w:val="yellow"/>
        </w:rPr>
        <w:t>’</w:t>
      </w:r>
      <w:r w:rsidR="002007E3">
        <w:t xml:space="preserve">  ,  </w:t>
      </w:r>
      <w:r w:rsidR="005D0B4C" w:rsidRPr="00C66900">
        <w:rPr>
          <w:highlight w:val="red"/>
        </w:rPr>
        <w:t>0</w:t>
      </w:r>
      <w:r w:rsidR="002007E3" w:rsidRPr="00C66900">
        <w:rPr>
          <w:highlight w:val="red"/>
        </w:rPr>
        <w:t>, ‘</w:t>
      </w:r>
      <w:r w:rsidR="005D0B4C" w:rsidRPr="00C66900">
        <w:rPr>
          <w:highlight w:val="red"/>
        </w:rPr>
        <w:t>--</w:t>
      </w:r>
      <w:r w:rsidR="002007E3" w:rsidRPr="00C66900">
        <w:rPr>
          <w:highlight w:val="red"/>
        </w:rPr>
        <w:t>’</w:t>
      </w:r>
      <w:r w:rsidR="002007E3">
        <w:t xml:space="preserve">  </w:t>
      </w:r>
      <w:r w:rsidR="00E61FCE">
        <w:t>}</w:t>
      </w:r>
      <w:r w:rsidR="00152F06">
        <w:t>.</w:t>
      </w:r>
    </w:p>
    <w:p w:rsidR="00452DD1" w:rsidRDefault="00452DD1" w:rsidP="008853C2">
      <w:pPr>
        <w:spacing w:after="0"/>
      </w:pPr>
    </w:p>
    <w:p w:rsidR="0076417F" w:rsidRDefault="00AB2772" w:rsidP="0076417F">
      <w:pPr>
        <w:spacing w:after="0"/>
      </w:pPr>
      <w:r>
        <w:t xml:space="preserve">*Because the compound condition adequacy criterion does not factor out needed test cases respective of the impact of short-circuit evaluation, the red-shaded rows (rows where conditions b,c can both be false – an impossibility in the real-world!) indicate the possibility where </w:t>
      </w:r>
      <w:r w:rsidR="00314812">
        <w:t xml:space="preserve">fewer </w:t>
      </w:r>
      <w:r>
        <w:t>additional test cases could be needed</w:t>
      </w:r>
      <w:r w:rsidR="00314812">
        <w:t xml:space="preserve"> are not eliminated; nor are those cases which factor out basic condition ‘a’, meaning test cases 1 and 4 are needed</w:t>
      </w:r>
      <w:r>
        <w:t>.  T</w:t>
      </w:r>
      <w:r w:rsidR="00314812">
        <w:t>hat is,</w:t>
      </w:r>
      <w:r>
        <w:t xml:space="preserve"> w</w:t>
      </w:r>
      <w:r w:rsidR="00314812">
        <w:t>here we</w:t>
      </w:r>
      <w:r>
        <w:t xml:space="preserve"> might have </w:t>
      </w:r>
      <w:r w:rsidR="00314812">
        <w:t>had 6 test</w:t>
      </w:r>
      <w:r>
        <w:t xml:space="preserve"> cases</w:t>
      </w:r>
      <w:r w:rsidR="00314812">
        <w:t xml:space="preserve"> required for </w:t>
      </w:r>
      <w:r>
        <w:t>compound condition adequacy</w:t>
      </w:r>
      <w:r w:rsidR="00314812">
        <w:t xml:space="preserve"> test suite</w:t>
      </w:r>
      <w:r>
        <w:t>, we might need a te</w:t>
      </w:r>
      <w:r w:rsidR="00314812">
        <w:t xml:space="preserve">st suite with only </w:t>
      </w:r>
      <w:r w:rsidR="001116D1">
        <w:t>2</w:t>
      </w:r>
      <w:r w:rsidR="00314812">
        <w:t xml:space="preserve"> test cases for MC/DC coverage,</w:t>
      </w:r>
      <w:r w:rsidR="0076417F">
        <w:t xml:space="preserve"> as follows:</w:t>
      </w:r>
      <w:r>
        <w:t xml:space="preserve">  </w:t>
      </w:r>
      <w:r w:rsidR="00314812">
        <w:t xml:space="preserve">  </w:t>
      </w:r>
      <w:r w:rsidR="0076417F">
        <w:t>T</w:t>
      </w:r>
      <w:r w:rsidR="0076417F">
        <w:rPr>
          <w:vertAlign w:val="subscript"/>
        </w:rPr>
        <w:t>1</w:t>
      </w:r>
      <w:r w:rsidR="0076417F">
        <w:t>{</w:t>
      </w:r>
      <w:r w:rsidR="00314812">
        <w:t xml:space="preserve"> </w:t>
      </w:r>
      <w:r w:rsidR="0076417F">
        <w:t xml:space="preserve"> </w:t>
      </w:r>
      <w:r w:rsidR="0076417F" w:rsidRPr="005D0B4C">
        <w:rPr>
          <w:highlight w:val="yellow"/>
        </w:rPr>
        <w:t>1, ‘\n’</w:t>
      </w:r>
      <w:r w:rsidR="0076417F">
        <w:t xml:space="preserve"> </w:t>
      </w:r>
      <w:r w:rsidR="00314812">
        <w:t xml:space="preserve"> </w:t>
      </w:r>
      <w:r w:rsidR="0076417F">
        <w:t xml:space="preserve">,  </w:t>
      </w:r>
      <w:r w:rsidR="0076417F" w:rsidRPr="005D0B4C">
        <w:rPr>
          <w:highlight w:val="yellow"/>
        </w:rPr>
        <w:t>1, ‘EOF’</w:t>
      </w:r>
      <w:r w:rsidR="0076417F">
        <w:t xml:space="preserve">  }.</w:t>
      </w:r>
      <w:r w:rsidR="001D1E24">
        <w:t xml:space="preserve">  </w:t>
      </w:r>
    </w:p>
    <w:p w:rsidR="001D1E24" w:rsidRDefault="001D1E24" w:rsidP="0076417F">
      <w:pPr>
        <w:spacing w:after="0"/>
      </w:pPr>
    </w:p>
    <w:p w:rsidR="001D1E24" w:rsidRDefault="001D1E24" w:rsidP="0076417F">
      <w:pPr>
        <w:spacing w:after="0"/>
      </w:pPr>
      <w:r>
        <w:lastRenderedPageBreak/>
        <w:t xml:space="preserve">Since </w:t>
      </w:r>
      <w:r w:rsidR="00C92824">
        <w:t>the</w:t>
      </w:r>
      <w:r>
        <w:t xml:space="preserve"> basic conditions ‘b’ and ‘c’ </w:t>
      </w:r>
      <w:r w:rsidR="00C92824">
        <w:t xml:space="preserve">are potentially mutually exclusive, in that they </w:t>
      </w:r>
      <w:r>
        <w:t xml:space="preserve">can BOTH be true </w:t>
      </w:r>
      <w:r w:rsidR="00C92824">
        <w:t>at simultaneously (if for e.g: c=’%’….or !=”EOF” &amp;&amp; !=’\n’).  Therefore,</w:t>
      </w:r>
      <w:r>
        <w:t xml:space="preserve"> we must evaluate the </w:t>
      </w:r>
      <w:r w:rsidR="00C92824">
        <w:t>compound conditional expression with</w:t>
      </w:r>
      <w:r>
        <w:t xml:space="preserve"> respect t</w:t>
      </w:r>
      <w:r w:rsidR="004350FA">
        <w:t xml:space="preserve">o this </w:t>
      </w:r>
      <w:r w:rsidR="00C92824">
        <w:t xml:space="preserve">scenario – exclusive of evaluating the basic condition ‘a’ since it does not adversely or positively affect the overall outcome after, commutatively, with respect to conditions ‘b’ or ‘c’.   So we are left with a </w:t>
      </w:r>
      <w:r w:rsidR="00C92824">
        <w:t xml:space="preserve">worst-case </w:t>
      </w:r>
      <w:r w:rsidR="00C92824">
        <w:t>suite size 2^1 other cases (the case, in fact,always when there only two basic conditions left to evaluate</w:t>
      </w:r>
      <w:r w:rsidR="004350FA">
        <w:t>)</w:t>
      </w:r>
      <w:r w:rsidR="007417D1">
        <w:t xml:space="preserve"> </w:t>
      </w:r>
      <w:r w:rsidR="00C92824">
        <w:t xml:space="preserve">irrespective of </w:t>
      </w:r>
      <w:r w:rsidR="007417D1">
        <w:t xml:space="preserve">configuration of operators, </w:t>
      </w:r>
      <w:r w:rsidR="00C92824">
        <w:t>mindful of</w:t>
      </w:r>
      <w:r w:rsidR="007417D1">
        <w:t xml:space="preserve"> precedence</w:t>
      </w:r>
      <w:r w:rsidR="00C92824">
        <w:t xml:space="preserve"> factor</w:t>
      </w:r>
      <w:r w:rsidR="004350FA">
        <w:t>.</w:t>
      </w:r>
      <w:r w:rsidR="00D30749">
        <w:t xml:space="preserve">  </w:t>
      </w:r>
      <w:r w:rsidR="004E68FC">
        <w:t>Where we might have more cases to consider with || operator, especially when ()’s are part of the scenario, in this case with &amp;&amp;, two operands (2 basic conditions)…and no ()’s, we do have a suite of two test cases, which is T</w:t>
      </w:r>
      <w:r w:rsidR="004E68FC" w:rsidRPr="004E68FC">
        <w:rPr>
          <w:vertAlign w:val="subscript"/>
        </w:rPr>
        <w:t>1</w:t>
      </w:r>
      <w:r w:rsidR="004E68FC">
        <w:t>.</w:t>
      </w:r>
    </w:p>
    <w:p w:rsidR="0076417F" w:rsidRDefault="0076417F" w:rsidP="008853C2">
      <w:pPr>
        <w:spacing w:after="0"/>
        <w:rPr>
          <w:b/>
        </w:rPr>
      </w:pPr>
    </w:p>
    <w:p w:rsidR="002367F9" w:rsidRDefault="002367F9" w:rsidP="008853C2">
      <w:pPr>
        <w:spacing w:after="0"/>
        <w:rPr>
          <w:b/>
        </w:rPr>
      </w:pPr>
      <w:r>
        <w:rPr>
          <w:b/>
        </w:rPr>
        <w:t>------------------------------------------------------------------------------------------------------------------------------------------</w:t>
      </w:r>
    </w:p>
    <w:p w:rsidR="008853C2" w:rsidRDefault="003B0611" w:rsidP="008853C2">
      <w:pPr>
        <w:spacing w:after="0"/>
      </w:pPr>
      <w:r w:rsidRPr="004A5CCE">
        <w:rPr>
          <w:b/>
        </w:rPr>
        <w:t>Question</w:t>
      </w:r>
      <w:r w:rsidR="00352E14">
        <w:rPr>
          <w:b/>
        </w:rPr>
        <w:t>:</w:t>
      </w:r>
      <w:r w:rsidRPr="004A5CCE">
        <w:rPr>
          <w:b/>
        </w:rPr>
        <w:t xml:space="preserve"> </w:t>
      </w:r>
      <w:r w:rsidR="008A7791">
        <w:rPr>
          <w:b/>
        </w:rPr>
        <w:t>12</w:t>
      </w:r>
      <w:r w:rsidR="0024107B">
        <w:rPr>
          <w:b/>
        </w:rPr>
        <w:t>.</w:t>
      </w:r>
      <w:r w:rsidR="00C655AB">
        <w:rPr>
          <w:b/>
        </w:rPr>
        <w:t>3</w:t>
      </w:r>
      <w:r w:rsidR="008853C2">
        <w:rPr>
          <w:b/>
        </w:rPr>
        <w:t>:</w:t>
      </w:r>
    </w:p>
    <w:p w:rsidR="0024107B" w:rsidRDefault="00E930B6" w:rsidP="008853C2">
      <w:pPr>
        <w:spacing w:after="0"/>
      </w:pPr>
      <w:r>
        <w:t>…..</w:t>
      </w:r>
      <w:bookmarkStart w:id="0" w:name="_GoBack"/>
      <w:bookmarkEnd w:id="0"/>
    </w:p>
    <w:p w:rsidR="0078095A" w:rsidRDefault="0078095A" w:rsidP="008853C2">
      <w:pPr>
        <w:spacing w:after="0"/>
        <w:rPr>
          <w:b/>
        </w:rPr>
      </w:pPr>
    </w:p>
    <w:p w:rsidR="00B06C08" w:rsidRDefault="004A72FC" w:rsidP="008853C2">
      <w:pPr>
        <w:spacing w:after="0"/>
        <w:rPr>
          <w:b/>
        </w:rPr>
      </w:pPr>
      <w:r>
        <w:rPr>
          <w:b/>
        </w:rPr>
        <w:t>Response</w:t>
      </w:r>
      <w:r w:rsidR="003B0611" w:rsidRPr="004A5CCE">
        <w:rPr>
          <w:b/>
        </w:rPr>
        <w:t>:</w:t>
      </w:r>
    </w:p>
    <w:p w:rsidR="00A17C3A" w:rsidRDefault="00DE3558" w:rsidP="00C655AB">
      <w:r>
        <w:t>To prove that N+1 test cases are required to satisfy the modified condition adequacy criterion for a predicate with N basic conditions, we consider the minimum basic conditions required which constitutes an executable predicate statement (by virtue of the Touring machine concept?)…a predicate with 1 basic condition, below:</w:t>
      </w:r>
    </w:p>
    <w:p w:rsidR="00DE3558" w:rsidRDefault="00DE3558" w:rsidP="00C655AB">
      <w:r>
        <w:t>Predicate:   if/while(BC==true){}</w:t>
      </w:r>
    </w:p>
    <w:p w:rsidR="0078095A" w:rsidRDefault="00032352" w:rsidP="00B63D39">
      <w:r>
        <w:t>The MC/DC definition states that to empirically show all possible paths are navigable, we can ensure that the basic conditions in the predicate can each have impact to the body of code that follows its evaluation will be reachable if for all other basic conditions in the compound expression,</w:t>
      </w:r>
      <w:r w:rsidRPr="00032352">
        <w:t xml:space="preserve"> </w:t>
      </w:r>
      <w:r>
        <w:t xml:space="preserve">there is a test case where all the other values can be true or all of them false and the basic condition under consideration will change the path of execution depending on its evaluation result </w:t>
      </w:r>
      <w:r>
        <w:t>(</w:t>
      </w:r>
      <w:r>
        <w:t xml:space="preserve">ie: </w:t>
      </w:r>
      <w:r>
        <w:t>all other basic conditi</w:t>
      </w:r>
      <w:r>
        <w:t>ons are mutually exclusive to each other</w:t>
      </w:r>
      <w:r>
        <w:t>?)</w:t>
      </w:r>
    </w:p>
    <w:p w:rsidR="0024107B" w:rsidRDefault="00BA55D3" w:rsidP="006533F9">
      <w:r>
        <w:t>Thus, above, if we consider each predict a result of counting the leaves in the binary decision tree/diagram, with 1 basic condition, we have:</w:t>
      </w:r>
    </w:p>
    <w:p w:rsidR="00BA55D3" w:rsidRDefault="00BA55D3" w:rsidP="006533F9">
      <w:r>
        <w:tab/>
      </w:r>
      <w:r>
        <w:tab/>
      </w:r>
      <w:r>
        <w:tab/>
        <w:t>Basic Condition</w:t>
      </w:r>
    </w:p>
    <w:p w:rsidR="00BA55D3" w:rsidRDefault="00BA55D3" w:rsidP="006533F9">
      <w:r>
        <w:tab/>
      </w:r>
      <w:r>
        <w:tab/>
      </w:r>
      <w:r>
        <w:tab/>
        <w:t xml:space="preserve">       /   \</w:t>
      </w:r>
    </w:p>
    <w:p w:rsidR="00BA55D3" w:rsidRDefault="00BA55D3" w:rsidP="006533F9">
      <w:r>
        <w:tab/>
      </w:r>
      <w:r>
        <w:tab/>
      </w:r>
      <w:r>
        <w:tab/>
        <w:t xml:space="preserve">    T</w:t>
      </w:r>
      <w:r>
        <w:tab/>
        <w:t>F</w:t>
      </w:r>
    </w:p>
    <w:p w:rsidR="00BA55D3" w:rsidRDefault="00BA55D3" w:rsidP="006533F9">
      <w:r>
        <w:tab/>
      </w:r>
      <w:r>
        <w:tab/>
        <w:t xml:space="preserve">              /</w:t>
      </w:r>
      <w:r>
        <w:tab/>
        <w:t xml:space="preserve">   \</w:t>
      </w:r>
    </w:p>
    <w:p w:rsidR="00BA55D3" w:rsidRPr="00BA55D3" w:rsidRDefault="00BA55D3" w:rsidP="006533F9">
      <w:r>
        <w:t>RESULT</w:t>
      </w:r>
      <w:r>
        <w:sym w:font="Wingdings" w:char="F0E0"/>
      </w:r>
      <w:r>
        <w:tab/>
        <w:t xml:space="preserve">          T</w:t>
      </w:r>
      <w:r>
        <w:tab/>
      </w:r>
      <w:r>
        <w:tab/>
        <w:t xml:space="preserve">      F</w:t>
      </w:r>
    </w:p>
    <w:sectPr w:rsidR="00BA55D3" w:rsidRPr="00BA55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B39" w:rsidRDefault="00EE1B39" w:rsidP="0043478B">
      <w:pPr>
        <w:spacing w:after="0" w:line="240" w:lineRule="auto"/>
      </w:pPr>
      <w:r>
        <w:separator/>
      </w:r>
    </w:p>
  </w:endnote>
  <w:endnote w:type="continuationSeparator" w:id="0">
    <w:p w:rsidR="00EE1B39" w:rsidRDefault="00EE1B39" w:rsidP="0043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B39" w:rsidRDefault="00EE1B39" w:rsidP="0043478B">
      <w:pPr>
        <w:spacing w:after="0" w:line="240" w:lineRule="auto"/>
      </w:pPr>
      <w:r>
        <w:separator/>
      </w:r>
    </w:p>
  </w:footnote>
  <w:footnote w:type="continuationSeparator" w:id="0">
    <w:p w:rsidR="00EE1B39" w:rsidRDefault="00EE1B39" w:rsidP="00434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78B" w:rsidRDefault="00090ECD" w:rsidP="0043478B">
    <w:pPr>
      <w:spacing w:after="0"/>
    </w:pPr>
    <w:r>
      <w:t xml:space="preserve">Chris Cargile   - </w:t>
    </w:r>
    <w:r w:rsidR="0078095A">
      <w:t>March 7</w:t>
    </w:r>
    <w:r w:rsidR="0043478B">
      <w:t>, 2014</w:t>
    </w:r>
    <w:r w:rsidR="0043478B">
      <w:tab/>
    </w:r>
    <w:r w:rsidR="0043478B">
      <w:tab/>
    </w:r>
    <w:r w:rsidR="0043478B">
      <w:tab/>
    </w:r>
    <w:r w:rsidR="0043478B">
      <w:tab/>
      <w:t xml:space="preserve">        CSCI658 - Testing and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CF16E8"/>
    <w:multiLevelType w:val="hybridMultilevel"/>
    <w:tmpl w:val="C7BAC47E"/>
    <w:lvl w:ilvl="0" w:tplc="D24E97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F9"/>
    <w:rsid w:val="00032352"/>
    <w:rsid w:val="00044887"/>
    <w:rsid w:val="00090ECD"/>
    <w:rsid w:val="000E7D39"/>
    <w:rsid w:val="000F3F7F"/>
    <w:rsid w:val="001116D1"/>
    <w:rsid w:val="00143B93"/>
    <w:rsid w:val="00147A5B"/>
    <w:rsid w:val="00152F06"/>
    <w:rsid w:val="00183416"/>
    <w:rsid w:val="0018796B"/>
    <w:rsid w:val="001D1E24"/>
    <w:rsid w:val="001E7452"/>
    <w:rsid w:val="002007E3"/>
    <w:rsid w:val="002016DF"/>
    <w:rsid w:val="00224943"/>
    <w:rsid w:val="002367F9"/>
    <w:rsid w:val="0024107B"/>
    <w:rsid w:val="00253D66"/>
    <w:rsid w:val="002A1DD8"/>
    <w:rsid w:val="002A3658"/>
    <w:rsid w:val="002B29E8"/>
    <w:rsid w:val="002E136C"/>
    <w:rsid w:val="003014D6"/>
    <w:rsid w:val="00311ADA"/>
    <w:rsid w:val="00314812"/>
    <w:rsid w:val="003434C6"/>
    <w:rsid w:val="00352E14"/>
    <w:rsid w:val="00387CB5"/>
    <w:rsid w:val="003B0611"/>
    <w:rsid w:val="003C26FD"/>
    <w:rsid w:val="003D045C"/>
    <w:rsid w:val="0043478B"/>
    <w:rsid w:val="004350FA"/>
    <w:rsid w:val="00452DD1"/>
    <w:rsid w:val="00495EE8"/>
    <w:rsid w:val="004A5CCE"/>
    <w:rsid w:val="004A72FC"/>
    <w:rsid w:val="004E68FC"/>
    <w:rsid w:val="004F004D"/>
    <w:rsid w:val="004F13FB"/>
    <w:rsid w:val="00514D1F"/>
    <w:rsid w:val="00544340"/>
    <w:rsid w:val="00577F9A"/>
    <w:rsid w:val="00591669"/>
    <w:rsid w:val="005D0B4C"/>
    <w:rsid w:val="005D2572"/>
    <w:rsid w:val="005D3611"/>
    <w:rsid w:val="005E4E14"/>
    <w:rsid w:val="0061418E"/>
    <w:rsid w:val="006261CB"/>
    <w:rsid w:val="006533F9"/>
    <w:rsid w:val="00670E41"/>
    <w:rsid w:val="006B1E87"/>
    <w:rsid w:val="006D3C32"/>
    <w:rsid w:val="007417D1"/>
    <w:rsid w:val="0076417F"/>
    <w:rsid w:val="007665E4"/>
    <w:rsid w:val="0078095A"/>
    <w:rsid w:val="00850853"/>
    <w:rsid w:val="008853C2"/>
    <w:rsid w:val="008A7791"/>
    <w:rsid w:val="008D772C"/>
    <w:rsid w:val="00912931"/>
    <w:rsid w:val="00917B60"/>
    <w:rsid w:val="009A0433"/>
    <w:rsid w:val="009A6DA4"/>
    <w:rsid w:val="009F6BF5"/>
    <w:rsid w:val="00A17C3A"/>
    <w:rsid w:val="00AA3B76"/>
    <w:rsid w:val="00AB2772"/>
    <w:rsid w:val="00AC3661"/>
    <w:rsid w:val="00AC4874"/>
    <w:rsid w:val="00B06C08"/>
    <w:rsid w:val="00B56BD2"/>
    <w:rsid w:val="00B63D39"/>
    <w:rsid w:val="00BA55D3"/>
    <w:rsid w:val="00C562BF"/>
    <w:rsid w:val="00C655AB"/>
    <w:rsid w:val="00C66900"/>
    <w:rsid w:val="00C85F3C"/>
    <w:rsid w:val="00C92824"/>
    <w:rsid w:val="00CE2F84"/>
    <w:rsid w:val="00CE74C9"/>
    <w:rsid w:val="00D30749"/>
    <w:rsid w:val="00DC74E2"/>
    <w:rsid w:val="00DE2C6E"/>
    <w:rsid w:val="00DE3558"/>
    <w:rsid w:val="00E05D81"/>
    <w:rsid w:val="00E61FCE"/>
    <w:rsid w:val="00E72F10"/>
    <w:rsid w:val="00E930B6"/>
    <w:rsid w:val="00EE1B39"/>
    <w:rsid w:val="00EE68C0"/>
    <w:rsid w:val="00F9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E9079-5E51-4CD9-AD34-A113F2B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8B"/>
  </w:style>
  <w:style w:type="paragraph" w:styleId="Footer">
    <w:name w:val="footer"/>
    <w:basedOn w:val="Normal"/>
    <w:link w:val="FooterChar"/>
    <w:uiPriority w:val="99"/>
    <w:unhideWhenUsed/>
    <w:rsid w:val="0043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8B"/>
  </w:style>
  <w:style w:type="paragraph" w:styleId="ListParagraph">
    <w:name w:val="List Paragraph"/>
    <w:basedOn w:val="Normal"/>
    <w:uiPriority w:val="34"/>
    <w:qFormat/>
    <w:rsid w:val="00B56BD2"/>
    <w:pPr>
      <w:ind w:left="720"/>
      <w:contextualSpacing/>
    </w:pPr>
  </w:style>
  <w:style w:type="table" w:styleId="TableGrid">
    <w:name w:val="Table Grid"/>
    <w:basedOn w:val="TableNormal"/>
    <w:uiPriority w:val="39"/>
    <w:rsid w:val="00147A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43</cp:revision>
  <dcterms:created xsi:type="dcterms:W3CDTF">2014-03-07T20:14:00Z</dcterms:created>
  <dcterms:modified xsi:type="dcterms:W3CDTF">2014-03-07T21:08:00Z</dcterms:modified>
</cp:coreProperties>
</file>