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never been systematically quantified.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transformed to centered log-ratio (CLR) coordinates for compositional analysis.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compositional variance (F=30.13, p&lt;0.0001, 9,999 permutations) versus only 1.4% for disease label—an approximately 12-fold disparity that mechanistically explains why batch correction cannot recover generalization: both ComBat-seq and MMUPHin worsened rather than improved LOCO AUC across all conditions. SHAP analysis revealed near-zero pairwise Jaccard similarity between cohorts’ top-20 predictive taxa (mean 0.101 for logistic regression; 0.026 for LightGBM) and ten directional flip taxa for logistic regression and three for LightGBM—genera whose association with AD versus cognitive normality reverses sign across cohorts, including</w:t>
      </w:r>
      <w:r>
        <w:t xml:space="preserve"> </w:t>
      </w:r>
      <w:r>
        <w:rPr>
          <w:i/>
          <w:iCs/>
        </w:rPr>
        <w:t xml:space="preserve">Akkermansia</w:t>
      </w:r>
      <w:r>
        <w:t xml:space="preserve"> </w:t>
      </w:r>
      <w:r>
        <w:t xml:space="preserve">(AD-associated in the Ling 2020 cohort by LightGBM; CN-associated in all three others) and</w:t>
      </w:r>
      <w:r>
        <w:t xml:space="preserve"> </w:t>
      </w:r>
      <w:r>
        <w:rPr>
          <w:i/>
          <w:iCs/>
        </w:rPr>
        <w:t xml:space="preserve">Lactobacillus</w:t>
      </w:r>
      <w:r>
        <w:t xml:space="preserve"> </w:t>
      </w:r>
      <w:r>
        <w:t xml:space="preserve">(AD-associated in Kazakhstan; CN-associated in Chinese cohorts). These results demonstrate that gut microbiome-based AD classifiers trained in one population do not transfer reliably to other populations, that the cohort effect is structurally much larger than the disease effect, and that linear batch correction methods are insufficient to bridge this gap.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mice colonized with gut microbiota from AD patients exhibited greater amyloid-β deposition than those colonized with microbiota from healthy donors (Harach et al., 2017), dozens of 16S rRNA and shotgun metagenomic studies have reported significant differences in gut microbial composition between AD or MCI patients and cognitively normal (CN) controls.</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Despite this recognized heterogeneity, no study has systematically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standard batch correction methods (ComBat-seq and MMUPHin) worsen rather than improve cross-cohort AUC; and the specific taxa driving predictions are almost entirely cohort-specific and frequently contradict in direction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1"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in this version to avoid the additional platform confound introduced by mixing amplicon and whole-genome sequencing data.</w:t>
      </w:r>
    </w:p>
    <w:p>
      <w:pPr>
        <w:pStyle w:val="BodyText"/>
      </w:pPr>
      <w:r>
        <w:t xml:space="preserve">Five cohorts meeting these criteria were included. The ALBION 2025 Greek cohort (PRJNA1297934) was identified but excluded because data had not yet been publicly released at the time of analysis. A sixth cohort (Kim/KBASE 2022, PRJEB50447, South Korea) was included in unsupervised analyses only; per-sample amyloid-PET diagnosis labels are IRB-restricted and not deposited in any public archive (see Supplementary Note S1 for complete documentation of metadata search).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(60 AD, 60 MCI, 60 CN × 2 sample types = 180).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was observed at ≥1 count in ≥2 samples from at least one cohort; this threshold was applied per cohort before cross-cohort union. The union of retained genera across all five cohorts produced a unified feature set of 396 genera. Genera absent in a given sample received a count of zero.</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r>
                      <m:rPr>
                        <m:sty m:val="p"/>
                      </m:rPr>
                      <m:t>/</m:t>
                    </m:r>
                    <m:r>
                      <m:t>p</m:t>
                    </m:r>
                  </m:e>
                  <m:e>
                    <m:r>
                      <m:rPr>
                        <m:nor/>
                        <m:sty m:val="p"/>
                      </m:rPr>
                      <m:t>if </m:t>
                    </m:r>
                    <m:sSub>
                      <m:e>
                        <m:r>
                          <m:t>x</m:t>
                        </m:r>
                      </m:e>
                      <m:sub>
                        <m:r>
                          <m:t>i</m:t>
                        </m:r>
                      </m:sub>
                    </m:sSub>
                    <m:r>
                      <m:rPr>
                        <m:sty m:val="p"/>
                      </m:rPr>
                      <m:t>=</m:t>
                    </m:r>
                    <m:r>
                      <m:t>0</m:t>
                    </m:r>
                  </m:e>
                </m:mr>
                <m:mr>
                  <m:e>
                    <m:r>
                      <m:rPr>
                        <m:sty m:val="p"/>
                      </m:rPr>
                      <m:t>(</m:t>
                    </m:r>
                    <m:r>
                      <m:t>1</m:t>
                    </m:r>
                    <m:r>
                      <m:rPr>
                        <m:sty m:val="p"/>
                      </m:rPr>
                      <m:t>−</m:t>
                    </m:r>
                    <m:sSub>
                      <m:e>
                        <m:r>
                          <m:t>n</m:t>
                        </m:r>
                      </m:e>
                      <m:sub>
                        <m:r>
                          <m:t>0</m:t>
                        </m:r>
                      </m:sub>
                    </m:sSub>
                    <m:r>
                      <m:rPr>
                        <m:sty m:val="p"/>
                      </m:rPr>
                      <m:t>⋅</m:t>
                    </m:r>
                    <m:r>
                      <m:t>δ</m:t>
                    </m:r>
                    <m:r>
                      <m:rPr>
                        <m:sty m:val="p"/>
                      </m:rPr>
                      <m:t>/</m:t>
                    </m:r>
                    <m:r>
                      <m:t>p</m:t>
                    </m:r>
                    <m:r>
                      <m:rPr>
                        <m:sty m:val="p"/>
                      </m:rPr>
                      <m:t>)</m:t>
                    </m:r>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p</m:t>
        </m:r>
      </m:oMath>
      <w:r>
        <w:t xml:space="preserve"> </w:t>
      </w:r>
      <w:r>
        <w:t xml:space="preserve">is the total number of components and</w:t>
      </w:r>
      <w:r>
        <w:t xml:space="preserve"> </w:t>
      </w:r>
      <m:oMath>
        <m:sSub>
          <m:e>
            <m:r>
              <m:t>n</m:t>
            </m:r>
          </m:e>
          <m:sub>
            <m:r>
              <m:t>0</m:t>
            </m:r>
          </m:sub>
        </m:sSub>
      </m:oMath>
      <w:r>
        <w:t xml:space="preserve"> </w:t>
      </w:r>
      <w:r>
        <w:t xml:space="preserve">is the count of zeros in the sample.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Relative abundances (proportions, no CLR) were used as input to ComBat-seq (which requires non-negative input) and for Bray-Curtis distance.</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Logistic Regression with Elastic Net regularization</w:t>
      </w:r>
      <w:r>
        <w:t xml:space="preserve"> </w:t>
      </w:r>
      <w:r>
        <w:t xml:space="preserve">(scikit-learn v1.5; Pedregosa et al., 2011; LogisticRegression, solver=</w:t>
      </w:r>
      <w:r>
        <w:t xml:space="preserve">“saga”</w:t>
      </w:r>
      <w:r>
        <w:t xml:space="preserve">, L1-ratio=0.5). Regularization strength C was tuned over {0.01, 0.1, 1.0, 10.0} in inner cross-validation.</w:t>
      </w:r>
    </w:p>
    <w:p>
      <w:pPr>
        <w:pStyle w:val="BodyText"/>
      </w:pPr>
      <w:r>
        <w:rPr>
          <w:b/>
          <w:bCs/>
        </w:rPr>
        <w:t xml:space="preserve">LightGBM gradient-boosted trees</w:t>
      </w:r>
      <w:r>
        <w:t xml:space="preserve"> </w:t>
      </w:r>
      <w:r>
        <w:t xml:space="preserve">(lightgbm v4; Ke et al., 2017). Hyperparameters tuned: number of estimators ∈ {100, 200, 500}, learning rate ∈ {0.05, 0.1, 0.2}, max depth ∈ {3, 5, -1}.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w:t>
      </w:r>
    </w:p>
    <w:bookmarkEnd w:id="14"/>
    <w:bookmarkStart w:id="15"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bookmarkEnd w:id="15"/>
    <w:bookmarkStart w:id="16"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Three models were fitted: (1) cohort only, all five cohorts; (2) cohort + diagnosis, restricted to the four labeled cohorts, with marginal R² for each term; (3) within each labeled cohort, diagnosis as the sole predictor (within-cohort disease effect size).</w:t>
      </w:r>
    </w:p>
    <w:p>
      <w:pPr>
        <w:pStyle w:val="BodyText"/>
      </w:pPr>
      <w:r>
        <w:t xml:space="preserve">For Zhu 2022, analysis was performed on the 60 fecal samples only; the blood microbiome samples were excluded prior to all PERMANOVA analyses.</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bookmarkEnd w:id="16"/>
    <w:bookmarkStart w:id="17" w:name="batch-correction"/>
    <w:p>
      <w:pPr>
        <w:pStyle w:val="Heading3"/>
      </w:pPr>
      <w:r>
        <w:t xml:space="preserve">2.7 Batch Correction</w:t>
      </w:r>
    </w:p>
    <w:p>
      <w:pPr>
        <w:pStyle w:val="FirstParagraph"/>
      </w:pPr>
      <w:r>
        <w:t xml:space="preserve">Two batch correction methods designed for microbiome data were applied, treating cohort identity as the batch variable and disease status as the biological covariate of interest:</w:t>
      </w:r>
    </w:p>
    <w:p>
      <w:pPr>
        <w:pStyle w:val="BodyText"/>
      </w:pPr>
      <w:r>
        <w:rPr>
          <w:b/>
          <w:bCs/>
        </w:rPr>
        <w:t xml:space="preserve">ComBat-seq</w:t>
      </w:r>
      <w:r>
        <w:t xml:space="preserve"> </w:t>
      </w:r>
      <w:r>
        <w:t xml:space="preserve">(Zhang et al., 2020): A negative binomial regression-based batch correction method adapted from the original ComBat algorithm for use with RNA-seq count data. We provided raw genus-level count matrices (genera × samples, four labeled cohorts only) and specified group = disease_status to preserve the biological variable. Corrected count tables were CLR-transformed using the same multiplicative zero-replacement procedure described in Section 2.3.</w:t>
      </w:r>
    </w:p>
    <w:p>
      <w:pPr>
        <w:pStyle w:val="BodyText"/>
      </w:pPr>
      <w:r>
        <w:rPr>
          <w:b/>
          <w:bCs/>
        </w:rPr>
        <w:t xml:space="preserve">MMUPHin</w:t>
      </w:r>
      <w:r>
        <w:t xml:space="preserve"> </w:t>
      </w:r>
      <w:r>
        <w:t xml:space="preserve">v1.15 (Ma et al., 2022): A meta-analysis framework for microbiome data that fits linear mixed-effects models to remove batch effects from relative abundance profiles while adjusting for covariates. Relative abundance profiles from the four labeled cohorts were provided, with batch = cohort and covariates = diagnosis.</w:t>
      </w:r>
    </w:p>
    <w:p>
      <w:pPr>
        <w:pStyle w:val="BodyText"/>
      </w:pPr>
      <w:r>
        <w:t xml:space="preserve">After correction, the LOCO generalization experiment (Section 2.5) was repeated on the batch-corrected CLR matrices. We also re-computed within-cohort AUC on corrected data to assess whether correction degraded within-cohort biological signal. We note that because batch correction was applied to all four cohorts jointly—including the held-out test cohort—the corrected LOCO results represent an upper bound on what batch correction could achieve in a prospective deployment scenario where the test cohort would be unseen during correction parameter estimation.</w:t>
      </w:r>
    </w:p>
    <w:bookmarkEnd w:id="17"/>
    <w:bookmarkStart w:id="18" w:name="shap-feature-importance-analysis"/>
    <w:p>
      <w:pPr>
        <w:pStyle w:val="Heading3"/>
      </w:pPr>
      <w:r>
        <w:t xml:space="preserve">2.8 SHAP Feature Importance Analysis</w:t>
      </w:r>
    </w:p>
    <w:p>
      <w:pPr>
        <w:pStyle w:val="FirstParagraph"/>
      </w:pPr>
      <w:r>
        <w:t xml:space="preserve">To identify which genera drove predictions in each cohort and whether these features were consistent across cohorts, we computed SHapley Additive exPlanations (SHAP) values (Lundberg and Lee, 2017).</w:t>
      </w:r>
    </w:p>
    <w:p>
      <w:pPr>
        <w:pStyle w:val="BodyText"/>
      </w:pPr>
      <w:r>
        <w:t xml:space="preserve">For each labeled cohort, a final classifier was trained on all samples in that cohort (best hyperparameters from 5-fold cross-validation), and SHAP values were computed for all samples using shap.LinearExplainer (for logistic regression, feature_perturbation=</w:t>
      </w:r>
      <w:r>
        <w:t xml:space="preserve">“interventional”</w:t>
      </w:r>
      <w:r>
        <w:t xml:space="preserve">) and shap.TreeExplainer (for LightGBM, check_additivity=False). The mean absolute SHAP value per genus was used as the importance metric; the mean SHAP value (signed) per genus within AD samples versus CN samples indicated direction of association.</w:t>
      </w:r>
    </w:p>
    <w:p>
      <w:pPr>
        <w:pStyle w:val="BodyText"/>
      </w:pPr>
      <w:r>
        <w:t xml:space="preserve">For LOCO analyses, SHAP values were computed on the held-out test cohort from each LOCO-trained model, allowing direct assessment of which genera the cross-cohort model relied upon when applied to an unseen population.</w:t>
      </w:r>
    </w:p>
    <w:p>
      <w:pPr>
        <w:pStyle w:val="BodyText"/>
      </w:pPr>
      <w:r>
        <w:t xml:space="preserve">Pairwise taxonomic overlap between cohorts was quantified using Jaccard similarity on the top-N SHAP genera (N ∈ {10, 20, 50}). A genus was classified as a</w:t>
      </w:r>
      <w:r>
        <w:t xml:space="preserve"> </w:t>
      </w:r>
      <w:r>
        <w:t xml:space="preserve">“directional flip”</w:t>
      </w:r>
      <w:r>
        <w:t xml:space="preserve"> </w:t>
      </w:r>
      <w:r>
        <w:t xml:space="preserve">if it appeared in the top-20 SHAP features of at least two cohorts but had opposite sign (i.e., positive mean SHAP in AD samples in one cohort; negative in another), constituting an empirical cross-population directional contradiction.</w:t>
      </w:r>
    </w:p>
    <w:p>
      <w:pPr>
        <w:pStyle w:val="BodyText"/>
      </w:pPr>
      <w:r>
        <w:t xml:space="preserve">All analyses used MIN_COHORTS=2 for directional flip detection and TOP_N=20 as the primary overlap threshold; top-10 and top-50 are reported as sensitivity analyses.</w:t>
      </w:r>
    </w:p>
    <w:bookmarkEnd w:id="18"/>
    <w:bookmarkStart w:id="19"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19"/>
    <w:bookmarkStart w:id="20" w:name="statistical-analysis-environment"/>
    <w:p>
      <w:pPr>
        <w:pStyle w:val="Heading3"/>
      </w:pPr>
      <w:r>
        <w:t xml:space="preserve">2.10 Statistical Analysis Environment</w:t>
      </w:r>
    </w:p>
    <w:p>
      <w:pPr>
        <w:pStyle w:val="FirstParagraph"/>
      </w:pPr>
      <w:r>
        <w:t xml:space="preserve">All Python analyses used scikit-learn v1.5, lightgbm v4, shap v0.51, pandas v2.x, and numpy v1.x in a conda environment (Python 3.11). R analyses used DADA2 v1.28, vegan v2.6, sva v3.50 (ComBat-seq), and MMUPHin v1.15 in R v4.3. Figures were generated with matplotlib v3.8 at 300 DPI.</w:t>
      </w:r>
    </w:p>
    <w:p>
      <w:r>
        <w:pict>
          <v:rect style="width:0;height:1.5pt" o:hralign="center" o:hrstd="t" o:hr="t"/>
        </w:pict>
      </w:r>
    </w:p>
    <w:bookmarkEnd w:id="20"/>
    <w:bookmarkEnd w:id="21"/>
    <w:bookmarkStart w:id="28" w:name="results"/>
    <w:p>
      <w:pPr>
        <w:pStyle w:val="Heading2"/>
      </w:pPr>
      <w:r>
        <w:t xml:space="preserve">3. Results</w:t>
      </w:r>
    </w:p>
    <w:bookmarkStart w:id="22"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2"/>
    <w:bookmarkStart w:id="23"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p&lt;0.0001), suggesting genuine group differences in fecal composition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Specificity</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0.859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0.605</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0.767</w:t>
            </w:r>
          </w:p>
        </w:tc>
      </w:tr>
    </w:tbl>
    <w:p>
      <w:pPr>
        <w:pStyle w:val="BodyText"/>
      </w:pPr>
      <w:r>
        <w:t xml:space="preserve">N=60 for Zhu 2022 binary analysis (30 AD + 30 CN fecal samples; MCI and blood samples excluded).</w:t>
      </w:r>
    </w:p>
    <w:bookmarkEnd w:id="23"/>
    <w:bookmarkStart w:id="24" w:name="cross-cohort-generalization-failure"/>
    <w:p>
      <w:pPr>
        <w:pStyle w:val="Heading3"/>
      </w:pPr>
      <w:r>
        <w:t xml:space="preserve">3.3 Cross-Cohort Generalization Failure</w:t>
      </w:r>
    </w:p>
    <w:p>
      <w:pPr>
        <w:pStyle w:val="FirstParagraph"/>
      </w:pPr>
      <w:r>
        <w:t xml:space="preserve">LOCO cross-cohort AUC-ROC values revealed consistent and substantial generalization failure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In both cases the LOCO model must rely on disease-relevant genera from other cohorts that lack the cohort-specific compositional patterns inflating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confirming a statistically reliable performance drop.</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4"/>
    <w:bookmarkStart w:id="25"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p&lt;0.0001, 9,999 permutations; Figure 4A). On Bray-Curtis dissimilarity, the cohort R² was 0.136 (F=19.80, p&lt;0.0001). The cohort effect was substantially larger than disease signal: in a marginal two-variable model restricted to the four labeled cohorts, cohort (marginal) explained R²=0.172 (F=28.03, p&lt;0.0001) versus diagnosis (marginal) R²=0.014 (F=6.82, p&lt;0.0001)—an approximately 12-fold disparity. This ratio is the single most important number for mechanistically interpreting the batch correction results in Section 3.5.</w:t>
      </w:r>
    </w:p>
    <w:p>
      <w:pPr>
        <w:pStyle w:val="BodyText"/>
      </w:pPr>
      <w:r>
        <w:t xml:space="preserve">Principal coordinates analysis (PCoA) on Aitchison distance (Figure 4B)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p&lt;0.0001,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p&lt;0.0001) and Zhu 2022 (R²=0.094, F=6.01, p&lt;0.0001)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genuine compositional signal in this dataset.</w:t>
      </w:r>
    </w:p>
    <w:bookmarkEnd w:id="25"/>
    <w:bookmarkStart w:id="26"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and MMUPHin to the four labeled cohorts with cohort as the batch variable (Figure 5; Table 4). Both methods failed to recover cross-cohort generalization, and ComBat-seq substantially worsened it.</w:t>
      </w:r>
    </w:p>
    <w:p>
      <w:pPr>
        <w:pStyle w:val="BodyText"/>
      </w:pPr>
      <w:r>
        <w:rPr>
          <w:b/>
          <w:bCs/>
        </w:rPr>
        <w:t xml:space="preserve">Table 4.</w:t>
      </w:r>
      <w:r>
        <w:t xml:space="preserve"> </w:t>
      </w:r>
      <w:r>
        <w:t xml:space="preserve">Mean LOCO AUC across four cohorts, by correction method and model.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0.210</w:t>
            </w:r>
          </w:p>
        </w:tc>
      </w:tr>
    </w:tbl>
    <w:p>
      <w:pPr>
        <w:pStyle w:val="BodyText"/>
      </w:pPr>
      <w:r>
        <w:t xml:space="preserve">ComBat-seq reduced mean logistic regression LOCO AUC from 0.640 to 0.493 and degraded all four individual cohort LOCO AUCs, with the Kazakhstan cohort collapsing to AUC=0.308 [0.20–0.42] (Table 4). LightGBM was somewhat more robust: ComBat-seq reduced LGBM mean LOCO from 0.647 to 0.555. MMUPHin was less destructive but still failed to improve upon uncorrected LOCO performance (LogReg mean: 0.640 → 0.612; LGBM: 0.647 → 0.582).</w:t>
      </w:r>
    </w:p>
    <w:p>
      <w:pPr>
        <w:pStyle w:val="BodyText"/>
      </w:pPr>
      <w:r>
        <w:t xml:space="preserve">Critically, within-cohort AUC on corrected data was largely preserved (within ±0.05 of uncorrected) for most cohort–method combinations, ruling out the hypothesis that batch correction was simply removing all signal indiscriminately. The exception was Kazakhstan, where both correction methods moderately improved within-cohort AUC (logistic regression: 0.766 → 0.784 with ComBat-seq, 0.766 → 0.788 with MMUPHin), while simultaneously collapsing LOCO AUC to below chance. This pattern—improved within-cohort AUC coupled with worsened cross-cohort AUC—is consistent with the correction algorithm overfitting the batch-correction transformation to Kazakhstan’s within-cohort structure, making its representation less compatible with the other cohorts, not more.</w:t>
      </w:r>
    </w:p>
    <w:p>
      <w:pPr>
        <w:pStyle w:val="BodyText"/>
      </w:pPr>
      <w:r>
        <w:t xml:space="preserve">The mechanistic interpretation follows directly from the PERMANOVA result: when cohort explains ~12 times more variance than disease status, any linear correction that aligns cohort distributions necessarily corrupts the disease axis. The correction cannot simultaneously remove cohort-associated variance and preserve the much smaller disease signal, because those two sources of variance are not separable by linear methods in a composition space dominated by cohort-level differences.</w:t>
      </w:r>
    </w:p>
    <w:bookmarkEnd w:id="26"/>
    <w:bookmarkStart w:id="27" w:name="X57054cba1dd94387ea8bd66fbe3e6acbd7f6ec1"/>
    <w:p>
      <w:pPr>
        <w:pStyle w:val="Heading3"/>
      </w:pPr>
      <w:r>
        <w:t xml:space="preserve">3.6 SHAP Analysis Reveals Cohort-Specific and Contradictory Taxonomic Signatures</w:t>
      </w:r>
    </w:p>
    <w:p>
      <w:pPr>
        <w:pStyle w:val="FirstParagraph"/>
      </w:pPr>
      <w:r>
        <w:t xml:space="preserve">To characterize the mechanistic basis of generalization failure, we computed SHAP values for within-cohort classifiers and LOCO-trained classifiers (Figure 6).</w:t>
      </w:r>
    </w:p>
    <w:p>
      <w:pPr>
        <w:pStyle w:val="BodyText"/>
      </w:pPr>
      <w:r>
        <w:rPr>
          <w:b/>
          <w:bCs/>
        </w:rPr>
        <w:t xml:space="preserve">Minimal overlap in top predictive taxa across cohorts.</w:t>
      </w:r>
      <w:r>
        <w:t xml:space="preserve"> </w:t>
      </w:r>
      <w:r>
        <w:t xml:space="preserve">Pairwise Jaccard similarity of the top-20 SHAP genera between cohort pairs averaged 0.101 for logistic regression and 0.026 for LightGBM (Figure 6C). These near-zero overlap values confirm that within-cohort classifiers are not detecting a shared biological signal—they are detecting distinct, population-specific compositional patterns. The higher Jaccard for logistic regression (0.101 vs 0.026 for LightGBM) reflects the greater sparsity of tree model feature selection: LightGBM concentrates importance in fewer, more cohort-specific features.</w:t>
      </w:r>
    </w:p>
    <w:p>
      <w:pPr>
        <w:pStyle w:val="BodyText"/>
      </w:pPr>
      <w:r>
        <w:rPr>
          <w:b/>
          <w:bCs/>
        </w:rPr>
        <w:t xml:space="preserve">Cohort-specific top predictors.</w:t>
      </w:r>
      <w:r>
        <w:t xml:space="preserve"> </w:t>
      </w:r>
      <w:r>
        <w:t xml:space="preserve">The most discriminative genus within each cohort was highly variable:</w:t>
      </w:r>
      <w:r>
        <w:t xml:space="preserve"> </w:t>
      </w:r>
      <w:r>
        <w:rPr>
          <w:i/>
          <w:iCs/>
        </w:rPr>
        <w:t xml:space="preserve">Subdoligranulum</w:t>
      </w:r>
      <w:r>
        <w:t xml:space="preserve"> </w:t>
      </w:r>
      <w:r>
        <w:t xml:space="preserve">(CN-associated, Zhuang 2018, logistic regression; |SHAP|=0.320) versus</w:t>
      </w:r>
      <w:r>
        <w:t xml:space="preserve"> </w:t>
      </w:r>
      <w:r>
        <w:rPr>
          <w:i/>
          <w:iCs/>
        </w:rPr>
        <w:t xml:space="preserve">Akkermansia</w:t>
      </w:r>
      <w:r>
        <w:t xml:space="preserve"> </w:t>
      </w:r>
      <w:r>
        <w:t xml:space="preserve">(CN-associated, Ling 2020, logistic regression; |SHAP|=0.372) versus</w:t>
      </w:r>
      <w:r>
        <w:t xml:space="preserve"> </w:t>
      </w:r>
      <w:r>
        <w:rPr>
          <w:i/>
          <w:iCs/>
        </w:rPr>
        <w:t xml:space="preserve">Streptococcus</w:t>
      </w:r>
      <w:r>
        <w:t xml:space="preserve"> </w:t>
      </w:r>
      <w:r>
        <w:t xml:space="preserve">(CN-associated, Zhu 2022, logistic regression; AD-associated for LightGBM) versus</w:t>
      </w:r>
      <w:r>
        <w:t xml:space="preserve"> </w:t>
      </w:r>
      <w:r>
        <w:rPr>
          <w:i/>
          <w:iCs/>
        </w:rPr>
        <w:t xml:space="preserve">Akkermansia</w:t>
      </w:r>
      <w:r>
        <w:t xml:space="preserve"> </w:t>
      </w:r>
      <w:r>
        <w:t xml:space="preserve">(CN-associated, Kazakhstan, logistic regression; |SHAP|=0.132).</w:t>
      </w:r>
      <w:r>
        <w:t xml:space="preserve"> </w:t>
      </w:r>
      <w:r>
        <w:rPr>
          <w:i/>
          <w:iCs/>
        </w:rPr>
        <w:t xml:space="preserve">Akkermansia</w:t>
      </w:r>
      <w:r>
        <w:t xml:space="preserve"> </w:t>
      </w:r>
      <w:r>
        <w:t xml:space="preserve">ranked first in both Ling 2020 and Kazakhstan for logistic regression, though both associations were CN-directed. For LightGBM, the top taxon per cohort was entirely distinct:</w:t>
      </w:r>
      <w:r>
        <w:t xml:space="preserve"> </w:t>
      </w:r>
      <w:r>
        <w:rPr>
          <w:i/>
          <w:iCs/>
        </w:rPr>
        <w:t xml:space="preserve">Oscillibacter</w:t>
      </w:r>
      <w:r>
        <w:t xml:space="preserve"> </w:t>
      </w:r>
      <w:r>
        <w:t xml:space="preserve">(Zhuang 2018),</w:t>
      </w:r>
      <w:r>
        <w:t xml:space="preserve"> </w:t>
      </w:r>
      <w:r>
        <w:rPr>
          <w:i/>
          <w:iCs/>
        </w:rPr>
        <w:t xml:space="preserve">Akkermansia</w:t>
      </w:r>
      <w:r>
        <w:t xml:space="preserve"> </w:t>
      </w:r>
      <w:r>
        <w:t xml:space="preserve">(Ling 2020, AD-associated),</w:t>
      </w:r>
      <w:r>
        <w:t xml:space="preserve"> </w:t>
      </w:r>
      <w:r>
        <w:rPr>
          <w:i/>
          <w:iCs/>
        </w:rPr>
        <w:t xml:space="preserve">Streptococcus</w:t>
      </w:r>
      <w:r>
        <w:t xml:space="preserve"> </w:t>
      </w:r>
      <w:r>
        <w:t xml:space="preserve">(Zhu 2022, AD-associated),</w:t>
      </w:r>
      <w:r>
        <w:t xml:space="preserve"> </w:t>
      </w:r>
      <w:r>
        <w:rPr>
          <w:i/>
          <w:iCs/>
        </w:rPr>
        <w:t xml:space="preserve">Castellaniella</w:t>
      </w:r>
      <w:r>
        <w:t xml:space="preserve"> </w:t>
      </w:r>
      <w:r>
        <w:t xml:space="preserve">(Kazakhstan, CN-associated) (Figure 6A).</w:t>
      </w:r>
    </w:p>
    <w:p>
      <w:pPr>
        <w:pStyle w:val="BodyText"/>
      </w:pPr>
      <w:r>
        <w:rPr>
          <w:b/>
          <w:bCs/>
        </w:rPr>
        <w:t xml:space="preserve">Directional flip taxa.</w:t>
      </w:r>
      <w:r>
        <w:t xml:space="preserve"> </w:t>
      </w:r>
      <w:r>
        <w:t xml:space="preserve">Among taxa appearing in the top-20 for two or more cohorts, ten showed directional reversal for logistic regression and three for LightGBM (Figure 6B):</w:t>
      </w:r>
    </w:p>
    <w:p>
      <w:pPr>
        <w:pStyle w:val="BodyText"/>
      </w:pPr>
      <w:r>
        <w:rPr>
          <w:i/>
          <w:iCs/>
        </w:rPr>
        <w:t xml:space="preserve">Logistic regression flips (10 taxa):</w:t>
      </w:r>
      <w:r>
        <w:t xml:space="preserve"> </w:t>
      </w:r>
      <w:r>
        <w:t xml:space="preserve">Agathobacter (AD-associated in Zhuang/Ling/Kazakhstan; CN-associated in Zhu 2022), Bifidobacterium (AD-associated in Zhuang/Zhu 2022/Kazakhstan; CN-associated in Ling), Christensenellaceae R-7 group (CN-associated in Zhuang/Ling/Zhu 2022; AD-associated in Kazakhstan), Coprococcus (CN-associated in Zhuang/Ling/Kazakhstan; AD-associated in Zhu 2022), Lactobacillus (CN-associated in Chinese cohorts; AD-associated in Kazakhstan), NK4A214 group (CN-associated in Zhuang/Ling; AD-associated in Zhu 2022/Kazakhstan), Parasutterella (CN-associated in Zhuang/Kazakhstan; AD-associated in Ling/Zhu 2022), Prevotella_9 (CN-associated in Zhuang/Kazakhstan; AD-associated in Ling/Zhu 2022), Romboutsia (AD-associated in Zhuang/Kazakhstan; CN-associated in Ling/Zhu 2022), and</w:t>
      </w:r>
      <w:r>
        <w:t xml:space="preserve"> </w:t>
      </w:r>
      <w:r>
        <w:rPr>
          <w:i/>
          <w:iCs/>
        </w:rPr>
        <w:t xml:space="preserve">[Eubacterium] xylanophilum group</w:t>
      </w:r>
      <w:r>
        <w:t xml:space="preserve"> </w:t>
      </w:r>
      <w:r>
        <w:t xml:space="preserve">(CN-associated in Zhuang; AD-associated in Ling/Zhu 2022/Kazakhstan).</w:t>
      </w:r>
    </w:p>
    <w:p>
      <w:pPr>
        <w:pStyle w:val="BodyText"/>
      </w:pPr>
      <w:r>
        <w:rPr>
          <w:i/>
          <w:iCs/>
        </w:rPr>
        <w:t xml:space="preserve">LightGBM flips (3 taxa):</w:t>
      </w:r>
      <w:r>
        <w:t xml:space="preserve"> </w:t>
      </w:r>
      <w:r>
        <w:t xml:space="preserve">Incertae Sedis (CN-associated in Zhuang/Zhu 2022/Kazakhstan; AD-associated in Ling), Lactobacillus (CN-associated in Ling/Zhu 2022/Zhuang; AD-associated in Kazakhstan), Oscillibacter (CN-associated in Zhuang/Ling/Zhu 2022; AD-associated in Kazakhstan).</w:t>
      </w:r>
    </w:p>
    <w:p>
      <w:pPr>
        <w:pStyle w:val="BodyText"/>
      </w:pPr>
      <w:r>
        <w:t xml:space="preserve">The</w:t>
      </w:r>
      <w:r>
        <w:t xml:space="preserve"> </w:t>
      </w:r>
      <w:r>
        <w:rPr>
          <w:i/>
          <w:iCs/>
        </w:rPr>
        <w:t xml:space="preserve">Akkermansia</w:t>
      </w:r>
      <w:r>
        <w:t xml:space="preserve"> </w:t>
      </w:r>
      <w:r>
        <w:t xml:space="preserve">flip is particularly striking: in Ling 2020,</w:t>
      </w:r>
      <w:r>
        <w:t xml:space="preserve"> </w:t>
      </w:r>
      <w:r>
        <w:rPr>
          <w:i/>
          <w:iCs/>
        </w:rPr>
        <w:t xml:space="preserve">Akkermansia</w:t>
      </w:r>
      <w:r>
        <w:t xml:space="preserve"> </w:t>
      </w:r>
      <w:r>
        <w:t xml:space="preserve">is the top LightGBM predictor (|SHAP|=0.828) and is AD-associated—yet it is CN-associated in the other three cohorts for LightGBM (and CN-associated in all four cohorts for logistic regression).</w:t>
      </w:r>
      <w:r>
        <w:t xml:space="preserve"> </w:t>
      </w:r>
      <w:r>
        <w:rPr>
          <w:i/>
          <w:iCs/>
        </w:rPr>
        <w:t xml:space="preserve">Akkermansia muciniphila</w:t>
      </w:r>
      <w:r>
        <w:t xml:space="preserve"> </w:t>
      </w:r>
      <w:r>
        <w:t xml:space="preserve">has been extensively studied for its purported gut-protective effects, and its relationship with AD pathology has been reported in opposing directions across populations (Liu et al., 2020). Our data empirically confirm this cross-population directionality reversal.</w:t>
      </w:r>
    </w:p>
    <w:p>
      <w:pPr>
        <w:pStyle w:val="BodyText"/>
      </w:pPr>
      <w:r>
        <w:rPr>
          <w:b/>
          <w:bCs/>
        </w:rPr>
        <w:t xml:space="preserve">LOCO SHAP analysis: no universal transferable taxon.</w:t>
      </w:r>
      <w:r>
        <w:t xml:space="preserve"> </w:t>
      </w:r>
      <w:r>
        <w:t xml:space="preserve">When SHAP values were computed for LOCO-trained classifiers applied to held-out cohorts, the top predictors in the test cohorts were entirely different across held-out conditions:</w:t>
      </w:r>
      <w:r>
        <w:t xml:space="preserve"> </w:t>
      </w:r>
      <w:r>
        <w:rPr>
          <w:i/>
          <w:iCs/>
        </w:rPr>
        <w:t xml:space="preserve">Akkermansia</w:t>
      </w:r>
      <w:r>
        <w:t xml:space="preserve"> </w:t>
      </w:r>
      <w:r>
        <w:t xml:space="preserve">(held-out Zhuang 2018, logistic regression),</w:t>
      </w:r>
      <w:r>
        <w:t xml:space="preserve"> </w:t>
      </w:r>
      <w:r>
        <w:rPr>
          <w:i/>
          <w:iCs/>
        </w:rPr>
        <w:t xml:space="preserve">Eisenbergiella</w:t>
      </w:r>
      <w:r>
        <w:t xml:space="preserve"> </w:t>
      </w:r>
      <w:r>
        <w:t xml:space="preserve">(held-out Ling 2020, logistic regression),</w:t>
      </w:r>
      <w:r>
        <w:t xml:space="preserve"> </w:t>
      </w:r>
      <w:r>
        <w:rPr>
          <w:i/>
          <w:iCs/>
        </w:rPr>
        <w:t xml:space="preserve">Faecalibacterium</w:t>
      </w:r>
      <w:r>
        <w:t xml:space="preserve"> </w:t>
      </w:r>
      <w:r>
        <w:t xml:space="preserve">(held-out Zhu 2022, logistic regression), and</w:t>
      </w:r>
      <w:r>
        <w:t xml:space="preserve"> </w:t>
      </w:r>
      <w:r>
        <w:rPr>
          <w:i/>
          <w:iCs/>
        </w:rPr>
        <w:t xml:space="preserve">Cutibacterium</w:t>
      </w:r>
      <w:r>
        <w:t xml:space="preserve"> </w:t>
      </w:r>
      <w:r>
        <w:t xml:space="preserve">(held-out Kazakhstan, logistic regression). For LightGBM, the top taxa were</w:t>
      </w:r>
      <w:r>
        <w:t xml:space="preserve"> </w:t>
      </w:r>
      <w:r>
        <w:rPr>
          <w:i/>
          <w:iCs/>
        </w:rPr>
        <w:t xml:space="preserve">Akkermansia</w:t>
      </w:r>
      <w:r>
        <w:t xml:space="preserve"> </w:t>
      </w:r>
      <w:r>
        <w:t xml:space="preserve">(held-out Zhuang),</w:t>
      </w:r>
      <w:r>
        <w:t xml:space="preserve"> </w:t>
      </w:r>
      <w:r>
        <w:rPr>
          <w:i/>
          <w:iCs/>
        </w:rPr>
        <w:t xml:space="preserve">Streptococcus</w:t>
      </w:r>
      <w:r>
        <w:t xml:space="preserve"> </w:t>
      </w:r>
      <w:r>
        <w:t xml:space="preserve">(held-out Ling),</w:t>
      </w:r>
      <w:r>
        <w:t xml:space="preserve"> </w:t>
      </w:r>
      <w:r>
        <w:rPr>
          <w:i/>
          <w:iCs/>
        </w:rPr>
        <w:t xml:space="preserve">Akkermansia</w:t>
      </w:r>
      <w:r>
        <w:t xml:space="preserve"> </w:t>
      </w:r>
      <w:r>
        <w:t xml:space="preserve">(held-out Zhu 2022), and</w:t>
      </w:r>
      <w:r>
        <w:t xml:space="preserve"> </w:t>
      </w:r>
      <w:r>
        <w:rPr>
          <w:i/>
          <w:iCs/>
        </w:rPr>
        <w:t xml:space="preserve">[Eubacterium] xylanophilum group</w:t>
      </w:r>
      <w:r>
        <w:t xml:space="preserve"> </w:t>
      </w:r>
      <w:r>
        <w:t xml:space="preserve">(held-out Kazakhstan). This pattern indicates that the cross-cohort classifier applies cohort-inappropriate feature weights to the test cohort—it activates whichever genera most closely match its training-cohort signature, even when those genera lack consistent disease associations in the test population.</w:t>
      </w:r>
    </w:p>
    <w:p>
      <w:r>
        <w:pict>
          <v:rect style="width:0;height:1.5pt" o:hralign="center" o:hrstd="t" o:hr="t"/>
        </w:pict>
      </w:r>
    </w:p>
    <w:bookmarkEnd w:id="27"/>
    <w:bookmarkEnd w:id="28"/>
    <w:bookmarkStart w:id="35" w:name="discussion"/>
    <w:p>
      <w:pPr>
        <w:pStyle w:val="Heading2"/>
      </w:pPr>
      <w:r>
        <w:t xml:space="preserve">4. Discussion</w:t>
      </w:r>
    </w:p>
    <w:bookmarkStart w:id="29" w:name="X98882ddec0548496a5c10a2861c9a197d74e628"/>
    <w:p>
      <w:pPr>
        <w:pStyle w:val="Heading3"/>
      </w:pPr>
      <w:r>
        <w:t xml:space="preserve">4.1 Systematic Quantification of Generalization Failure</w:t>
      </w:r>
    </w:p>
    <w:p>
      <w:pPr>
        <w:pStyle w:val="FirstParagraph"/>
      </w:pPr>
      <w:r>
        <w:t xml:space="preserve">This study provides the first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not surprising in light of the broader literature. The Bacteroides 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What this paper adds is a rigorous, unified quantification within a single computational framework, making the magnitude of failure explicit rather than anecdotal.</w:t>
      </w:r>
    </w:p>
    <w:bookmarkEnd w:id="29"/>
    <w:bookmarkStart w:id="30" w:name="Xbb382972170d5fbdcbb699206593e880e629aa6"/>
    <w:p>
      <w:pPr>
        <w:pStyle w:val="Heading3"/>
      </w:pPr>
      <w:r>
        <w:t xml:space="preserve">4.2 Why Batch Correction Failed: The 12:1 Disparity</w:t>
      </w:r>
    </w:p>
    <w:p>
      <w:pPr>
        <w:pStyle w:val="FirstParagraph"/>
      </w:pPr>
      <w:r>
        <w:t xml:space="preserve">The batch correction failure is mechanistically interpretable from the PERMANOVA result. Cohort identity explains 19.3% of Aitchison variance (R²=0.193); disease status explains 1.4% (R²=0.014). This ~12-fold disparity means that compositional space is overwhelmingly organized by cohort-of-origin, not by disease status. A linear batch correction method that targets the cohort dimension of variance will inevitably remove a large fraction of the disease variance, because those dimensions are not cleanly orthogonal in this data.</w:t>
      </w:r>
    </w:p>
    <w:p>
      <w:pPr>
        <w:pStyle w:val="BodyText"/>
      </w:pPr>
      <w:r>
        <w:t xml:space="preserve">ComBat-seq’s aggressive worsening of LOCO AUC (mean LogReg: 0.640 → 0.493) supports this interpretation. ComBat-seq models each feature’s batch effect separately using a negative binomial regression framework that is well-suited to RNA-seq data but may be poorly calibrated for the extreme sparsity (&gt;77% zero counts) and compositional structure of 16S microbiome data. The within-cohort AUC preservation (and even improvement for Kazakhstan) after ComBat-seq correction shows that the correction did not remove all biological signal—it reshaped the compositional space in a way that made within-cohort structure more accessible to linear classifiers while making cross-cohort alignment worse. This is consistent with ComBat-seq fitting a separate model per feature (per genus) without any constraint that the corrected compositions remain compatible across cohorts at the distributional level.</w:t>
      </w:r>
    </w:p>
    <w:p>
      <w:pPr>
        <w:pStyle w:val="BodyText"/>
      </w:pPr>
      <w:r>
        <w:t xml:space="preserve">MMUPHin’s milder but still negative effect is similarly interpretable: linear mixed-effects models on relative abundances cannot align the full multivariate compositional space when the batch effect is substantially larger than the biological effect. The corrected distributions may appear visually closer in PCoA (as shown in Supplementary Figures S4–S5) without actually aligning along the disease axis.</w:t>
      </w:r>
    </w:p>
    <w:p>
      <w:pPr>
        <w:pStyle w:val="BodyText"/>
      </w:pPr>
      <w:r>
        <w:t xml:space="preserve">These results have direct implications for the microbiome harmonization literature. Recent methodological advances in microbiome batch correction have focused on cases where the biological effect is of similar magnitude to or larger than the batch effect. When the batch effect dominates by a factor of ~12, no linear correction method—however sophisticated—can reliably separate the two sources of variance. The field may need fundamentally different approaches, such as multi-cohort training with cohort as a stratification variable, domain adaptation methods, or meta-analytic frameworks that explicitly model between-cohort heterogeneity rather than attempting to remove it.</w:t>
      </w:r>
    </w:p>
    <w:bookmarkEnd w:id="30"/>
    <w:bookmarkStart w:id="31"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PERMANOVA diagnosis R²=0.094 (F=6.01, p&lt;0.0001) is genuine—Zhu 2022 shows the highest within-cohort disease signal of the four labeled cohorts—but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biopsy–fecal signal that would have characterized the original mixed dataset. We recommend that future AD microbiome studies report sample types explicitly and analyze each compartment independently before pooling.</w:t>
      </w:r>
    </w:p>
    <w:bookmarkEnd w:id="31"/>
    <w:bookmarkStart w:id="32" w:name="Xec78dc0979ddf81ea3344fe2c45d491d9c0a9c4"/>
    <w:p>
      <w:pPr>
        <w:pStyle w:val="Heading3"/>
      </w:pPr>
      <w:r>
        <w:t xml:space="preserve">4.4 Directional Flip Taxa: Empirical Confirmation of Cross-Population Contradictions</w:t>
      </w:r>
    </w:p>
    <w:p>
      <w:pPr>
        <w:pStyle w:val="FirstParagraph"/>
      </w:pPr>
      <w:r>
        <w:t xml:space="preserve">The directional flip taxa identified (ten for logistic regression, three for LightGBM) confirm empirically what the meta-analytic literature has suggested qualitatively.</w:t>
      </w:r>
      <w:r>
        <w:t xml:space="preserve"> </w:t>
      </w:r>
      <w:r>
        <w:rPr>
          <w:i/>
          <w:iCs/>
        </w:rPr>
        <w:t xml:space="preserve">Akkermansia</w:t>
      </w:r>
      <w:r>
        <w:t xml:space="preserve"> </w:t>
      </w:r>
      <w:r>
        <w:t xml:space="preserve">is the most prominent example: it is the top LightGBM predictor in Ling 2020 (AD-associated, |SHAP|=0.828) yet consistently CN-associated in Zhuang 2018, Zhu 2022, and Kazakhstan for LightGBM—and CN-associated in all four cohorts for logistic regression.</w:t>
      </w:r>
      <w:r>
        <w:t xml:space="preserve"> </w:t>
      </w:r>
      <w:r>
        <w:rPr>
          <w:i/>
          <w:iCs/>
        </w:rPr>
        <w:t xml:space="preserve">A. muciniphila</w:t>
      </w:r>
      <w:r>
        <w:t xml:space="preserve"> </w:t>
      </w:r>
      <w:r>
        <w:t xml:space="preserve">abundance is strongly influenced by host diet, particularly fiber and polyphenol intake (Plovier et al., 2017), and by geographic-population-specific dietary patterns. Chinese and Kazakh diets differ substantially in fermented food consumption, fiber sources, and protein composition; these dietary differences likely modulate</w:t>
      </w:r>
      <w:r>
        <w:t xml:space="preserve"> </w:t>
      </w:r>
      <w:r>
        <w:rPr>
          <w:i/>
          <w:iCs/>
        </w:rPr>
        <w:t xml:space="preserve">Akkermansia</w:t>
      </w:r>
      <w:r>
        <w:t xml:space="preserve"> </w:t>
      </w:r>
      <w:r>
        <w:t xml:space="preserve">abundance independently of any AD-specific effect, producing the observed directional reversal.</w:t>
      </w:r>
    </w:p>
    <w:p>
      <w:pPr>
        <w:pStyle w:val="BodyText"/>
      </w:pPr>
      <w:r>
        <w:rPr>
          <w:i/>
          <w:iCs/>
        </w:rPr>
        <w:t xml:space="preserve">Lactobacillus</w:t>
      </w:r>
      <w:r>
        <w:t xml:space="preserve"> </w:t>
      </w:r>
      <w:r>
        <w:t xml:space="preserve">shows the opposite pattern: CN-associated in Chinese cohorts (Ling 2020, Zhu 2022) but AD-associated in Kazakhstan. Fermented dairy consumption (kumis, kefir) is culturally prominent in Central Asian populations and would be expected to substantially elevate</w:t>
      </w:r>
      <w:r>
        <w:t xml:space="preserve"> </w:t>
      </w:r>
      <w:r>
        <w:rPr>
          <w:i/>
          <w:iCs/>
        </w:rPr>
        <w:t xml:space="preserve">Lactobacillus</w:t>
      </w:r>
      <w:r>
        <w:t xml:space="preserve"> </w:t>
      </w:r>
      <w:r>
        <w:t xml:space="preserve">abundance in Kazakh controls—and by extension, in healthy older Kazakh participants. If healthy Kazakh controls have higher</w:t>
      </w:r>
      <w:r>
        <w:t xml:space="preserve"> </w:t>
      </w:r>
      <w:r>
        <w:rPr>
          <w:i/>
          <w:iCs/>
        </w:rPr>
        <w:t xml:space="preserve">Lactobacillus</w:t>
      </w:r>
      <w:r>
        <w:t xml:space="preserve"> </w:t>
      </w:r>
      <w:r>
        <w:t xml:space="preserve">due to diet, the taxon would be CN-associated in that cohort; if the AD patients in that cohort do not consume fermented dairy at the same rate, the direction would reverse relative to Chinese cohorts where fermented dairy consumption patterns differ.</w:t>
      </w:r>
    </w:p>
    <w:p>
      <w:pPr>
        <w:pStyle w:val="BodyText"/>
      </w:pPr>
      <w:r>
        <w:t xml:space="preserve">These diet-mediated directional reversals have a critical implication: they are not correctable by standard batch correction methods, because they reflect genuine biological differences in the meaning of a taxon’s abundance—not technical artifacts of sequencing. The same relative abundance of</w:t>
      </w:r>
      <w:r>
        <w:t xml:space="preserve"> </w:t>
      </w:r>
      <w:r>
        <w:rPr>
          <w:i/>
          <w:iCs/>
        </w:rPr>
        <w:t xml:space="preserve">Akkermansia</w:t>
      </w:r>
      <w:r>
        <w:t xml:space="preserve"> </w:t>
      </w:r>
      <w:r>
        <w:t xml:space="preserve">carries different disease-predictive information in a Chinese urban cohort versus a Kazakh cohort, because the baseline compositional ecology differs. This is a biological generalization problem, not a technical harmonization problem.</w:t>
      </w:r>
    </w:p>
    <w:bookmarkEnd w:id="32"/>
    <w:bookmarkStart w:id="33"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3"/>
    <w:bookmarkStart w:id="34"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 The use of amyloid-PET positivity as the outcome (preclinical AD) rather than clinical diagnosis also means it is not directly comparable to the other four cohorts even if labels were available.</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Only 180 of the 302 originally enrolled participants were deposited in the public archive (PRJNA489760). The deposited subset may not be a random sample of the full study population, potentially introducing selection bias of unknown direction.</w:t>
      </w:r>
    </w:p>
    <w:p>
      <w:pPr>
        <w:pStyle w:val="BodyText"/>
      </w:pPr>
      <w:r>
        <w:rPr>
          <w:b/>
          <w:bCs/>
        </w:rPr>
        <w:t xml:space="preserve">Batch correction leakage in LOCO evaluation:</w:t>
      </w:r>
      <w:r>
        <w:t xml:space="preserve"> </w:t>
      </w:r>
      <w:r>
        <w:t xml:space="preserve">The batch correction parameters (ComBat-seq’s per-gene normalization factors; MMUPHin’s batch effect estimates) were estimated using all four labeled cohorts jointly, including the LOCO test cohort. In a prospective deployment scenario, the test cohort would be unseen during correction. The corrected LOCO AUC values reported here therefore represent an upper bound on corrected performance; true prospective performance would likely be worse.</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r>
        <w:pict>
          <v:rect style="width:0;height:1.5pt" o:hralign="center" o:hrstd="t" o:hr="t"/>
        </w:pict>
      </w:r>
    </w:p>
    <w:bookmarkEnd w:id="34"/>
    <w:bookmarkEnd w:id="35"/>
    <w:bookmarkStart w:id="36" w:name="conclusion"/>
    <w:p>
      <w:pPr>
        <w:pStyle w:val="Heading2"/>
      </w:pPr>
      <w:r>
        <w:t xml:space="preserve">5. Conclusion</w:t>
      </w:r>
    </w:p>
    <w:p>
      <w:pPr>
        <w:pStyle w:val="FirstParagraph"/>
      </w:pPr>
      <w:r>
        <w:t xml:space="preserve">We conducted the first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Standard batch correction methods (ComBat-seq and MMUPHin) worsened rather than improved cross-cohort AUC. PERMANOVA revealed that cohort identity explained approximately 12 times more compositional variance than disease status, providing a mechanistic explanation for why batch correction fails. SHAP analysis identified near-zero taxon overlap between cohort-specific predictive signatures (mean Jaccard 0.101 at top-20 for logistic regression) and ten directional flip taxa for logistic regression and three for LightGBM—genera whose AD or CN association reverses across populations. These findings demonstrate that the gut microbiome-based AD classifier literature has a fundamental generalization problem that cannot be resolved by post-hoc batch correction. Multi-cohort harmonized prospective studies and mandatory cross-cohort validation are needed before microbiome-based AD biomarkers can achieve clinical utility.</w:t>
      </w:r>
    </w:p>
    <w:p>
      <w:r>
        <w:pict>
          <v:rect style="width:0;height:1.5pt" o:hralign="center" o:hrstd="t" o:hr="t"/>
        </w:pict>
      </w:r>
    </w:p>
    <w:bookmarkEnd w:id="36"/>
    <w:bookmarkStart w:id="37"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8"/>
    <w:bookmarkStart w:id="39"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0"/>
    <w:bookmarkStart w:id="41"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1"/>
    <w:bookmarkStart w:id="42"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 Akkermansia muciniphila 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2026-06-24T19:16:00Z</dcterms:created>
  <dcterms:modified xsi:type="dcterms:W3CDTF">2026-06-24T19:16:00Z</dcterms:modified>
</cp:coreProperties>
</file>

<file path=docProps/custom.xml><?xml version="1.0" encoding="utf-8"?>
<Properties xmlns="http://schemas.openxmlformats.org/officeDocument/2006/custom-properties" xmlns:vt="http://schemas.openxmlformats.org/officeDocument/2006/docPropsVTypes"/>
</file>