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transformed to centered log-ratio (CLR) coordinates for compositional analysis.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Aitchison variance across all five cohorts (F=30.13, p=0.0001); in the four-cohort marginal model, cohort explained R²=0.172 versus only 0.014 for disease label—an approximately 12-fold disparity that is consistent with the interpretation that batch correction cannot recover generalization: both correction methods reduced mean LOCO AUC, with ComBat-seq consistently worsening and MMUPHin failing to improve transferability. SHAP analysis using out-of-fold values revealed near-zero pairwise Jaccard similarity between cohorts’ top-20 predictive taxa (mean 0.135 for logistic regression, significantly above the random baseline of 0.027 [p=0.0019]; 0.058 for LightGBM, within the random baseline [p=0.068]) and twelve directional flip taxa for each model—genera whose association with AD versus cognitive normality reverses sign across cohorts, including</w:t>
      </w:r>
      <w:r>
        <w:t xml:space="preserve"> </w:t>
      </w:r>
      <w:r>
        <w:rPr>
          <w:i/>
          <w:iCs/>
        </w:rPr>
        <w:t xml:space="preserve">Akkermansia</w:t>
      </w:r>
      <w:r>
        <w:t xml:space="preserve"> </w:t>
      </w:r>
      <w:r>
        <w:t xml:space="preserve">and</w:t>
      </w:r>
      <w:r>
        <w:t xml:space="preserve"> </w:t>
      </w:r>
      <w:r>
        <w:rPr>
          <w:i/>
          <w:iCs/>
        </w:rPr>
        <w:t xml:space="preserve">Lactobacillus</w:t>
      </w:r>
      <w:r>
        <w:t xml:space="preserve">. These results demonstrate that gut microbiome-based AD classifiers trained in one population do not transfer reliably to other populations, that the cohort effect is structurally much larger than the disease effect, and that linear batch correction methods are insufficient to bridge this gap.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analysis of why batch correction methods fail to bridge the gap—questions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reduced mean cross-cohort AUC rather than improving transferability;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1"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was observed at ≥1 count in ≥2 samples from at least one cohort; this threshold was applied per cohort before cross-cohort union. The union of retained genera across all five cohorts produced a unified feature set of 396 genera. Genera absent in a given sample received a count of zero.</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Logistic Regression with Elastic Net regularization</w:t>
      </w:r>
      <w:r>
        <w:t xml:space="preserve"> </w:t>
      </w:r>
      <w:r>
        <w:t xml:space="preserve">(scikit-learn v1.5; Pedregosa et al., 2011; LogisticRegression, solver=</w:t>
      </w:r>
      <w:r>
        <w:t xml:space="preserve">“saga”</w:t>
      </w:r>
      <w:r>
        <w:t xml:space="preserve">, L1-ratio=0.5). Regularization strength C was tuned over {0.01, 0.1, 1.0, 10.0} in inner cross-validation.</w:t>
      </w:r>
    </w:p>
    <w:p>
      <w:pPr>
        <w:pStyle w:val="BodyText"/>
      </w:pPr>
      <w:r>
        <w:rPr>
          <w:b/>
          <w:bCs/>
        </w:rPr>
        <w:t xml:space="preserve">LightGBM gradient-boosted trees</w:t>
      </w:r>
      <w:r>
        <w:t xml:space="preserve"> </w:t>
      </w:r>
      <w:r>
        <w:t xml:space="preserve">(lightgbm v4; Ke et al., 2017). Hyperparameters tuned: number of estimators ∈ {100, 200, 500}, learning rate ∈ {0.05, 0.1, 0.2}, max depth ∈ {3, 5, -1}.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5"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End w:id="15"/>
    <w:bookmarkStart w:id="16"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6"/>
    <w:bookmarkStart w:id="17"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and disease status as the biological covariate of interest:</w:t>
      </w:r>
    </w:p>
    <w:p>
      <w:pPr>
        <w:pStyle w:val="BodyText"/>
      </w:pPr>
      <w:r>
        <w:rPr>
          <w:b/>
          <w:bCs/>
        </w:rPr>
        <w:t xml:space="preserve">ComBat-seq</w:t>
      </w:r>
      <w:r>
        <w:t xml:space="preserve"> </w:t>
      </w:r>
      <w:r>
        <w:t xml:space="preserve">(Zhang et al., 2020): A negative binomial regression-based batch correction method adapted from the original ComBat algorithm for use with RNA-seq count data. We provided raw genus-level count matrices (genera × samples, four labeled cohorts only) and specified group = disease_status to preserve the biological variable. Corrected count tables were CLR-transformed using the same multiplicative zero-replacement procedure described in Section 2.3.</w:t>
      </w:r>
    </w:p>
    <w:p>
      <w:pPr>
        <w:pStyle w:val="BodyText"/>
      </w:pPr>
      <w:r>
        <w:rPr>
          <w:b/>
          <w:bCs/>
        </w:rPr>
        <w:t xml:space="preserve">MMUPHin</w:t>
      </w:r>
      <w:r>
        <w:t xml:space="preserve"> </w:t>
      </w:r>
      <w:r>
        <w:t xml:space="preserve">v1.15 (Ma et al., 2022): A meta-analysis framework for microbiome data that fits linear mixed-effects models to remove batch effects from relative abundance profiles while adjusting for covariates. Relative abundance profiles from the four labeled cohorts were provided, with batch = cohort and covariates = diagnosis.</w:t>
      </w:r>
    </w:p>
    <w:p>
      <w:pPr>
        <w:pStyle w:val="BodyText"/>
      </w:pPr>
      <w:r>
        <w:t xml:space="preserve">After correction, the LOCO generalization experiment (Section 2.5) was repeated on the batch-corrected CLR matrices. We also re-computed within-cohort AUC on corrected data to assess whether correction degraded within-cohort biological signal. Importantly, both correction methods were fitted jointly on all four labeled cohorts, including the held-out test cohort and its diagnosis labels—a transductive design in which test-set information is used during correction. This means the corrected LOCO results do not represent a valid prospective external-validation scenario: providing test-cohort labels may improve or worsen performance relative to a strictly prospective design in unpredictable ways. The corrected LOCO values should be interpreted as the performance achievable under a transductive batch correction scenario, not as an estimate of prospective deployability.</w:t>
      </w:r>
    </w:p>
    <w:bookmarkEnd w:id="17"/>
    <w:bookmarkStart w:id="18" w:name="shap-feature-importance-analysis"/>
    <w:p>
      <w:pPr>
        <w:pStyle w:val="Heading3"/>
      </w:pPr>
      <w:r>
        <w:t xml:space="preserve">2.8 SHAP Feature Importance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and the mean signed SHAP value per genus across all samples indicated direction of association (positive = AD-associated; negative = CN-associated).</w:t>
      </w:r>
    </w:p>
    <w:p>
      <w:pPr>
        <w:pStyle w:val="BodyText"/>
      </w:pPr>
      <w:r>
        <w:t xml:space="preserve">For LOCO analyses, SHAP values were computed on the held-out test cohort from each LOCO-trained model, with the three-cohort training pool as the SHAP background.</w:t>
      </w:r>
    </w:p>
    <w:p>
      <w:pPr>
        <w:pStyle w:val="BodyText"/>
      </w:pPr>
      <w:r>
        <w:t xml:space="preserve">Pairwise taxonomic overlap between cohorts was quantified using Jaccard similarity on the top-N SHAP genera (N ∈ {10, 20, 50}); N=20 is the primary threshold, chosen as a balance between capturing the most informative features and avoiding the long tail of near-zero-importance genera. A null distribution for Jaccard similarity was estimated by randomly sampling 20 genera (without replacement) from the full 396-genus set for each cohort pair and computing Jaccard similarity; this was repeated 10,000 times per model. The analytical expectation for two random top-20 sets from 396 genera is E[J] = 20/(2×396−20) ≈ 0.026. The empirical p-value was computed as the proportion of permutations with Jaccard ≥ observed mean. A genus was classified as a</w:t>
      </w:r>
      <w:r>
        <w:t xml:space="preserve"> </w:t>
      </w:r>
      <w:r>
        <w:t xml:space="preserve">“directional flip”</w:t>
      </w:r>
      <w:r>
        <w:t xml:space="preserve"> </w:t>
      </w:r>
      <w:r>
        <w:t xml:space="preserve">if it appeared in the top-20 SHAP features of at least two cohorts and had opposite sign (positive mean signed SHAP across all samples in one cohort; negative in another), constituting an empirical cross-population directional contradiction. SHAP directions should be interpreted as model-derived feature contributions under the fitted model, not as direct estimates of biological association or its statistical significance; directions may be influenced by regularization, collinearity among CLR features, and nonlinear interactions (for LightGBM).</w:t>
      </w:r>
    </w:p>
    <w:bookmarkEnd w:id="18"/>
    <w:bookmarkStart w:id="19"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19"/>
    <w:bookmarkStart w:id="20" w:name="statistical-analysis-environment"/>
    <w:p>
      <w:pPr>
        <w:pStyle w:val="Heading3"/>
      </w:pPr>
      <w:r>
        <w:t xml:space="preserve">2.10 Statistical Analysis Environment</w:t>
      </w:r>
    </w:p>
    <w:p>
      <w:pPr>
        <w:pStyle w:val="FirstParagraph"/>
      </w:pPr>
      <w:r>
        <w:t xml:space="preserve">All Python analyses used scikit-learn v1.5, lightgbm v4, shap v0.51, pandas v2.x, and numpy v1.x in a conda environment (Python 3.11). R analyses used DADA2 v1.28, vegan v2.6, sva v3.50 (ComBat-seq), and MMUPHin v1.15 in R v4.3. Figures were generated with matplotlib v3.8 at 300 DPI.</w:t>
      </w:r>
    </w:p>
    <w:p>
      <w:r>
        <w:pict>
          <v:rect style="width:0;height:1.5pt" o:hralign="center" o:hrstd="t" o:hr="t"/>
        </w:pict>
      </w:r>
    </w:p>
    <w:bookmarkEnd w:id="20"/>
    <w:bookmarkEnd w:id="21"/>
    <w:bookmarkStart w:id="28" w:name="results"/>
    <w:p>
      <w:pPr>
        <w:pStyle w:val="Heading2"/>
      </w:pPr>
      <w:r>
        <w:t xml:space="preserve">3. Results</w:t>
      </w:r>
    </w:p>
    <w:bookmarkStart w:id="22"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2"/>
    <w:bookmarkStart w:id="23"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3"/>
    <w:bookmarkStart w:id="24"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suggesting a performance drop unlikely to be explained by sampling variability alone.</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4"/>
    <w:bookmarkStart w:id="25"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disparity is consistent with the interpretation that batch correction methods struggle to recover cross-cohort generalization, as discussed in Section 3.5.</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5"/>
    <w:bookmarkStart w:id="26"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(Figure 5; Table 4). Both methods were applied in a transductive design in which the held-out test cohort and its labels were included during correction parameter estimation. Both methods failed to recover cross-cohort generalization, and ComBat-seq substantially worsened it.</w:t>
      </w:r>
    </w:p>
    <w:p>
      <w:pPr>
        <w:pStyle w:val="BodyText"/>
      </w:pPr>
      <w:r>
        <w:rPr>
          <w:b/>
          <w:bCs/>
        </w:rPr>
        <w:t xml:space="preserve">Table 4.</w:t>
      </w:r>
      <w:r>
        <w:t xml:space="preserve"> </w:t>
      </w:r>
      <w:r>
        <w:t xml:space="preserve">Mean LOCO AUC across four cohorts, by correction method and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0.210</w:t>
            </w:r>
          </w:p>
        </w:tc>
      </w:tr>
    </w:tbl>
    <w:p>
      <w:pPr>
        <w:pStyle w:val="BodyText"/>
      </w:pPr>
      <w:r>
        <w:t xml:space="preserve">ComBat-seq reduced mean logistic regression LOCO AUC from 0.640 to 0.493 and degraded all four individual cohort LOCO AUCs, with the Kazakhstan cohort collapsing to AUC=0.308 [0.20–0.42]. LightGBM was somewhat more robust: ComBat-seq reduced LGBM mean LOCO from 0.647 to 0.555. MMUPHin was less destructive but still failed to improve upon uncorrected LOCO performance (LogReg mean: 0.640 → 0.612; LGBM: 0.647 → 0.582).</w:t>
      </w:r>
    </w:p>
    <w:p>
      <w:pPr>
        <w:pStyle w:val="BodyText"/>
      </w:pPr>
      <w:r>
        <w:t xml:space="preserve">Critically, within-cohort AUC on corrected data was largely preserved (within ±0.05 of uncorrected) for most cohort–method combinations, ruling out the hypothesis that batch correction was simply removing all signal indiscriminately. The exception was Kazakhstan, where both correction methods moderately improved within-cohort AUC (logistic regression: 0.766 → 0.784 with ComBat-seq, 0.766 → 0.788 with MMUPHin), while simultaneously collapsing LOCO AUC to below chance. This pattern—improved within-cohort AUC coupled with worsened cross-cohort AUC—is consistent with the correction algorithm overfitting the batch-correction transformation to Kazakhstan’s within-cohort structure, making its representation less compatible with the other cohorts, not more.</w:t>
      </w:r>
    </w:p>
    <w:p>
      <w:pPr>
        <w:pStyle w:val="BodyText"/>
      </w:pPr>
      <w:r>
        <w:t xml:space="preserve">The pattern is consistent with the interpretation that when cohort explains approximately 12 times more compositional variance than disease status (marginal R²: 0.172 vs. 0.014), linear correction methods that target cohort-associated variance will tend to also remove disease-associated variance, because those sources of variation are not cleanly separable in this composition space. This interpretation should be understood as a plausible mechanistic account, not as a formal proof that cohort and disease axes overlap; a large cohort R² could, in principle, coexist with an orthogonal disease axis. However, the empirical worsening of LOCO AUC under correction—including when correction was applied with the test cohort’s labels available—is consistent with the non-orthogonality account.</w:t>
      </w:r>
    </w:p>
    <w:bookmarkEnd w:id="26"/>
    <w:bookmarkStart w:id="27" w:name="X57054cba1dd94387ea8bd66fbe3e6acbd7f6ec1"/>
    <w:p>
      <w:pPr>
        <w:pStyle w:val="Heading3"/>
      </w:pPr>
      <w:r>
        <w:t xml:space="preserve">3.6 SHAP Analysis Reveals Cohort-Specific and Contradictory Taxonomic Signatures</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w:t>
      </w:r>
    </w:p>
    <w:p>
      <w:pPr>
        <w:pStyle w:val="BodyText"/>
      </w:pPr>
      <w:r>
        <w:rPr>
          <w:b/>
          <w:bCs/>
        </w:rPr>
        <w:t xml:space="preserve">Minimal overlap in top predictive taxa across cohorts.</w:t>
      </w:r>
      <w:r>
        <w:t xml:space="preserve"> </w:t>
      </w:r>
      <w:r>
        <w:t xml:space="preserve">Pairwise Jaccard similarity of the top-20 SHAP genera between cohort pairs averaged 0.135 for logistic regression and 0.058 for LightGBM (Figure 6C). Against a permutation null distribution (10,000 draws of two random top-20 sets from 396 genera; null mean 0.027 [95% CI: 0.000–0.081]), logistic regression overlap was significantly above chance (p=0.0019), whereas LightGBM overlap was within the null 95% CI (p=0.068). These results confirm that within-cohort logistic regression classifiers share a small but statistically detectable set of top predictive genera across cohorts, whereas LightGBM concentrates importance in sets that are essentially non-overlapping—consistent with the greater sparsity of tree model feature selection.</w:t>
      </w:r>
    </w:p>
    <w:p>
      <w:pPr>
        <w:pStyle w:val="BodyText"/>
      </w:pPr>
      <w:r>
        <w:rPr>
          <w:b/>
          <w:bCs/>
        </w:rPr>
        <w:t xml:space="preserve">Cohort-specific top predictors.</w:t>
      </w:r>
      <w:r>
        <w:t xml:space="preserve"> </w:t>
      </w:r>
      <w:r>
        <w:t xml:space="preserve">The most discriminative genus for logistic regression was</w:t>
      </w:r>
      <w:r>
        <w:t xml:space="preserve"> </w:t>
      </w:r>
      <w:r>
        <w:rPr>
          <w:i/>
          <w:iCs/>
        </w:rPr>
        <w:t xml:space="preserve">Subdoligranulum</w:t>
      </w:r>
      <w:r>
        <w:t xml:space="preserve"> </w:t>
      </w:r>
      <w:r>
        <w:t xml:space="preserve">(CN-associated) in Zhuang 2018, while</w:t>
      </w:r>
      <w:r>
        <w:t xml:space="preserve"> </w:t>
      </w:r>
      <w:r>
        <w:rPr>
          <w:i/>
          <w:iCs/>
        </w:rPr>
        <w:t xml:space="preserve">Akkermansia</w:t>
      </w:r>
      <w:r>
        <w:t xml:space="preserve"> </w:t>
      </w:r>
      <w:r>
        <w:t xml:space="preserve">was the top predictor in the remaining three cohorts—CN-associated in Ling 2020 (|SHAP|=0.270) but AD-associated in Zhu 2022 (|SHAP|=0.228) and Kazakhstan (|SHAP|=0.136)—illustrating that even the single most important taxon can reverse direction across populations.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w:t>
      </w:r>
    </w:p>
    <w:p>
      <w:pPr>
        <w:pStyle w:val="BodyText"/>
      </w:pPr>
      <w:r>
        <w:rPr>
          <w:b/>
          <w:bCs/>
        </w:rPr>
        <w:t xml:space="preserve">Directional flip taxa.</w:t>
      </w:r>
      <w:r>
        <w:t xml:space="preserve"> </w:t>
      </w:r>
      <w:r>
        <w:t xml:space="preserve">Among taxa appearing in the top-20 for two or more cohorts, twelve showed directional reversal for logistic regression and twelve for LightGBM (Figure 6B), confirming that directional inconsistency is pervasive across both model types under the OOF evaluation.</w:t>
      </w:r>
    </w:p>
    <w:p>
      <w:pPr>
        <w:pStyle w:val="BodyText"/>
      </w:pPr>
      <w:r>
        <w:rPr>
          <w:i/>
          <w:iCs/>
        </w:rPr>
        <w:t xml:space="preserve">Logistic regression flips (12 taxa):</w:t>
      </w:r>
      <w:r>
        <w:t xml:space="preserve"> </w:t>
      </w:r>
      <w:r>
        <w:t xml:space="preserve">Akkermansia (CN-associated in Zhuang/Ling; AD-associated in Zhu 2022/Kazakhstan), Bifidobacterium (AD-associated in Zhuang/Zhu 2022/Kazakhstan; CN-associated in Ling), Christensenellaceae R-7 group (CN-associated in Zhuang/Ling/Zhu 2022; AD-associated in Kazakhstan), Coprococcus (CN-associated in Zhuang/Ling/Kazakhstan; AD-associated in Zhu 2022), Eisenbergiella, Enterococcus, Lactobacillus (CN-associated in Chinese cohorts; AD-associated in Kazakhstan), NK4A214 group (CN-associated in Zhuang/Ling; AD-associated in Zhu 2022/Kazakhstan), Parasutterella (CN-associated in Zhuang/Kazakhstan; AD-associated in Ling/Zhu 2022), Romboutsia (AD-associated in Zhuang/Kazakhstan; CN-associated in Ling/Zhu 2022), Ruminococcus gnavus group, and Subdoligranulum.</w:t>
      </w:r>
    </w:p>
    <w:p>
      <w:pPr>
        <w:pStyle w:val="BodyText"/>
      </w:pPr>
      <w:r>
        <w:rPr>
          <w:i/>
          <w:iCs/>
        </w:rPr>
        <w:t xml:space="preserve">LightGBM flips (12 taxa):</w:t>
      </w:r>
      <w:r>
        <w:t xml:space="preserve"> </w:t>
      </w:r>
      <w:r>
        <w:t xml:space="preserve">Bacteroides, Akkermansia, Incertae Sedis, Faecalibacterium, Romboutsia, Oscillibacter, Lachnospira, Lactobacillus (CN-associated in Ling/Zhu 2022; AD-associated in Kazakhstan), [Eubacterium] siraeum group, Roseburia, Agathobacter, and Colidextribacter.</w:t>
      </w:r>
    </w:p>
    <w:p>
      <w:pPr>
        <w:pStyle w:val="BodyText"/>
      </w:pPr>
      <w:r>
        <w:rPr>
          <w:i/>
          <w:iCs/>
        </w:rPr>
        <w:t xml:space="preserve">Akkermansia</w:t>
      </w:r>
      <w:r>
        <w:t xml:space="preserve"> </w:t>
      </w:r>
      <w:r>
        <w:t xml:space="preserve">shows a complex pattern: for logistic regression it is CN-associated in Zhuang 2018 and Ling 2020 but AD-associated in Zhu 2022 and Kazakhstan, constituting a directional flip across cohorts. For LightGBM,</w:t>
      </w:r>
      <w:r>
        <w:t xml:space="preserve"> </w:t>
      </w:r>
      <w:r>
        <w:rPr>
          <w:i/>
          <w:iCs/>
        </w:rPr>
        <w:t xml:space="preserve">Akkermansia</w:t>
      </w:r>
      <w:r>
        <w:t xml:space="preserve"> </w:t>
      </w:r>
      <w:r>
        <w:t xml:space="preserve">is the dominant predictor in Ling 2020 (|SHAP|=0.947, CN-associated) and also appears in other cohorts with mixed directionality.</w:t>
      </w:r>
      <w:r>
        <w:t xml:space="preserve"> </w:t>
      </w:r>
      <w:r>
        <w:rPr>
          <w:i/>
          <w:iCs/>
        </w:rPr>
        <w:t xml:space="preserve">Akkermansia muciniphila</w:t>
      </w:r>
      <w:r>
        <w:t xml:space="preserve"> </w:t>
      </w:r>
      <w:r>
        <w:t xml:space="preserve">abundance is strongly influenced by host diet, particularly fiber and polyphenol intake (Plovier et al., 2017), and by geographic-population-specific dietary patterns that likely modulate its abundance independently of any AD-specific effect.</w:t>
      </w:r>
      <w:r>
        <w:t xml:space="preserve"> </w:t>
      </w:r>
      <w:r>
        <w:rPr>
          <w:i/>
          <w:iCs/>
        </w:rPr>
        <w:t xml:space="preserve">Lactobacillus</w:t>
      </w:r>
      <w:r>
        <w:t xml:space="preserve"> </w:t>
      </w:r>
      <w:r>
        <w:t xml:space="preserve">shows a consistent pattern: CN-associated in Chinese cohorts but AD-associated in Kazakhstan across both model types, plausibly reflecting the prominence of fermented dairy (kumis, kefir) in Central Asian diets. These dietary explanations are speculative in the absence of dietary co-variate data and are offered as mechanistic hypotheses rather than established conclusions.</w:t>
      </w:r>
    </w:p>
    <w:p>
      <w:pPr>
        <w:pStyle w:val="BodyText"/>
      </w:pPr>
      <w:r>
        <w:rPr>
          <w:b/>
          <w:bCs/>
        </w:rPr>
        <w:t xml:space="preserve">LOCO SHAP analysis: no single taxon transfers universally.</w:t>
      </w:r>
      <w:r>
        <w:t xml:space="preserve"> </w:t>
      </w:r>
      <w:r>
        <w:t xml:space="preserve">When SHAP values were computed for LOCO-trained classifiers applied to held-out cohorts, the top predictor was</w:t>
      </w:r>
      <w:r>
        <w:t xml:space="preserve"> </w:t>
      </w:r>
      <w:r>
        <w:rPr>
          <w:i/>
          <w:iCs/>
        </w:rPr>
        <w:t xml:space="preserve">Akkermansia</w:t>
      </w:r>
      <w:r>
        <w:t xml:space="preserve"> </w:t>
      </w:r>
      <w:r>
        <w:t xml:space="preserve">(CN-associated) for two of four held-out cohorts—Zhuang 2018 (|SHAP|=0.470) and Zhu 2022 (|SHAP|=0.372)—but</w:t>
      </w:r>
      <w:r>
        <w:t xml:space="preserve"> </w:t>
      </w:r>
      <w:r>
        <w:rPr>
          <w:i/>
          <w:iCs/>
        </w:rPr>
        <w:t xml:space="preserve">Subdoligranulum</w:t>
      </w:r>
      <w:r>
        <w:t xml:space="preserve"> </w:t>
      </w:r>
      <w:r>
        <w:t xml:space="preserve">(AD-associated, |SHAP|=0.269) for held-out Ling 2020 and</w:t>
      </w:r>
      <w:r>
        <w:t xml:space="preserve"> </w:t>
      </w:r>
      <w:r>
        <w:rPr>
          <w:i/>
          <w:iCs/>
        </w:rPr>
        <w:t xml:space="preserve">Christensenellaceae R-7 group</w:t>
      </w:r>
      <w:r>
        <w:t xml:space="preserve"> </w:t>
      </w:r>
      <w:r>
        <w:t xml:space="preserve">(AD-associated, |SHAP|=0.368) for held-out Kazakhstan. No genus ranked first across all four held-out conditions, and the recurrence of Akkermansia in two conditions does not indicate a stable transferable signal: it is the top predictor for two cohorts while playing a directionally inconsistent role in the underlying within-cohort analyses (Section 3.6),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7"/>
    <w:bookmarkEnd w:id="28"/>
    <w:bookmarkStart w:id="35" w:name="discussion"/>
    <w:p>
      <w:pPr>
        <w:pStyle w:val="Heading2"/>
      </w:pPr>
      <w:r>
        <w:t xml:space="preserve">4. Discussion</w:t>
      </w:r>
    </w:p>
    <w:bookmarkStart w:id="29"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29"/>
    <w:bookmarkStart w:id="30" w:name="Xbb382972170d5fbdcbb699206593e880e629aa6"/>
    <w:p>
      <w:pPr>
        <w:pStyle w:val="Heading3"/>
      </w:pPr>
      <w:r>
        <w:t xml:space="preserve">4.2 Why Batch Correction Failed: The 12:1 Disparity</w:t>
      </w:r>
    </w:p>
    <w:p>
      <w:pPr>
        <w:pStyle w:val="FirstParagraph"/>
      </w:pPr>
      <w:r>
        <w:t xml:space="preserve">The batch correction failure is consistent with the PERMANOVA result. Cohort identity explains 19.3% of Aitchison variance (R²=0.193 across all five cohorts; marginal R²=0.172 within the four-cohort two-variable model); disease status explains a marginal 1.4% (R²=0.014) in the same model. This approximately 12-fold disparity, combined with near-perfect cohort predictability from CLR features (macro-AUC=0.9917), indicates that compositional space is overwhelmingly organized by cohort-of-origin. A linear batch correction method that targets the cohort dimension of variance will tend to also remove disease variance if the two sources are not orthogonal—an assumption that the empirical worsening of LOCO AUC under correction suggests is violated here.</w:t>
      </w:r>
    </w:p>
    <w:p>
      <w:pPr>
        <w:pStyle w:val="BodyText"/>
      </w:pPr>
      <w:r>
        <w:t xml:space="preserve">ComBat-seq’s aggressive worsening of LOCO AUC (mean LogReg: 0.640 → 0.493) is consistent with this interpretation. ComBat-seq models each feature’s batch effect separately using a negative binomial regression framework well-suited to RNA-seq data but potentially poorly calibrated for the extreme sparsity (75.4% zero entries) and compositional structure of 16S microbiome data. The within-cohort AUC preservation (and even improvement for Kazakhstan) after ComBat-seq correction shows that the correction did not remove all biological signal—it reshaped the compositional space in a way that made within-cohort structure more accessible to linear classifiers while making cross-cohort alignment worse.</w:t>
      </w:r>
    </w:p>
    <w:p>
      <w:pPr>
        <w:pStyle w:val="BodyText"/>
      </w:pPr>
      <w:r>
        <w:t xml:space="preserve">MMUPHin’s milder but still negative effect is similarly interpretable: linear mixed-effects models on relative abundances may not sufficiently align the full multivariate compositional space when the batch effect is substantially larger than the biological effect.</w:t>
      </w:r>
    </w:p>
    <w:p>
      <w:pPr>
        <w:pStyle w:val="BodyText"/>
      </w:pPr>
      <w:r>
        <w:t xml:space="preserve">These results have direct implications for the microbiome harmonization literature. When the batch effect dominates by a factor of ~12, the two correction methods evaluated here could not reliably separate the two sources of variance. The field may need fundamentally different approaches, such as multi-cohort training with cohort as a stratification variable, domain adaptation methods, or meta-analytic frameworks that explicitly model between-cohort heterogeneity rather than attempting to remove it.</w:t>
      </w:r>
    </w:p>
    <w:bookmarkEnd w:id="30"/>
    <w:bookmarkStart w:id="31"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1"/>
    <w:bookmarkStart w:id="32" w:name="Xec78dc0979ddf81ea3344fe2c45d491d9c0a9c4"/>
    <w:p>
      <w:pPr>
        <w:pStyle w:val="Heading3"/>
      </w:pPr>
      <w:r>
        <w:t xml:space="preserve">4.4 Directional Flip Taxa: Empirical Confirmation of Cross-Population Contradictions</w:t>
      </w:r>
    </w:p>
    <w:p>
      <w:pPr>
        <w:pStyle w:val="FirstParagraph"/>
      </w:pPr>
      <w:r>
        <w:t xml:space="preserve">The directional flip taxa identified under OOF SHAP—twelve for logistic regression and twelve for LightGBM—confirm empirically what the meta-analytic literature has suggested qualitatively. The prevalence of directional flips across both model types is a stronger finding than previously appreciated: the original in-sample SHAP analysis had identified ten flips for logistic regression and three for LightGBM, but the OOF analysis reveals that directional inconsistency is comparably severe across both model families.</w:t>
      </w:r>
    </w:p>
    <w:p>
      <w:pPr>
        <w:pStyle w:val="BodyText"/>
      </w:pPr>
      <w:r>
        <w:rPr>
          <w:i/>
          <w:iCs/>
        </w:rPr>
        <w:t xml:space="preserve">Akkermansia</w:t>
      </w:r>
      <w:r>
        <w:t xml:space="preserve"> </w:t>
      </w:r>
      <w:r>
        <w:t xml:space="preserve">shows a complex cross-cohort pattern. For logistic regression, it is CN-associated in Zhuang 2018 and Ling 2020 but AD-associated in Zhu 2022 and Kazakhstan. For LightGBM, it is the dominant predictor in Ling 2020 (CN-associated) but shows mixed directionality across other cohorts.</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These dietary explanations are speculative in the absence of co-variate dietary data.</w:t>
      </w:r>
    </w:p>
    <w:p>
      <w:pPr>
        <w:pStyle w:val="BodyText"/>
      </w:pPr>
      <w:r>
        <w:rPr>
          <w:i/>
          <w:iCs/>
        </w:rPr>
        <w:t xml:space="preserve">Lactobacillus</w:t>
      </w:r>
      <w:r>
        <w:t xml:space="preserve"> </w:t>
      </w:r>
      <w:r>
        <w:t xml:space="preserve">shows a more consistent directional pattern: CN-associated in Chinese cohorts but AD-associated in Kazakhstan across both model types.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 This speculative dietary hypothesis, if correct, would imply that the same relative abundance of</w:t>
      </w:r>
      <w:r>
        <w:t xml:space="preserve"> </w:t>
      </w:r>
      <w:r>
        <w:rPr>
          <w:i/>
          <w:iCs/>
        </w:rPr>
        <w:t xml:space="preserve">Lactobacillus</w:t>
      </w:r>
      <w:r>
        <w:t xml:space="preserve"> </w:t>
      </w:r>
      <w:r>
        <w:t xml:space="preserve">carries different disease-predictive information in Chinese versus Kazakh populations—a biological generalization problem not correctable by standard batch correction.</w:t>
      </w:r>
    </w:p>
    <w:p>
      <w:pPr>
        <w:pStyle w:val="BodyText"/>
      </w:pPr>
      <w:r>
        <w:t xml:space="preserve">The critical implication of directional flips is that they may reflect biological population heterogeneity, technical study effects, or interactions between the two; the present design cannot disentangle these sources. Standard batch correction methods, designed to remove technical batch effects, would not be expected to resolve directional disagreements to the extent that these differences are driven by population-level biological differences rather than technical artifacts alone.</w:t>
      </w:r>
    </w:p>
    <w:bookmarkEnd w:id="32"/>
    <w:bookmarkStart w:id="33"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3"/>
    <w:bookmarkStart w:id="34"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Batch correction leakage in LOCO evaluation:</w:t>
      </w:r>
      <w:r>
        <w:t xml:space="preserve"> </w:t>
      </w:r>
      <w:r>
        <w:t xml:space="preserve">As noted in Section 2.7, the batch correction analysis is transductive: test-cohort data and labels were included during correction parameter estimation. These corrected LOCO results reflect a transductive design and should not be extrapolated to prospective deployment.</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interpretability limitations:</w:t>
      </w:r>
      <w:r>
        <w:t xml:space="preserve"> </w:t>
      </w:r>
      <w:r>
        <w:t xml:space="preserve">SHAP directions reflect model-derived feature contributions, not direct estimates of biological association. For logistic regression, directions are conditional on regularization and collinearity among CLR features; for LightGBM, SHAP direction may reflect nonlinear interactions. The directional flip classifications and dietary hypotheses should be treated as empirical patterns worthy of targeted follow-up, not as established mechanistic findings.</w:t>
      </w:r>
    </w:p>
    <w:p>
      <w:r>
        <w:pict>
          <v:rect style="width:0;height:1.5pt" o:hralign="center" o:hrstd="t" o:hr="t"/>
        </w:pict>
      </w:r>
    </w:p>
    <w:bookmarkEnd w:id="34"/>
    <w:bookmarkEnd w:id="35"/>
    <w:bookmarkStart w:id="36"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Standard batch correction methods (ComBat-seq and MMUPHin) reduced mean LOCO performance and did not recover cross-cohort transferability. PERMANOVA revealed that cohort identity explained approximately 12 times more compositional variance than disease status (marginal R²: 0.172 vs. 0.014), and a cohort identity classifier achieved macro-AUC=0.9917, confirming that cohort structure dominates the feature space. Sensitivity analyses confirmed that generalization failure persists across all three prespecified cohort-exclusion configurations. Out-of-fold SHAP analysis identified near-zero taxon overlap between cohort-specific predictive signatures (mean Jaccard 0.135 for logistic regression, above the random baseline; 0.058 for LightGBM, within the random baseline) and twelve directional flip taxa for each model type—genera whose AD or CN association reverses across populations. These findings demonstrate that the gut microbiome-based AD classifier literature has a fundamental generalization problem that was not recovered by the two post-hoc batch-correction methods evaluated here. Multi-cohort harmonized prospective studies and mandatory cross-cohort validation are needed before microbiome-based AD biomarkers can achieve clinical utility.</w:t>
      </w:r>
    </w:p>
    <w:p>
      <w:r>
        <w:pict>
          <v:rect style="width:0;height:1.5pt" o:hralign="center" o:hrstd="t" o:hr="t"/>
        </w:pict>
      </w:r>
    </w:p>
    <w:bookmarkEnd w:id="36"/>
    <w:bookmarkStart w:id="37"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8"/>
    <w:bookmarkStart w:id="39"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0"/>
    <w:bookmarkStart w:id="41"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2026-09-02T04:17:55Z</dcterms:created>
  <dcterms:modified xsi:type="dcterms:W3CDTF">2026-09-02T04:17:55Z</dcterms:modified>
</cp:coreProperties>
</file>

<file path=docProps/custom.xml><?xml version="1.0" encoding="utf-8"?>
<Properties xmlns="http://schemas.openxmlformats.org/officeDocument/2006/custom-properties" xmlns:vt="http://schemas.openxmlformats.org/officeDocument/2006/docPropsVTypes"/>
</file>