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pplementary-materials"/>
    <w:p>
      <w:pPr>
        <w:pStyle w:val="Heading1"/>
      </w:pPr>
      <w:r>
        <w:t xml:space="preserve">Supplementary Materials</w:t>
      </w:r>
    </w:p>
    <w:p>
      <w:pPr>
        <w:pStyle w:val="FirstParagraph"/>
      </w:pPr>
      <w:r>
        <w:rPr>
          <w:b/>
          <w:bCs/>
        </w:rPr>
        <w:t xml:space="preserve">Title:</w:t>
      </w:r>
      <w:r>
        <w:t xml:space="preserve"> </w:t>
      </w:r>
      <w:r>
        <w:t xml:space="preserve">Cross-Cohort Generalization Failure in Gut Microbiome-Based Alzheimer’s Disease Classifiers: Evidence from Five Independent Cohorts with Batch Correction Analysis</w:t>
      </w:r>
    </w:p>
    <w:p>
      <w:r>
        <w:pict>
          <v:rect style="width:0;height:1.5pt" o:hralign="center" o:hrstd="t" o:hr="t"/>
        </w:pict>
      </w:r>
    </w:p>
    <w:bookmarkStart w:id="12"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0.583 [0.50–0.67]</w:t>
            </w:r>
          </w:p>
        </w:tc>
        <w:tc>
          <w:tcPr/>
          <w:p>
            <w:pPr>
              <w:pStyle w:val="Compact"/>
            </w:pPr>
            <w:r>
              <w:t xml:space="preserve">0.696 [0.54–0.82]</w:t>
            </w:r>
          </w:p>
        </w:tc>
        <w:tc>
          <w:tcPr/>
          <w:p>
            <w:pPr>
              <w:pStyle w:val="Compact"/>
            </w:pPr>
            <w:r>
              <w:t xml:space="preserve">0.566 [0.44–0.69]</w:t>
            </w:r>
          </w:p>
        </w:tc>
      </w:tr>
      <w:tr>
        <w:tc>
          <w:tcPr/>
          <w:p>
            <w:pPr>
              <w:pStyle w:val="Compact"/>
            </w:pPr>
            <w:r>
              <w:t xml:space="preserve">Ling 2020</w:t>
            </w:r>
          </w:p>
        </w:tc>
        <w:tc>
          <w:tcPr/>
          <w:p>
            <w:pPr>
              <w:pStyle w:val="Compact"/>
            </w:pPr>
            <w:r>
              <w:t xml:space="preserve">0.538 [0.41–0.66]</w:t>
            </w:r>
          </w:p>
        </w:tc>
        <w:tc>
          <w:tcPr/>
          <w:p>
            <w:pPr>
              <w:pStyle w:val="Compact"/>
            </w:pPr>
            <w:r>
              <w:t xml:space="preserve">—</w:t>
            </w:r>
          </w:p>
        </w:tc>
        <w:tc>
          <w:tcPr/>
          <w:p>
            <w:pPr>
              <w:pStyle w:val="Compact"/>
            </w:pPr>
            <w:r>
              <w:t xml:space="preserve">0.879 [0.77–0.96]</w:t>
            </w:r>
          </w:p>
        </w:tc>
        <w:tc>
          <w:tcPr/>
          <w:p>
            <w:pPr>
              <w:pStyle w:val="Compact"/>
            </w:pPr>
            <w:r>
              <w:t xml:space="preserve">0.593 [0.47–0.72]</w:t>
            </w:r>
          </w:p>
        </w:tc>
      </w:tr>
      <w:tr>
        <w:tc>
          <w:tcPr/>
          <w:p>
            <w:pPr>
              <w:pStyle w:val="Compact"/>
            </w:pPr>
            <w:r>
              <w:t xml:space="preserve">Zhu 2022</w:t>
            </w:r>
          </w:p>
        </w:tc>
        <w:tc>
          <w:tcPr/>
          <w:p>
            <w:pPr>
              <w:pStyle w:val="Compact"/>
            </w:pPr>
            <w:r>
              <w:t xml:space="preserve">0.579 [0.46–0.70]</w:t>
            </w:r>
          </w:p>
        </w:tc>
        <w:tc>
          <w:tcPr/>
          <w:p>
            <w:pPr>
              <w:pStyle w:val="Compact"/>
            </w:pPr>
            <w:r>
              <w:t xml:space="preserve">0.760 [0.68–0.83]</w:t>
            </w:r>
          </w:p>
        </w:tc>
        <w:tc>
          <w:tcPr/>
          <w:p>
            <w:pPr>
              <w:pStyle w:val="Compact"/>
            </w:pPr>
            <w:r>
              <w:t xml:space="preserve">—</w:t>
            </w:r>
          </w:p>
        </w:tc>
        <w:tc>
          <w:tcPr/>
          <w:p>
            <w:pPr>
              <w:pStyle w:val="Compact"/>
            </w:pPr>
            <w:r>
              <w:t xml:space="preserve">0.547 [0.43–0.67]</w:t>
            </w:r>
          </w:p>
        </w:tc>
      </w:tr>
      <w:tr>
        <w:tc>
          <w:tcPr/>
          <w:p>
            <w:pPr>
              <w:pStyle w:val="Compact"/>
            </w:pPr>
            <w:r>
              <w:t xml:space="preserve">Kazakhstan</w:t>
            </w:r>
          </w:p>
        </w:tc>
        <w:tc>
          <w:tcPr/>
          <w:p>
            <w:pPr>
              <w:pStyle w:val="Compact"/>
            </w:pPr>
            <w:r>
              <w:t xml:space="preserve">0.539 [0.42–0.67]</w:t>
            </w:r>
          </w:p>
        </w:tc>
        <w:tc>
          <w:tcPr/>
          <w:p>
            <w:pPr>
              <w:pStyle w:val="Compact"/>
            </w:pPr>
            <w:r>
              <w:t xml:space="preserve">0.739 [0.66–0.81]</w:t>
            </w:r>
          </w:p>
        </w:tc>
        <w:tc>
          <w:tcPr/>
          <w:p>
            <w:pPr>
              <w:pStyle w:val="Compact"/>
            </w:pPr>
            <w:r>
              <w:t xml:space="preserve">0.652 [0.50–0.78]</w:t>
            </w:r>
          </w:p>
        </w:tc>
        <w:tc>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0.598 [0.51–0.68]</w:t>
            </w:r>
          </w:p>
        </w:tc>
        <w:tc>
          <w:tcPr/>
          <w:p>
            <w:pPr>
              <w:pStyle w:val="Compact"/>
            </w:pPr>
            <w:r>
              <w:t xml:space="preserve">0.604 [0.46–0.74]</w:t>
            </w:r>
          </w:p>
        </w:tc>
        <w:tc>
          <w:tcPr/>
          <w:p>
            <w:pPr>
              <w:pStyle w:val="Compact"/>
            </w:pPr>
            <w:r>
              <w:t xml:space="preserve">0.493 [0.37–0.61]</w:t>
            </w:r>
          </w:p>
        </w:tc>
      </w:tr>
      <w:tr>
        <w:tc>
          <w:tcPr/>
          <w:p>
            <w:pPr>
              <w:pStyle w:val="Compact"/>
            </w:pPr>
            <w:r>
              <w:t xml:space="preserve">Ling 2020</w:t>
            </w:r>
          </w:p>
        </w:tc>
        <w:tc>
          <w:tcPr/>
          <w:p>
            <w:pPr>
              <w:pStyle w:val="Compact"/>
            </w:pPr>
            <w:r>
              <w:t xml:space="preserve">0.617 [0.49–0.74]</w:t>
            </w:r>
          </w:p>
        </w:tc>
        <w:tc>
          <w:tcPr/>
          <w:p>
            <w:pPr>
              <w:pStyle w:val="Compact"/>
            </w:pPr>
            <w:r>
              <w:t xml:space="preserve">—</w:t>
            </w:r>
          </w:p>
        </w:tc>
        <w:tc>
          <w:tcPr/>
          <w:p>
            <w:pPr>
              <w:pStyle w:val="Compact"/>
            </w:pPr>
            <w:r>
              <w:t xml:space="preserve">0.861 [0.77–0.94]</w:t>
            </w:r>
          </w:p>
        </w:tc>
        <w:tc>
          <w:tcPr/>
          <w:p>
            <w:pPr>
              <w:pStyle w:val="Compact"/>
            </w:pPr>
            <w:r>
              <w:t xml:space="preserve">0.602 [0.47–0.72]</w:t>
            </w:r>
          </w:p>
        </w:tc>
      </w:tr>
      <w:tr>
        <w:tc>
          <w:tcPr/>
          <w:p>
            <w:pPr>
              <w:pStyle w:val="Compact"/>
            </w:pPr>
            <w:r>
              <w:t xml:space="preserve">Zhu 2022</w:t>
            </w:r>
          </w:p>
        </w:tc>
        <w:tc>
          <w:tcPr/>
          <w:p>
            <w:pPr>
              <w:pStyle w:val="Compact"/>
            </w:pPr>
            <w:r>
              <w:t xml:space="preserve">0.528 [0.41–0.65]</w:t>
            </w:r>
          </w:p>
        </w:tc>
        <w:tc>
          <w:tcPr/>
          <w:p>
            <w:pPr>
              <w:pStyle w:val="Compact"/>
            </w:pPr>
            <w:r>
              <w:t xml:space="preserve">0.591 [0.50–0.68]</w:t>
            </w:r>
          </w:p>
        </w:tc>
        <w:tc>
          <w:tcPr/>
          <w:p>
            <w:pPr>
              <w:pStyle w:val="Compact"/>
            </w:pPr>
            <w:r>
              <w:t xml:space="preserve">—</w:t>
            </w:r>
          </w:p>
        </w:tc>
        <w:tc>
          <w:tcPr/>
          <w:p>
            <w:pPr>
              <w:pStyle w:val="Compact"/>
            </w:pPr>
            <w:r>
              <w:t xml:space="preserve">0.405 [0.28–0.53]</w:t>
            </w:r>
          </w:p>
        </w:tc>
      </w:tr>
      <w:tr>
        <w:tc>
          <w:tcPr/>
          <w:p>
            <w:pPr>
              <w:pStyle w:val="Compact"/>
            </w:pPr>
            <w:r>
              <w:t xml:space="preserve">Kazakhstan</w:t>
            </w:r>
          </w:p>
        </w:tc>
        <w:tc>
          <w:tcPr/>
          <w:p>
            <w:pPr>
              <w:pStyle w:val="Compact"/>
            </w:pPr>
            <w:r>
              <w:t xml:space="preserve">0.522 [0.40–0.64]</w:t>
            </w:r>
          </w:p>
        </w:tc>
        <w:tc>
          <w:tcPr/>
          <w:p>
            <w:pPr>
              <w:pStyle w:val="Compact"/>
            </w:pPr>
            <w:r>
              <w:t xml:space="preserve">0.580 [0.49–0.67]</w:t>
            </w:r>
          </w:p>
        </w:tc>
        <w:tc>
          <w:tcPr/>
          <w:p>
            <w:pPr>
              <w:pStyle w:val="Compact"/>
            </w:pPr>
            <w:r>
              <w:t xml:space="preserve">0.603 [0.45–0.75]</w:t>
            </w:r>
          </w:p>
        </w:tc>
        <w:tc>
          <w:tcPr/>
          <w:p>
            <w:pPr>
              <w:pStyle w:val="Compact"/>
            </w:pPr>
            <w:r>
              <w:t xml:space="preserve">—</w:t>
            </w:r>
          </w:p>
        </w:tc>
      </w:tr>
    </w:tbl>
    <w:p>
      <w:pPr>
        <w:pStyle w:val="BodyText"/>
      </w:pPr>
      <w:r>
        <w:t xml:space="preserve">Notable observations: The highest pairwise logistic regression AUC is Ling 2020 → Zhu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Country</w:t>
            </w:r>
          </w:p>
        </w:tc>
        <w:tc>
          <w:tcPr/>
          <w:p>
            <w:pPr>
              <w:pStyle w:val="Compact"/>
            </w:pPr>
            <w:r>
              <w:t xml:space="preserve">Mode</w:t>
            </w:r>
          </w:p>
        </w:tc>
        <w:tc>
          <w:tcPr/>
          <w:p>
            <w:pPr>
              <w:pStyle w:val="Compact"/>
            </w:pPr>
            <w:r>
              <w:t xml:space="preserve">N Samples</w:t>
            </w:r>
          </w:p>
        </w:tc>
        <w:tc>
          <w:tcPr/>
          <w:p>
            <w:pPr>
              <w:pStyle w:val="Compact"/>
            </w:pPr>
            <w:r>
              <w:t xml:space="preserve">Reads Input</w:t>
            </w:r>
          </w:p>
        </w:tc>
        <w:tc>
          <w:tcPr/>
          <w:p>
            <w:pPr>
              <w:pStyle w:val="Compact"/>
            </w:pPr>
            <w:r>
              <w:t xml:space="preserve">Reads Non-chimeric</w:t>
            </w:r>
          </w:p>
        </w:tc>
        <w:tc>
          <w:tcPr/>
          <w:p>
            <w:pPr>
              <w:pStyle w:val="Compact"/>
            </w:pPr>
            <w:r>
              <w:t xml:space="preserve">% Retention</w:t>
            </w:r>
          </w:p>
        </w:tc>
        <w:tc>
          <w:tcPr/>
          <w:p>
            <w:pPr>
              <w:pStyle w:val="Compact"/>
            </w:pPr>
            <w:r>
              <w:t xml:space="preserve">16S Region</w:t>
            </w:r>
          </w:p>
        </w:tc>
        <w:tc>
          <w:tcPr/>
          <w:p>
            <w:pPr>
              <w:pStyle w:val="Compact"/>
            </w:pPr>
            <w:r>
              <w:t xml:space="preserve">Platform</w:t>
            </w:r>
          </w:p>
        </w:tc>
      </w:tr>
      <w:tr>
        <w:tc>
          <w:tcPr/>
          <w:p>
            <w:pPr>
              <w:pStyle w:val="Compact"/>
            </w:pPr>
            <w:r>
              <w:t xml:space="preserve">Zhuang 2018</w:t>
            </w:r>
          </w:p>
        </w:tc>
        <w:tc>
          <w:tcPr/>
          <w:p>
            <w:pPr>
              <w:pStyle w:val="Compact"/>
            </w:pPr>
            <w:r>
              <w:t xml:space="preserve">China</w:t>
            </w:r>
          </w:p>
        </w:tc>
        <w:tc>
          <w:tcPr/>
          <w:p>
            <w:pPr>
              <w:pStyle w:val="Compact"/>
            </w:pPr>
            <w:r>
              <w:t xml:space="preserve">Paired-end</w:t>
            </w:r>
          </w:p>
        </w:tc>
        <w:tc>
          <w:tcPr/>
          <w:p>
            <w:pPr>
              <w:pStyle w:val="Compact"/>
            </w:pPr>
            <w:r>
              <w:t xml:space="preserve">86</w:t>
            </w:r>
          </w:p>
        </w:tc>
        <w:tc>
          <w:tcPr/>
          <w:p>
            <w:pPr>
              <w:pStyle w:val="Compact"/>
            </w:pPr>
            <w:r>
              <w:t xml:space="preserve">3,260,213</w:t>
            </w:r>
          </w:p>
        </w:tc>
        <w:tc>
          <w:tcPr/>
          <w:p>
            <w:pPr>
              <w:pStyle w:val="Compact"/>
            </w:pPr>
            <w:r>
              <w:t xml:space="preserve">2,551,870</w:t>
            </w:r>
          </w:p>
        </w:tc>
        <w:tc>
          <w:tcPr/>
          <w:p>
            <w:pPr>
              <w:pStyle w:val="Compact"/>
            </w:pPr>
            <w:r>
              <w:t xml:space="preserve">78.3%</w:t>
            </w:r>
          </w:p>
        </w:tc>
        <w:tc>
          <w:tcPr/>
          <w:p>
            <w:pPr>
              <w:pStyle w:val="Compact"/>
            </w:pPr>
            <w:r>
              <w:t xml:space="preserve">V3–V4</w:t>
            </w:r>
          </w:p>
        </w:tc>
        <w:tc>
          <w:tcPr/>
          <w:p>
            <w:pPr>
              <w:pStyle w:val="Compact"/>
            </w:pPr>
            <w:r>
              <w:t xml:space="preserve">MiSeq 2×300</w:t>
            </w:r>
          </w:p>
        </w:tc>
      </w:tr>
      <w:tr>
        <w:tc>
          <w:tcPr/>
          <w:p>
            <w:pPr>
              <w:pStyle w:val="Compact"/>
            </w:pPr>
            <w:r>
              <w:t xml:space="preserve">Ling 2020</w:t>
            </w:r>
          </w:p>
        </w:tc>
        <w:tc>
          <w:tcPr/>
          <w:p>
            <w:pPr>
              <w:pStyle w:val="Compact"/>
            </w:pPr>
            <w:r>
              <w:t xml:space="preserve">China</w:t>
            </w:r>
          </w:p>
        </w:tc>
        <w:tc>
          <w:tcPr/>
          <w:p>
            <w:pPr>
              <w:pStyle w:val="Compact"/>
            </w:pPr>
            <w:r>
              <w:t xml:space="preserve">Paired-end</w:t>
            </w:r>
          </w:p>
        </w:tc>
        <w:tc>
          <w:tcPr/>
          <w:p>
            <w:pPr>
              <w:pStyle w:val="Compact"/>
            </w:pPr>
            <w:r>
              <w:t xml:space="preserve">171</w:t>
            </w:r>
          </w:p>
        </w:tc>
        <w:tc>
          <w:tcPr/>
          <w:p>
            <w:pPr>
              <w:pStyle w:val="Compact"/>
            </w:pPr>
            <w:r>
              <w:t xml:space="preserve">8,556,209</w:t>
            </w:r>
          </w:p>
        </w:tc>
        <w:tc>
          <w:tcPr/>
          <w:p>
            <w:pPr>
              <w:pStyle w:val="Compact"/>
            </w:pPr>
            <w:r>
              <w:t xml:space="preserve">4,100,210</w:t>
            </w:r>
          </w:p>
        </w:tc>
        <w:tc>
          <w:tcPr/>
          <w:p>
            <w:pPr>
              <w:pStyle w:val="Compact"/>
            </w:pPr>
            <w:r>
              <w:t xml:space="preserve">47.9%</w:t>
            </w:r>
          </w:p>
        </w:tc>
        <w:tc>
          <w:tcPr/>
          <w:p>
            <w:pPr>
              <w:pStyle w:val="Compact"/>
            </w:pPr>
            <w:r>
              <w:t xml:space="preserve">V3–V4</w:t>
            </w:r>
          </w:p>
        </w:tc>
        <w:tc>
          <w:tcPr/>
          <w:p>
            <w:pPr>
              <w:pStyle w:val="Compact"/>
            </w:pPr>
            <w:r>
              <w:t xml:space="preserve">MiSeq 2×300</w:t>
            </w:r>
          </w:p>
        </w:tc>
      </w:tr>
      <w:tr>
        <w:tc>
          <w:tcPr/>
          <w:p>
            <w:pPr>
              <w:pStyle w:val="Compact"/>
            </w:pPr>
            <w:r>
              <w:t xml:space="preserve">Zhu 2022</w:t>
            </w:r>
          </w:p>
        </w:tc>
        <w:tc>
          <w:tcPr/>
          <w:p>
            <w:pPr>
              <w:pStyle w:val="Compact"/>
            </w:pPr>
            <w:r>
              <w:t xml:space="preserve">China</w:t>
            </w:r>
          </w:p>
        </w:tc>
        <w:tc>
          <w:tcPr/>
          <w:p>
            <w:pPr>
              <w:pStyle w:val="Compact"/>
            </w:pPr>
            <w:r>
              <w:t xml:space="preserve">Paired-end</w:t>
            </w:r>
          </w:p>
        </w:tc>
        <w:tc>
          <w:tcPr/>
          <w:p>
            <w:pPr>
              <w:pStyle w:val="Compact"/>
            </w:pPr>
            <w:r>
              <w:t xml:space="preserve">180</w:t>
            </w:r>
          </w:p>
        </w:tc>
        <w:tc>
          <w:tcPr/>
          <w:p>
            <w:pPr>
              <w:pStyle w:val="Compact"/>
            </w:pPr>
            <w:r>
              <w:t xml:space="preserve">7,275,079</w:t>
            </w:r>
          </w:p>
        </w:tc>
        <w:tc>
          <w:tcPr/>
          <w:p>
            <w:pPr>
              <w:pStyle w:val="Compact"/>
            </w:pPr>
            <w:r>
              <w:t xml:space="preserve">5,485,811</w:t>
            </w:r>
          </w:p>
        </w:tc>
        <w:tc>
          <w:tcPr/>
          <w:p>
            <w:pPr>
              <w:pStyle w:val="Compact"/>
            </w:pPr>
            <w:r>
              <w:t xml:space="preserve">75.4%</w:t>
            </w:r>
          </w:p>
        </w:tc>
        <w:tc>
          <w:tcPr/>
          <w:p>
            <w:pPr>
              <w:pStyle w:val="Compact"/>
            </w:pPr>
            <w:r>
              <w:t xml:space="preserve">V3–V4</w:t>
            </w:r>
          </w:p>
        </w:tc>
        <w:tc>
          <w:tcPr/>
          <w:p>
            <w:pPr>
              <w:pStyle w:val="Compact"/>
            </w:pPr>
            <w:r>
              <w:t xml:space="preserve">MiSeq 2×300</w:t>
            </w:r>
          </w:p>
        </w:tc>
      </w:tr>
      <w:tr>
        <w:tc>
          <w:tcPr/>
          <w:p>
            <w:pPr>
              <w:pStyle w:val="Compact"/>
            </w:pPr>
            <w:r>
              <w:t xml:space="preserve">Kim 2022</w:t>
            </w:r>
          </w:p>
        </w:tc>
        <w:tc>
          <w:tcPr/>
          <w:p>
            <w:pPr>
              <w:pStyle w:val="Compact"/>
            </w:pPr>
            <w:r>
              <w:t xml:space="preserve">South Korea</w:t>
            </w:r>
          </w:p>
        </w:tc>
        <w:tc>
          <w:tcPr/>
          <w:p>
            <w:pPr>
              <w:pStyle w:val="Compact"/>
            </w:pPr>
            <w:r>
              <w:t xml:space="preserve">Paired-end</w:t>
            </w:r>
          </w:p>
        </w:tc>
        <w:tc>
          <w:tcPr/>
          <w:p>
            <w:pPr>
              <w:pStyle w:val="Compact"/>
            </w:pPr>
            <w:r>
              <w:t xml:space="preserve">78</w:t>
            </w:r>
          </w:p>
        </w:tc>
        <w:tc>
          <w:tcPr/>
          <w:p>
            <w:pPr>
              <w:pStyle w:val="Compact"/>
            </w:pPr>
            <w:r>
              <w:t xml:space="preserve">13,514,374</w:t>
            </w:r>
          </w:p>
        </w:tc>
        <w:tc>
          <w:tcPr/>
          <w:p>
            <w:pPr>
              <w:pStyle w:val="Compact"/>
            </w:pPr>
            <w:r>
              <w:t xml:space="preserve">6,117,631</w:t>
            </w:r>
          </w:p>
        </w:tc>
        <w:tc>
          <w:tcPr/>
          <w:p>
            <w:pPr>
              <w:pStyle w:val="Compact"/>
            </w:pPr>
            <w:r>
              <w:t xml:space="preserve">45.3%</w:t>
            </w:r>
          </w:p>
        </w:tc>
        <w:tc>
          <w:tcPr/>
          <w:p>
            <w:pPr>
              <w:pStyle w:val="Compact"/>
            </w:pPr>
            <w:r>
              <w:t xml:space="preserve">V3–V4</w:t>
            </w:r>
          </w:p>
        </w:tc>
        <w:tc>
          <w:tcPr/>
          <w:p>
            <w:pPr>
              <w:pStyle w:val="Compact"/>
            </w:pPr>
            <w:r>
              <w:t xml:space="preserve">MiSeq 2×300</w:t>
            </w:r>
          </w:p>
        </w:tc>
      </w:tr>
      <w:tr>
        <w:tc>
          <w:tcPr/>
          <w:p>
            <w:pPr>
              <w:pStyle w:val="Compact"/>
            </w:pPr>
            <w:r>
              <w:t xml:space="preserve">Kaiyrlykyzy 2022</w:t>
            </w:r>
          </w:p>
        </w:tc>
        <w:tc>
          <w:tcPr/>
          <w:p>
            <w:pPr>
              <w:pStyle w:val="Compact"/>
            </w:pPr>
            <w:r>
              <w:t xml:space="preserve">Kazakhstan</w:t>
            </w:r>
          </w:p>
        </w:tc>
        <w:tc>
          <w:tcPr/>
          <w:p>
            <w:pPr>
              <w:pStyle w:val="Compact"/>
            </w:pPr>
            <w:r>
              <w:t xml:space="preserve">Single-end</w:t>
            </w:r>
          </w:p>
        </w:tc>
        <w:tc>
          <w:tcPr/>
          <w:p>
            <w:pPr>
              <w:pStyle w:val="Compact"/>
            </w:pPr>
            <w:r>
              <w:t xml:space="preserve">84</w:t>
            </w:r>
          </w:p>
        </w:tc>
        <w:tc>
          <w:tcPr/>
          <w:p>
            <w:pPr>
              <w:pStyle w:val="Compact"/>
            </w:pPr>
            <w:r>
              <w:t xml:space="preserve">9,467,007</w:t>
            </w:r>
          </w:p>
        </w:tc>
        <w:tc>
          <w:tcPr/>
          <w:p>
            <w:pPr>
              <w:pStyle w:val="Compact"/>
            </w:pPr>
            <w:r>
              <w:t xml:space="preserve">6,531,362</w:t>
            </w:r>
          </w:p>
        </w:tc>
        <w:tc>
          <w:tcPr/>
          <w:p>
            <w:pPr>
              <w:pStyle w:val="Compact"/>
            </w:pPr>
            <w:r>
              <w:t xml:space="preserve">69.0%</w:t>
            </w:r>
          </w:p>
        </w:tc>
        <w:tc>
          <w:tcPr/>
          <w:p>
            <w:pPr>
              <w:pStyle w:val="Compact"/>
            </w:pPr>
            <w:r>
              <w:t xml:space="preserve">V3–V4</w:t>
            </w:r>
          </w:p>
        </w:tc>
        <w:tc>
          <w:tcPr/>
          <w:p>
            <w:pPr>
              <w:pStyle w:val="Compact"/>
            </w:pPr>
            <w:r>
              <w:t xml:space="preserve">NovaSeq</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599</w:t>
            </w:r>
          </w:p>
        </w:tc>
        <w:tc>
          <w:tcPr/>
          <w:p>
            <w:pPr>
              <w:pStyle w:val="Compact"/>
            </w:pPr>
            <w:r>
              <w:rPr>
                <w:b/>
                <w:bCs/>
              </w:rPr>
              <w:t xml:space="preserve">42,072,882</w:t>
            </w:r>
          </w:p>
        </w:tc>
        <w:tc>
          <w:tcPr/>
          <w:p>
            <w:pPr>
              <w:pStyle w:val="Compact"/>
            </w:pPr>
            <w:r>
              <w:rPr>
                <w:b/>
                <w:bCs/>
              </w:rPr>
              <w:t xml:space="preserve">24,786,884</w:t>
            </w:r>
          </w:p>
        </w:tc>
        <w:tc>
          <w:tcPr/>
          <w:p>
            <w:pPr>
              <w:pStyle w:val="Compact"/>
            </w:pPr>
            <w:r>
              <w:rPr>
                <w:b/>
                <w:bCs/>
              </w:rPr>
              <w:t xml:space="preserve">58.9%</w:t>
            </w:r>
          </w:p>
        </w:tc>
        <w:tc>
          <w:tcPr/>
          <w:p>
            <w:pPr>
              <w:pStyle w:val="Compact"/>
            </w:pPr>
          </w:p>
        </w:tc>
        <w:tc>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Zhu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 With 9,999 permutations, the minimum attainable permutation p-value is 1/(9,999+1) = 0.0001; p-values reported below as 0.0001 indicate no permuted statistic met or exceeded the observed value (i.e., the true p-value is at or below this resolution limit, not literally less than it).</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67,760.8</w:t>
            </w:r>
          </w:p>
        </w:tc>
        <w:tc>
          <w:tcPr/>
          <w:p>
            <w:pPr>
              <w:pStyle w:val="Compact"/>
            </w:pPr>
            <w:r>
              <w:t xml:space="preserve">0.193</w:t>
            </w:r>
          </w:p>
        </w:tc>
        <w:tc>
          <w:tcPr/>
          <w:p>
            <w:pPr>
              <w:pStyle w:val="Compact"/>
            </w:pPr>
            <w:r>
              <w:t xml:space="preserve">30.13</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283,347.1</w:t>
            </w:r>
          </w:p>
        </w:tc>
        <w:tc>
          <w:tcPr/>
          <w:p>
            <w:pPr>
              <w:pStyle w:val="Compact"/>
            </w:pPr>
            <w:r>
              <w:t xml:space="preserve">0.807</w:t>
            </w:r>
          </w:p>
        </w:tc>
        <w:tc>
          <w:tcPr/>
          <w:p>
            <w:pPr>
              <w:pStyle w:val="Compact"/>
            </w:pPr>
            <w:r>
              <w:t xml:space="preserve">—</w:t>
            </w:r>
          </w:p>
        </w:tc>
        <w:tc>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20.80</w:t>
            </w:r>
          </w:p>
        </w:tc>
        <w:tc>
          <w:tcPr/>
          <w:p>
            <w:pPr>
              <w:pStyle w:val="Compact"/>
            </w:pPr>
            <w:r>
              <w:t xml:space="preserve">0.136</w:t>
            </w:r>
          </w:p>
        </w:tc>
        <w:tc>
          <w:tcPr/>
          <w:p>
            <w:pPr>
              <w:pStyle w:val="Compact"/>
            </w:pPr>
            <w:r>
              <w:t xml:space="preserve">19.80</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132.36</w:t>
            </w:r>
          </w:p>
        </w:tc>
        <w:tc>
          <w:tcPr/>
          <w:p>
            <w:pPr>
              <w:pStyle w:val="Compact"/>
            </w:pPr>
            <w:r>
              <w:t xml:space="preserve">0.864</w:t>
            </w:r>
          </w:p>
        </w:tc>
        <w:tc>
          <w:tcPr/>
          <w:p>
            <w:pPr>
              <w:pStyle w:val="Compact"/>
            </w:pPr>
            <w:r>
              <w:t xml:space="preserve">—</w:t>
            </w:r>
          </w:p>
        </w:tc>
        <w:tc>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3</w:t>
            </w:r>
          </w:p>
        </w:tc>
        <w:tc>
          <w:tcPr/>
          <w:p>
            <w:pPr>
              <w:pStyle w:val="Compact"/>
            </w:pPr>
            <w:r>
              <w:t xml:space="preserve">45,476.8</w:t>
            </w:r>
          </w:p>
        </w:tc>
        <w:tc>
          <w:tcPr/>
          <w:p>
            <w:pPr>
              <w:pStyle w:val="Compact"/>
            </w:pPr>
            <w:r>
              <w:t xml:space="preserve">0.172</w:t>
            </w:r>
          </w:p>
        </w:tc>
        <w:tc>
          <w:tcPr/>
          <w:p>
            <w:pPr>
              <w:pStyle w:val="Compact"/>
            </w:pPr>
            <w:r>
              <w:t xml:space="preserve">28.03</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3,689.7</w:t>
            </w:r>
          </w:p>
        </w:tc>
        <w:tc>
          <w:tcPr/>
          <w:p>
            <w:pPr>
              <w:pStyle w:val="Compact"/>
            </w:pPr>
            <w:r>
              <w:t xml:space="preserve">0.014</w:t>
            </w:r>
          </w:p>
        </w:tc>
        <w:tc>
          <w:tcPr/>
          <w:p>
            <w:pPr>
              <w:pStyle w:val="Compact"/>
            </w:pPr>
            <w:r>
              <w:t xml:space="preserve">6.82</w:t>
            </w:r>
          </w:p>
        </w:tc>
        <w:tc>
          <w:tcPr/>
          <w:p>
            <w:pPr>
              <w:pStyle w:val="Compact"/>
            </w:pPr>
            <w:r>
              <w:t xml:space="preserve">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Term</w:t>
            </w:r>
          </w:p>
        </w:tc>
        <w:tc>
          <w:tcPr/>
          <w:p>
            <w:pPr>
              <w:pStyle w:val="Compact"/>
            </w:pPr>
            <w:r>
              <w:t xml:space="preserve">Df</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Zhuang 2018</w:t>
            </w:r>
          </w:p>
        </w:tc>
        <w:tc>
          <w:tcPr/>
          <w:p>
            <w:pPr>
              <w:pStyle w:val="Compact"/>
            </w:pPr>
            <w:r>
              <w:t xml:space="preserve">Diagnosis</w:t>
            </w:r>
          </w:p>
        </w:tc>
        <w:tc>
          <w:tcPr/>
          <w:p>
            <w:pPr>
              <w:pStyle w:val="Compact"/>
            </w:pPr>
            <w:r>
              <w:t xml:space="preserve">1</w:t>
            </w:r>
          </w:p>
        </w:tc>
        <w:tc>
          <w:tcPr/>
          <w:p>
            <w:pPr>
              <w:pStyle w:val="Compact"/>
            </w:pPr>
            <w:r>
              <w:t xml:space="preserve">0.017</w:t>
            </w:r>
          </w:p>
        </w:tc>
        <w:tc>
          <w:tcPr/>
          <w:p>
            <w:pPr>
              <w:pStyle w:val="Compact"/>
            </w:pPr>
            <w:r>
              <w:t xml:space="preserve">1.47</w:t>
            </w:r>
          </w:p>
        </w:tc>
        <w:tc>
          <w:tcPr/>
          <w:p>
            <w:pPr>
              <w:pStyle w:val="Compact"/>
            </w:pPr>
            <w:r>
              <w:t xml:space="preserve">0.066</w:t>
            </w:r>
          </w:p>
        </w:tc>
      </w:tr>
      <w:tr>
        <w:tc>
          <w:tcPr/>
          <w:p>
            <w:pPr>
              <w:pStyle w:val="Compact"/>
            </w:pPr>
            <w:r>
              <w:t xml:space="preserve">Ling 2020</w:t>
            </w:r>
          </w:p>
        </w:tc>
        <w:tc>
          <w:tcPr/>
          <w:p>
            <w:pPr>
              <w:pStyle w:val="Compact"/>
            </w:pPr>
            <w:r>
              <w:t xml:space="preserve">Diagnosis</w:t>
            </w:r>
          </w:p>
        </w:tc>
        <w:tc>
          <w:tcPr/>
          <w:p>
            <w:pPr>
              <w:pStyle w:val="Compact"/>
            </w:pPr>
            <w:r>
              <w:t xml:space="preserve">1</w:t>
            </w:r>
          </w:p>
        </w:tc>
        <w:tc>
          <w:tcPr/>
          <w:p>
            <w:pPr>
              <w:pStyle w:val="Compact"/>
            </w:pPr>
            <w:r>
              <w:t xml:space="preserve">0.053</w:t>
            </w:r>
          </w:p>
        </w:tc>
        <w:tc>
          <w:tcPr/>
          <w:p>
            <w:pPr>
              <w:pStyle w:val="Compact"/>
            </w:pPr>
            <w:r>
              <w:t xml:space="preserve">9.53</w:t>
            </w:r>
          </w:p>
        </w:tc>
        <w:tc>
          <w:tcPr/>
          <w:p>
            <w:pPr>
              <w:pStyle w:val="Compact"/>
            </w:pPr>
            <w:r>
              <w:t xml:space="preserve">0.0001</w:t>
            </w:r>
          </w:p>
        </w:tc>
      </w:tr>
      <w:tr>
        <w:tc>
          <w:tcPr/>
          <w:p>
            <w:pPr>
              <w:pStyle w:val="Compact"/>
            </w:pPr>
            <w:r>
              <w:t xml:space="preserve">Zhu 2022</w:t>
            </w:r>
          </w:p>
        </w:tc>
        <w:tc>
          <w:tcPr/>
          <w:p>
            <w:pPr>
              <w:pStyle w:val="Compact"/>
            </w:pPr>
            <w:r>
              <w:t xml:space="preserve">Diagnosis</w:t>
            </w:r>
          </w:p>
        </w:tc>
        <w:tc>
          <w:tcPr/>
          <w:p>
            <w:pPr>
              <w:pStyle w:val="Compact"/>
            </w:pPr>
            <w:r>
              <w:t xml:space="preserve">1</w:t>
            </w:r>
          </w:p>
        </w:tc>
        <w:tc>
          <w:tcPr/>
          <w:p>
            <w:pPr>
              <w:pStyle w:val="Compact"/>
            </w:pPr>
            <w:r>
              <w:t xml:space="preserve">0.094</w:t>
            </w:r>
          </w:p>
        </w:tc>
        <w:tc>
          <w:tcPr/>
          <w:p>
            <w:pPr>
              <w:pStyle w:val="Compact"/>
            </w:pPr>
            <w:r>
              <w:t xml:space="preserve">6.01</w:t>
            </w:r>
          </w:p>
        </w:tc>
        <w:tc>
          <w:tcPr/>
          <w:p>
            <w:pPr>
              <w:pStyle w:val="Compact"/>
            </w:pPr>
            <w:r>
              <w:t xml:space="preserve">0.0001</w:t>
            </w:r>
          </w:p>
        </w:tc>
      </w:tr>
      <w:tr>
        <w:tc>
          <w:tcPr/>
          <w:p>
            <w:pPr>
              <w:pStyle w:val="Compact"/>
            </w:pPr>
            <w:r>
              <w:t xml:space="preserve">Kazakhstan</w:t>
            </w:r>
          </w:p>
        </w:tc>
        <w:tc>
          <w:tcPr/>
          <w:p>
            <w:pPr>
              <w:pStyle w:val="Compact"/>
            </w:pPr>
            <w:r>
              <w:t xml:space="preserve">Diagnosis</w:t>
            </w:r>
          </w:p>
        </w:tc>
        <w:tc>
          <w:tcPr/>
          <w:p>
            <w:pPr>
              <w:pStyle w:val="Compact"/>
            </w:pPr>
            <w:r>
              <w:t xml:space="preserve">1</w:t>
            </w:r>
          </w:p>
        </w:tc>
        <w:tc>
          <w:tcPr/>
          <w:p>
            <w:pPr>
              <w:pStyle w:val="Compact"/>
            </w:pPr>
            <w:r>
              <w:t xml:space="preserve">0.022</w:t>
            </w:r>
          </w:p>
        </w:tc>
        <w:tc>
          <w:tcPr/>
          <w:p>
            <w:pPr>
              <w:pStyle w:val="Compact"/>
            </w:pPr>
            <w:r>
              <w:t xml:space="preserve">1.83</w:t>
            </w:r>
          </w:p>
        </w:tc>
        <w:tc>
          <w:tcPr/>
          <w:p>
            <w:pPr>
              <w:pStyle w:val="Compact"/>
            </w:pPr>
            <w:r>
              <w:t xml:space="preserve">0.069</w:t>
            </w:r>
          </w:p>
        </w:tc>
      </w:tr>
    </w:tbl>
    <w:p>
      <w:pPr>
        <w:pStyle w:val="BodyText"/>
      </w:pPr>
      <w:r>
        <w:t xml:space="preserve">Zhu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F-statistic</w:t>
            </w:r>
          </w:p>
        </w:tc>
        <w:tc>
          <w:tcPr/>
          <w:p>
            <w:pPr>
              <w:pStyle w:val="Compact"/>
            </w:pPr>
            <w:r>
              <w:t xml:space="preserve">13.93</w:t>
            </w:r>
          </w:p>
        </w:tc>
      </w:tr>
      <w:tr>
        <w:tc>
          <w:tcPr/>
          <w:p>
            <w:pPr>
              <w:pStyle w:val="Compact"/>
            </w:pPr>
            <w:r>
              <w:t xml:space="preserve">Numerator df</w:t>
            </w:r>
          </w:p>
        </w:tc>
        <w:tc>
          <w:tcPr/>
          <w:p>
            <w:pPr>
              <w:pStyle w:val="Compact"/>
            </w:pPr>
            <w:r>
              <w:t xml:space="preserve">4</w:t>
            </w:r>
          </w:p>
        </w:tc>
      </w:tr>
      <w:tr>
        <w:tc>
          <w:tcPr/>
          <w:p>
            <w:pPr>
              <w:pStyle w:val="Compact"/>
            </w:pPr>
            <w:r>
              <w:t xml:space="preserve">Denominator df</w:t>
            </w:r>
          </w:p>
        </w:tc>
        <w:tc>
          <w:tcPr/>
          <w:p>
            <w:pPr>
              <w:pStyle w:val="Compact"/>
            </w:pPr>
            <w:r>
              <w:t xml:space="preserve">504</w:t>
            </w:r>
          </w:p>
        </w:tc>
      </w:tr>
      <w:tr>
        <w:tc>
          <w:tcPr/>
          <w:p>
            <w:pPr>
              <w:pStyle w:val="Compact"/>
            </w:pPr>
            <w:r>
              <w:t xml:space="preserve">p-value (permutation, 9,999 perms)</w:t>
            </w:r>
          </w:p>
        </w:tc>
        <w:tc>
          <w:tcPr/>
          <w:p>
            <w:pPr>
              <w:pStyle w:val="Compact"/>
            </w:pPr>
            <w:r>
              <w:t xml:space="preserve">0.0001</w:t>
            </w:r>
          </w:p>
        </w:tc>
      </w:tr>
      <w:tr>
        <w:tc>
          <w:tcPr/>
          <w:p>
            <w:pPr>
              <w:pStyle w:val="Compact"/>
            </w:pPr>
            <w:r>
              <w:t xml:space="preserve">Interpretation</w:t>
            </w:r>
          </w:p>
        </w:tc>
        <w:tc>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End w:id="12"/>
    <w:bookmarkStart w:id="18" w:name="supplementary-figures"/>
    <w:p>
      <w:pPr>
        <w:pStyle w:val="Heading2"/>
      </w:pPr>
      <w:r>
        <w:t xml:space="preserve">Supplementary Figures</w:t>
      </w:r>
    </w:p>
    <w:bookmarkStart w:id="13" w:name="Xa8f402e2b6d4b37ecfbe0e3fe1af4eed207c1c5"/>
    <w:p>
      <w:pPr>
        <w:pStyle w:val="Heading3"/>
      </w:pPr>
      <w:r>
        <w:t xml:space="preserve">Figure S1. Zhu 2022: Fecal-Only Within-Cohort AUC</w:t>
      </w:r>
    </w:p>
    <w:p>
      <w:pPr>
        <w:pStyle w:val="FirstParagraph"/>
      </w:pPr>
      <w:r>
        <w:rPr>
          <w:b/>
          <w:bCs/>
        </w:rPr>
        <w:t xml:space="preserve">Caption:</w:t>
      </w:r>
      <w:r>
        <w:t xml:space="preserve"> </w:t>
      </w:r>
      <w:r>
        <w:t xml:space="preserve">Within-cohort AUC-ROC for Zhu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[0.95–1.00]. The near-perfect within-cohort AUC should be interpreted cautiously given the small sample size (30 per class); see Section 3.2 and Section 4.3 for discussion. Error bars = 95% bootstrap CI (1,000 resamples).</w:t>
      </w:r>
    </w:p>
    <w:p>
      <w:pPr>
        <w:pStyle w:val="BodyText"/>
      </w:pPr>
      <w:r>
        <w:rPr>
          <w:i/>
          <w:iCs/>
        </w:rPr>
        <w:t xml:space="preserve">Source data:</w:t>
      </w:r>
      <w:r>
        <w:t xml:space="preserve"> </w:t>
      </w:r>
      <w:r>
        <w:t xml:space="preserve">results/model_outputs/within_cohort_cv/shanghai2022_*.csv</w:t>
      </w:r>
    </w:p>
    <w:p>
      <w:r>
        <w:pict>
          <v:rect style="width:0;height:1.5pt" o:hralign="center" o:hrstd="t" o:hr="t"/>
        </w:pict>
      </w:r>
    </w:p>
    <w:bookmarkEnd w:id="13"/>
    <w:bookmarkStart w:id="14" w:name="X5a300ab727c16619eb908e32fef63071f9d261b"/>
    <w:p>
      <w:pPr>
        <w:pStyle w:val="Heading3"/>
      </w:pPr>
      <w:r>
        <w:t xml:space="preserve">Figure S2. Top-15 SHAP Taxa Per Cohort (LightGBM, Out-of-Fold)</w:t>
      </w:r>
    </w:p>
    <w:p>
      <w:pPr>
        <w:pStyle w:val="FirstParagraph"/>
      </w:pPr>
      <w:r>
        <w:rPr>
          <w:b/>
          <w:bCs/>
        </w:rPr>
        <w:t xml:space="preserve">Caption:</w:t>
      </w:r>
      <w:r>
        <w:t xml:space="preserve"> </w:t>
      </w:r>
      <w:r>
        <w:t xml:space="preserve">Horizontal bar charts showing mean |SHAP| value (CLR units) for the top-15 genera by importance in each of the four labeled cohorts under out-of-fold LightGBM evaluation. Red bars = AD-associated (positive mean signed SHAP); blue bars = CN-associated (negative mean signed SHAP). Top taxon per cohort: Lachnoclostridium (Zhuang 2018, CN-associated, |SHAP|=0.560), Akkermansia (Ling 2020, CN-associated, |SHAP|=0.947), Bacteroides (Zhu 2022, AD-associated, |SHAP|=1.243), Castellaniella (Kazakhstan, CN-associated, |SHAP|=0.614). Mean pairwise Jaccard similarity at top-20: 0.058, within the null 95% CI of a random-draw baseline (Section 2.8). LightGBM directional flips (top-20, 12 taxa): Agathobacter, Akkermansia, Bacteroides, Colidextribacter, Faecalibacterium, Incertae Sedis, Lachnospira, Lactobacillus, Oscillibacter, Romboutsia, Roseburia, [Eubacterium] siraeum group.</w:t>
      </w:r>
    </w:p>
    <w:p>
      <w:pPr>
        <w:pStyle w:val="BodyText"/>
      </w:pPr>
      <w:r>
        <w:rPr>
          <w:i/>
          <w:iCs/>
        </w:rPr>
        <w:t xml:space="preserve">Source figure:</w:t>
      </w:r>
      <w:r>
        <w:t xml:space="preserve"> </w:t>
      </w:r>
      <w:r>
        <w:rPr>
          <w:rStyle w:val="VerbatimChar"/>
        </w:rPr>
        <w:t xml:space="preserve">results/figures/supp_fig_s2.jpg</w:t>
      </w:r>
      <w:r>
        <w:t xml:space="preserve"> </w:t>
      </w:r>
      <w:r>
        <w:t xml:space="preserve">(built from</w:t>
      </w:r>
      <w:r>
        <w:t xml:space="preserve"> </w:t>
      </w:r>
      <w:r>
        <w:rPr>
          <w:rStyle w:val="VerbatimChar"/>
        </w:rPr>
        <w:t xml:space="preserve">results/figures/working/shap_top15_per_cohort_lgbm.png</w:t>
      </w:r>
      <w:r>
        <w:t xml:space="preserve">)</w:t>
      </w:r>
    </w:p>
    <w:p>
      <w:r>
        <w:pict>
          <v:rect style="width:0;height:1.5pt" o:hralign="center" o:hrstd="t" o:hr="t"/>
        </w:pict>
      </w:r>
    </w:p>
    <w:bookmarkEnd w:id="14"/>
    <w:bookmarkStart w:id="15" w:name="X5ae1b787fe659662284fc144d2c358c0628c584"/>
    <w:p>
      <w:pPr>
        <w:pStyle w:val="Heading3"/>
      </w:pPr>
      <w:r>
        <w:t xml:space="preserve">Figure S3a. LOCO SHAP Direction — Logistic Regression</w:t>
      </w:r>
    </w:p>
    <w:p>
      <w:pPr>
        <w:pStyle w:val="FirstParagraph"/>
      </w:pPr>
      <w:r>
        <w:rPr>
          <w:b/>
          <w:bCs/>
        </w:rPr>
        <w:t xml:space="preserve">Caption:</w:t>
      </w:r>
      <w:r>
        <w:t xml:space="preserve"> </w:t>
      </w:r>
      <w:r>
        <w:t xml:space="preserve">Out-of-fold SHAP values computed for LOCO-trained logistic regression classifiers (trained on the pooled other three cohorts, with that training pool as the SHAP background distribution) and evaluated on each held-out test cohort. Points show the top genera by mean |SHAP| on the held-out test data; x-position gives the signed mean SHAP value on the held-out cohort (positive = AD-associated, negative = CN-associated).</w:t>
      </w:r>
    </w:p>
    <w:p>
      <w:pPr>
        <w:pStyle w:val="BodyText"/>
      </w:pPr>
      <w:r>
        <w:t xml:space="preserve">Top-1 LOCO SHAP taxon per held-out cohort (logistic regression): held-out Zhuang 2018 —</w:t>
      </w:r>
      <w:r>
        <w:t xml:space="preserve"> </w:t>
      </w:r>
      <w:r>
        <w:rPr>
          <w:i/>
          <w:iCs/>
        </w:rPr>
        <w:t xml:space="preserve">Akkermansia</w:t>
      </w:r>
      <w:r>
        <w:t xml:space="preserve"> </w:t>
      </w:r>
      <w:r>
        <w:t xml:space="preserve">(CN-associated, |SHAP|=0.470); held-out Ling 2020 —</w:t>
      </w:r>
      <w:r>
        <w:t xml:space="preserve"> </w:t>
      </w:r>
      <w:r>
        <w:rPr>
          <w:i/>
          <w:iCs/>
        </w:rPr>
        <w:t xml:space="preserve">Subdoligranulum</w:t>
      </w:r>
      <w:r>
        <w:t xml:space="preserve"> </w:t>
      </w:r>
      <w:r>
        <w:t xml:space="preserve">(AD-associated, |SHAP|=0.269); held-out Zhu 2022 —</w:t>
      </w:r>
      <w:r>
        <w:t xml:space="preserve"> </w:t>
      </w:r>
      <w:r>
        <w:rPr>
          <w:i/>
          <w:iCs/>
        </w:rPr>
        <w:t xml:space="preserve">Akkermansia</w:t>
      </w:r>
      <w:r>
        <w:t xml:space="preserve"> </w:t>
      </w:r>
      <w:r>
        <w:t xml:space="preserve">(CN-associated, |SHAP|=0.372); held-out Kazakhstan —</w:t>
      </w:r>
      <w:r>
        <w:t xml:space="preserve"> </w:t>
      </w:r>
      <w:r>
        <w:rPr>
          <w:i/>
          <w:iCs/>
        </w:rPr>
        <w:t xml:space="preserve">Christensenellaceae</w:t>
      </w:r>
      <w:r>
        <w:t xml:space="preserve"> </w:t>
      </w:r>
      <w:r>
        <w:t xml:space="preserve">R-7 group (AD-associated, |SHAP|=0.368).</w:t>
      </w:r>
      <w:r>
        <w:t xml:space="preserve"> </w:t>
      </w:r>
      <w:r>
        <w:rPr>
          <w:i/>
          <w:iCs/>
        </w:rPr>
        <w:t xml:space="preserve">Akkermansia</w:t>
      </w:r>
      <w:r>
        <w:t xml:space="preserve"> </w:t>
      </w:r>
      <w:r>
        <w:t xml:space="preserve">is the top LOCO predictor for two of the four held-out cohorts (Zhuang 2018, Zhu 2022), both CN-associated in the LOCO setting; no genus is top-ranked in all four conditions. This recurrence does not indicate a stable transferable signal —</w:t>
      </w:r>
      <w:r>
        <w:t xml:space="preserve"> </w:t>
      </w:r>
      <w:r>
        <w:rPr>
          <w:i/>
          <w:iCs/>
        </w:rPr>
        <w:t xml:space="preserve">Akkermansia</w:t>
      </w:r>
      <w:r>
        <w:t xml:space="preserve">’s role is directionally inconsistent in the underlying within-cohort SHAP analysis (Figure 6; Section 3.6), where it is a directional-flip taxon with a 2/2 CN/AD split across the same four cohorts. The pattern is consistent with cross-cohort classifiers activating whichever genera most closely resemble their training-cohort signature rather than a disease marker that generalizes across populations.</w:t>
      </w:r>
    </w:p>
    <w:p>
      <w:pPr>
        <w:pStyle w:val="BodyText"/>
      </w:pPr>
      <w:r>
        <w:rPr>
          <w:i/>
          <w:iCs/>
        </w:rPr>
        <w:t xml:space="preserve">Source figure:</w:t>
      </w:r>
      <w:r>
        <w:t xml:space="preserve"> </w:t>
      </w:r>
      <w:r>
        <w:rPr>
          <w:rStyle w:val="VerbatimChar"/>
        </w:rPr>
        <w:t xml:space="preserve">results/figures/supp_fig_s3a.jpg</w:t>
      </w:r>
      <w:r>
        <w:t xml:space="preserve"> </w:t>
      </w:r>
      <w:r>
        <w:t xml:space="preserve">(built from</w:t>
      </w:r>
      <w:r>
        <w:t xml:space="preserve"> </w:t>
      </w:r>
      <w:r>
        <w:rPr>
          <w:rStyle w:val="VerbatimChar"/>
        </w:rPr>
        <w:t xml:space="preserve">results/figures/working/shap_loco_direction_logreg.png</w:t>
      </w:r>
      <w:r>
        <w:t xml:space="preserve">)</w:t>
      </w:r>
    </w:p>
    <w:p>
      <w:r>
        <w:pict>
          <v:rect style="width:0;height:1.5pt" o:hralign="center" o:hrstd="t" o:hr="t"/>
        </w:pict>
      </w:r>
    </w:p>
    <w:bookmarkEnd w:id="15"/>
    <w:bookmarkStart w:id="16" w:name="figure-s3b.-loco-shap-direction-lightgbm"/>
    <w:p>
      <w:pPr>
        <w:pStyle w:val="Heading3"/>
      </w:pPr>
      <w:r>
        <w:t xml:space="preserve">Figure S3b. LOCO SHAP Direction — LightGBM</w:t>
      </w:r>
    </w:p>
    <w:p>
      <w:pPr>
        <w:pStyle w:val="FirstParagraph"/>
      </w:pPr>
      <w:r>
        <w:rPr>
          <w:b/>
          <w:bCs/>
        </w:rPr>
        <w:t xml:space="preserve">Caption:</w:t>
      </w:r>
      <w:r>
        <w:t xml:space="preserve"> </w:t>
      </w:r>
      <w:r>
        <w:t xml:space="preserve">Out-of-fold SHAP values computed for LOCO-trained LightGBM classifiers, evaluated on each held-out test cohort, parallel to Figure S3a.</w:t>
      </w:r>
    </w:p>
    <w:p>
      <w:pPr>
        <w:pStyle w:val="BodyText"/>
      </w:pPr>
      <w:r>
        <w:t xml:space="preserve">Top-1 LOCO SHAP taxon per held-out cohort (LightGBM): held-out Zhuang 2018 —</w:t>
      </w:r>
      <w:r>
        <w:t xml:space="preserve"> </w:t>
      </w:r>
      <w:r>
        <w:rPr>
          <w:i/>
          <w:iCs/>
        </w:rPr>
        <w:t xml:space="preserve">Akkermansia</w:t>
      </w:r>
      <w:r>
        <w:t xml:space="preserve"> </w:t>
      </w:r>
      <w:r>
        <w:t xml:space="preserve">(CN-associated, |SHAP|=0.844); held-out Ling 2020 —</w:t>
      </w:r>
      <w:r>
        <w:t xml:space="preserve"> </w:t>
      </w:r>
      <w:r>
        <w:rPr>
          <w:i/>
          <w:iCs/>
        </w:rPr>
        <w:t xml:space="preserve">[Eubacterium] xylanophilum</w:t>
      </w:r>
      <w:r>
        <w:t xml:space="preserve"> </w:t>
      </w:r>
      <w:r>
        <w:t xml:space="preserve">group (AD-associated, |SHAP|=0.518); held-out Zhu 2022 —</w:t>
      </w:r>
      <w:r>
        <w:t xml:space="preserve"> </w:t>
      </w:r>
      <w:r>
        <w:rPr>
          <w:i/>
          <w:iCs/>
        </w:rPr>
        <w:t xml:space="preserve">Akkermansia</w:t>
      </w:r>
      <w:r>
        <w:t xml:space="preserve"> </w:t>
      </w:r>
      <w:r>
        <w:t xml:space="preserve">(CN-associated, |SHAP|=0.789); held-out Kazakhstan —</w:t>
      </w:r>
      <w:r>
        <w:t xml:space="preserve"> </w:t>
      </w:r>
      <w:r>
        <w:rPr>
          <w:i/>
          <w:iCs/>
        </w:rPr>
        <w:t xml:space="preserve">[Eubacterium] xylanophilum</w:t>
      </w:r>
      <w:r>
        <w:t xml:space="preserve"> </w:t>
      </w:r>
      <w:r>
        <w:t xml:space="preserve">group (CN-associated, |SHAP|=0.521). As with logistic regression,</w:t>
      </w:r>
      <w:r>
        <w:t xml:space="preserve"> </w:t>
      </w:r>
      <w:r>
        <w:rPr>
          <w:i/>
          <w:iCs/>
        </w:rPr>
        <w:t xml:space="preserve">Akkermansia</w:t>
      </w:r>
      <w:r>
        <w:t xml:space="preserve"> </w:t>
      </w:r>
      <w:r>
        <w:t xml:space="preserve">recurs as the top predictor for two of four held-out cohorts (both CN-associated) while</w:t>
      </w:r>
      <w:r>
        <w:t xml:space="preserve"> </w:t>
      </w:r>
      <w:r>
        <w:rPr>
          <w:i/>
          <w:iCs/>
        </w:rPr>
        <w:t xml:space="preserve">[Eubacterium] xylanophilum</w:t>
      </w:r>
      <w:r>
        <w:t xml:space="preserve"> </w:t>
      </w:r>
      <w:r>
        <w:t xml:space="preserve">group tops the other two with opposite directions between them (AD for Ling 2020, CN for Kazakhstan) — no single genus is both top-ranked and directionally consistent across all four held-out conditions for either model.</w:t>
      </w:r>
    </w:p>
    <w:p>
      <w:pPr>
        <w:pStyle w:val="BodyText"/>
      </w:pPr>
      <w:r>
        <w:rPr>
          <w:i/>
          <w:iCs/>
        </w:rPr>
        <w:t xml:space="preserve">Source figure:</w:t>
      </w:r>
      <w:r>
        <w:t xml:space="preserve"> </w:t>
      </w:r>
      <w:r>
        <w:rPr>
          <w:rStyle w:val="VerbatimChar"/>
        </w:rPr>
        <w:t xml:space="preserve">results/figures/supp_fig_s3b.jpg</w:t>
      </w:r>
      <w:r>
        <w:t xml:space="preserve"> </w:t>
      </w:r>
      <w:r>
        <w:t xml:space="preserve">(built from</w:t>
      </w:r>
      <w:r>
        <w:t xml:space="preserve"> </w:t>
      </w:r>
      <w:r>
        <w:rPr>
          <w:rStyle w:val="VerbatimChar"/>
        </w:rPr>
        <w:t xml:space="preserve">results/figures/working/shap_loco_direction_lgbm.png</w:t>
      </w:r>
      <w:r>
        <w:t xml:space="preserve">)</w:t>
      </w:r>
    </w:p>
    <w:p>
      <w:r>
        <w:pict>
          <v:rect style="width:0;height:1.5pt" o:hralign="center" o:hrstd="t" o:hr="t"/>
        </w:pict>
      </w:r>
    </w:p>
    <w:bookmarkEnd w:id="16"/>
    <w:bookmarkStart w:id="17" w:name="X303a2e65a922b1f1da95a19146ddf48e3d027d7"/>
    <w:p>
      <w:pPr>
        <w:pStyle w:val="Heading3"/>
      </w:pPr>
      <w:r>
        <w:t xml:space="preserve">Figure S4. Sensitivity Analysis: LOCO AUC Under Cohort Exclusion</w:t>
      </w:r>
    </w:p>
    <w:p>
      <w:pPr>
        <w:pStyle w:val="FirstParagraph"/>
      </w:pPr>
      <w:r>
        <w:rPr>
          <w:b/>
          <w:bCs/>
        </w:rPr>
        <w:t xml:space="preserve">Caption:</w:t>
      </w:r>
      <w:r>
        <w:t xml:space="preserve"> </w:t>
      </w:r>
      <w:r>
        <w:t xml:space="preserve">Sensitivity analysis: LOCO AUC under three cohort exclusion configurations. Each panel shows the 3-cohort LOCO experiment with one cohort excluded from the full analysis. Left: excluding Kazakhstan (Zhuang+Ling+Zhu trained, each held out in turn). Center: excluding Zhuang 2018. Right: excluding Ling 2020. Error bars = 95% bootstrap CI. Generalization degradation persisted across all three prespecified cohort-exclusion configurations.</w:t>
      </w:r>
    </w:p>
    <w:p>
      <w:pPr>
        <w:pStyle w:val="BodyText"/>
      </w:pPr>
      <w:r>
        <w:rPr>
          <w:i/>
          <w:iCs/>
        </w:rPr>
        <w:t xml:space="preserve">Source data:</w:t>
      </w:r>
      <w:r>
        <w:t xml:space="preserve"> </w:t>
      </w:r>
      <w:r>
        <w:rPr>
          <w:rStyle w:val="VerbatimChar"/>
        </w:rPr>
        <w:t xml:space="preserve">results/tables/sensitivity_loco.csv</w:t>
      </w:r>
      <w:r>
        <w:t xml:space="preserve"> </w:t>
      </w:r>
      <w:r>
        <w:rPr>
          <w:i/>
          <w:iCs/>
        </w:rPr>
        <w:t xml:space="preserve">Source figure:</w:t>
      </w:r>
      <w:r>
        <w:t xml:space="preserve"> </w:t>
      </w:r>
      <w:r>
        <w:rPr>
          <w:rStyle w:val="VerbatimChar"/>
        </w:rPr>
        <w:t xml:space="preserve">results/figures/supp_sensitivity_loco.png</w:t>
      </w:r>
    </w:p>
    <w:p>
      <w:r>
        <w:pict>
          <v:rect style="width:0;height:1.5pt" o:hralign="center" o:hrstd="t" o:hr="t"/>
        </w:pict>
      </w:r>
    </w:p>
    <w:bookmarkEnd w:id="17"/>
    <w:bookmarkEnd w:id="18"/>
    <w:bookmarkStart w:id="21" w:name="supplementary-notes"/>
    <w:p>
      <w:pPr>
        <w:pStyle w:val="Heading2"/>
      </w:pPr>
      <w:r>
        <w:t xml:space="preserve">Supplementary Notes</w:t>
      </w:r>
    </w:p>
    <w:bookmarkStart w:id="19"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kbase2022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Zhu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pPr>
        <w:pStyle w:val="BodyText"/>
      </w:pPr>
      <w:r>
        <w:rPr>
          <w:b/>
          <w:bCs/>
        </w:rPr>
        <w:t xml:space="preserve">Cohort search strategy and full inclusion/exclusion record:</w:t>
      </w:r>
      <w:r>
        <w:t xml:space="preserve"> </w:t>
      </w:r>
      <w:r>
        <w:t xml:space="preserve">The cohort identification search (Section 2.1) queried NCBI SRA and EBI-ENA for studies deposited before January 2025, using the following search string in the SRA search interface:</w:t>
      </w:r>
      <w:r>
        <w:t xml:space="preserve"> </w:t>
      </w:r>
      <w:r>
        <w:rPr>
          <w:rStyle w:val="VerbatimChar"/>
        </w:rPr>
        <w:t xml:space="preserve">("Alzheimer's disease" OR "Alzheimer disease" OR "mild cognitive impairment" OR "MCI" OR "dementia") AND ("gut microbiome" OR "gut microbiota" OR "intestinal microbiome" OR "16S rRNA") AND ("Homo sapiens")</w:t>
      </w:r>
      <w:r>
        <w:t xml:space="preserve">. For supervised analyses, inclusion required: (1) per-sample diagnosis labels (AD, MCI, or CN) accessible in public metadata; (2) raw FASTQ files or quality-filtered reads deposited in a public archive; (3) a minimum of 40 participants per cohort. Studies were excluded from supervised analyses if per-sample labels were IRB-restricted, if data had not been publicly released at the time of analysis, or if samples represented a tissue compartment other than fecal microbiome as the primary analyte; shotgun metagenomic cohorts meeting all other criteria were identified but excluded to avoid mixing amplicon and whole-genome sequencing platforms within the same analysis. Beyond the Kim/KBASE 2022 IRB restriction documented above, one further identified cohort was excluded on public-availability grounds:</w:t>
      </w:r>
      <w:r>
        <w:t xml:space="preserve"> </w:t>
      </w:r>
      <w:r>
        <w:rPr>
          <w:b/>
          <w:bCs/>
        </w:rPr>
        <w:t xml:space="preserve">ALBION 2025</w:t>
      </w:r>
      <w:r>
        <w:t xml:space="preserve"> </w:t>
      </w:r>
      <w:r>
        <w:t xml:space="preserve">(Maraki et al.,</w:t>
      </w:r>
      <w:r>
        <w:t xml:space="preserve"> </w:t>
      </w:r>
      <w:r>
        <w:rPr>
          <w:i/>
          <w:iCs/>
        </w:rPr>
        <w:t xml:space="preserve">Journal of Alzheimer’s Disease</w:t>
      </w:r>
      <w:r>
        <w:t xml:space="preserve">, 2025; PRJNA1297934), a Greek cohort of 99 participants (50 MCI, 49 CN; V3–V4) — the only European 16S cohort identified in the search — was confirmed as the correct accession from the published paper, but NCBI BioProject reported the deposit as not yet publicly released as of the search date. ALBION was therefore excluded from the active cohort set; it remains the most direct candidate for a future sixth cohort should the data be released.</w:t>
      </w:r>
    </w:p>
    <w:p>
      <w:r>
        <w:pict>
          <v:rect style="width:0;height:1.5pt" o:hralign="center" o:hrstd="t" o:hr="t"/>
        </w:pict>
      </w:r>
    </w:p>
    <w:bookmarkEnd w:id="19"/>
    <w:bookmarkStart w:id="20"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batch correction methods cannot fully address, because the fundamental difference in read length and sequencing chemistry affects all genera’ abundance estimates rather than a subset. This is a study limitation that applies to any analysis including Kazakhstan and should be acknowledged in the Methods section of any manuscript using this dataset.</w:t>
      </w:r>
    </w:p>
    <w:p>
      <w:r>
        <w:pict>
          <v:rect style="width:0;height:1.5pt" o:hralign="center" o:hrstd="t" o:hr="t"/>
        </w:pict>
      </w:r>
    </w:p>
    <w:p>
      <w:pPr>
        <w:pStyle w:val="FirstParagraph"/>
      </w:pPr>
      <w:r>
        <w:rPr>
          <w:i/>
          <w:iCs/>
        </w:rPr>
        <w:t xml:space="preserve">End of Supplementary Materials</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2026-09-02T04:18:12Z</dcterms:created>
  <dcterms:modified xsi:type="dcterms:W3CDTF">2026-09-02T04:18:12Z</dcterms:modified>
</cp:coreProperties>
</file>

<file path=docProps/custom.xml><?xml version="1.0" encoding="utf-8"?>
<Properties xmlns="http://schemas.openxmlformats.org/officeDocument/2006/custom-properties" xmlns:vt="http://schemas.openxmlformats.org/officeDocument/2006/docPropsVTypes"/>
</file>