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Microbiome AD Generalization</w:t>
      </w:r>
    </w:p>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Word count:</w:t>
      </w:r>
      <w:r>
        <w:t xml:space="preserve"> </w:t>
      </w:r>
      <w:r>
        <w:t xml:space="preserve">11,880 (main text, Introduction through Conclusion, including in-text citations; excludes abstract, headings, figure/table captions, table contents, funding, acknowledgements, and references)</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given its role as a preclinical or prodromal stage of AD, though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criteria across cohorts relied on clinical AD diagnosis (Zhuang, Ling, Zhu) or amyloid-PET positivity (Kim); these differences in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are performed independently per cohort, on that cohort’s full read set, using no diagnosis labels. This step is performed once per cohort prior to any supervised split and is not re-estimated inside every outer-CV training fold; because it is label-free and fit per-cohort rather than pooled, it cannot leak AD/CN status or cross-cohort information, but the training-only sensitivity below (Section 2.5.1) applies to genus selection and downstream supervised preprocessing/model fitting, not to this raw-read denoising step.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we ran a label-permutation test: in each of exactly 1,000 permutations, AD/CN labels were shuffled across the 60 participants (preserving the 30/30 split) using a pre-specified seed, and the entire training-only pipeline was re-run inside every outer fold using only that fold’s training-side samples and the permuted labels. Genus selection and CLR construction depend only on fold membership, not labels, so these steps were precomputed once per partition and reused across permutations — an implementation optimization with no statistical effect, since the model itself is always refit on the permuted labels.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The cohort effect was substantially larger than disease signal: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Ling) were more tightly dispersed. Pairwise post-hoc betadisper comparisons (Section 2.6; Supplementary Table S12) show this difference is not uniform across all cohort pairs: Ling 2020 differs significantly from every other cohort (all Holm-adjusted p≤0.0063) and drives most of the significant pairwise comparisons, while shanghai2022 (Zhu 2022) vs. zhuang2018 (Holm p=0.439) and kazakhstan2022 vs. kbase2022 (Holm p=0.439) do not differ significantly. Within the Chinese-MiSeq-only subset, dispersion remained significant (F=7.946, p=0.0004) and was again driven mainly by one cohort — zhuang2018 differed significantly from both ling2020 (p=0.0001) and shanghai2022 (p=0.026), while ling2020 and shanghai2022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8"/>
    <w:bookmarkStart w:id="29"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2020),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2"/>
    <w:bookmarkStart w:id="33"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fecal disease signal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4"/>
    <w:bookmarkStart w:id="35"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Standard batch correction, designed to remove technical batch effects, would not be expected to resolve directional disagreements driven by population-level biological differences rather than technical artifacts — reinforced by Section 4.2’s finding that label-blind correction left cross-cohort AUC essentially unchanged.</w:t>
      </w:r>
    </w:p>
    <w:bookmarkEnd w:id="35"/>
    <w:bookmarkStart w:id="36"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incorporated as features or confounders,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confirming cohort structure dominates the feature space, and generalization failure persisted across all three prespecified cohort-exclusion sensitivity configurations. Out-of-fold SHAP analysis found near-zero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 AD Generalization</dc:title>
  <dc:creator/>
  <cp:keywords/>
  <dcterms:created xsi:type="dcterms:W3CDTF">2026-09-14T21:49:43Z</dcterms:created>
  <dcterms:modified xsi:type="dcterms:W3CDTF">2026-09-14T21:49:43Z</dcterms:modified>
</cp:coreProperties>
</file>

<file path=docProps/custom.xml><?xml version="1.0" encoding="utf-8"?>
<Properties xmlns="http://schemas.openxmlformats.org/officeDocument/2006/custom-properties" xmlns:vt="http://schemas.openxmlformats.org/officeDocument/2006/docPropsVTypes"/>
</file>