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1.jpg" ContentType="image/jpeg"/>
  <Override PartName="/word/media/rId35.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bookmarkStart w:id="48" w:name="supplementary-materials"/>
    <w:p>
      <w:pPr>
        <w:pStyle w:val="Heading1"/>
      </w:pPr>
      <w:r>
        <w:t xml:space="preserve">Supplementary Materials</w:t>
      </w:r>
    </w:p>
    <w:p>
      <w:r>
        <w:pict>
          <v:rect style="width:0;height:1.5pt" o:hralign="center" o:hrstd="t" o:hr="t"/>
        </w:pict>
      </w:r>
    </w:p>
    <w:bookmarkStart w:id="22" w:name="supplementary-tables"/>
    <w:p>
      <w:pPr>
        <w:pStyle w:val="Heading2"/>
      </w:pPr>
      <w:r>
        <w:t xml:space="preserve">Supplementary Tables</w:t>
      </w:r>
    </w:p>
    <w:bookmarkStart w:id="9" w:name="Xb872980dc58ad70de11d5f1fb1c4b82fa121cd7"/>
    <w:p>
      <w:pPr>
        <w:pStyle w:val="Heading3"/>
      </w:pPr>
      <w:r>
        <w:t xml:space="preserve">Table S1. Full Pairwise Cross-Cohort AUC Matrix</w:t>
      </w:r>
    </w:p>
    <w:p>
      <w:pPr>
        <w:pStyle w:val="FirstParagraph"/>
      </w:pPr>
      <w:r>
        <w:t xml:space="preserve">Pairwise AUC-ROC for single-cohort train → single-cohort test transfer experiments. All 4×4 combinations excluding diagonal (within-cohort). Values are AUC-ROC with 95% bootstrap confidence intervals (1,000 resamples) on the test cohort predictions.</w:t>
      </w:r>
    </w:p>
    <w:p>
      <w:pPr>
        <w:pStyle w:val="BodyText"/>
      </w:pPr>
      <w:r>
        <w:rPr>
          <w:b/>
          <w:bCs/>
        </w:rPr>
        <w:t xml:space="preserve">Table S1A — Logistic Regression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Train  Test</w:t>
            </w:r>
          </w:p>
        </w:tc>
        <w:tc>
          <w:tcPr/>
          <w:p>
            <w:pPr>
              <w:pStyle w:val="Compact"/>
            </w:pPr>
            <w:r>
              <w:t xml:space="preserve">Zhuang 2018</w:t>
            </w:r>
          </w:p>
        </w:tc>
        <w:tc>
          <w:tcPr/>
          <w:p>
            <w:pPr>
              <w:pStyle w:val="Compact"/>
            </w:pPr>
            <w:r>
              <w:t xml:space="preserve">Ling 2020</w:t>
            </w:r>
          </w:p>
        </w:tc>
        <w:tc>
          <w:tcPr/>
          <w:p>
            <w:pPr>
              <w:pStyle w:val="Compact"/>
            </w:pPr>
            <w:r>
              <w:t xml:space="preserve">Zhu 2022</w:t>
            </w:r>
          </w:p>
        </w:tc>
        <w:tc>
          <w:tcPr/>
          <w:p>
            <w:pPr>
              <w:pStyle w:val="Compact"/>
            </w:pPr>
            <w:r>
              <w:t xml:space="preserve">Kazakhstan</w:t>
            </w:r>
          </w:p>
        </w:tc>
      </w:tr>
      <w:tr>
        <w:tc>
          <w:tcPr/>
          <w:p>
            <w:pPr>
              <w:pStyle w:val="Compact"/>
            </w:pPr>
            <w:r>
              <w:t xml:space="preserve">Zhuang 2018</w:t>
            </w:r>
          </w:p>
        </w:tc>
        <w:tc>
          <w:tcPr/>
          <w:p>
            <w:pPr>
              <w:pStyle w:val="Compact"/>
            </w:pPr>
            <w:r>
              <w:t xml:space="preserve">—</w:t>
            </w:r>
          </w:p>
        </w:tc>
        <w:tc>
          <w:tcPr/>
          <w:p>
            <w:pPr>
              <w:pStyle w:val="Compact"/>
            </w:pPr>
            <w:r>
              <w:t xml:space="preserve">0.583 [0.50–0.67]</w:t>
            </w:r>
          </w:p>
        </w:tc>
        <w:tc>
          <w:tcPr/>
          <w:p>
            <w:pPr>
              <w:pStyle w:val="Compact"/>
            </w:pPr>
            <w:r>
              <w:t xml:space="preserve">0.696 [0.54–0.82]</w:t>
            </w:r>
          </w:p>
        </w:tc>
        <w:tc>
          <w:tcPr/>
          <w:p>
            <w:pPr>
              <w:pStyle w:val="Compact"/>
            </w:pPr>
            <w:r>
              <w:t xml:space="preserve">0.566 [0.44–0.69]</w:t>
            </w:r>
          </w:p>
        </w:tc>
      </w:tr>
      <w:tr>
        <w:tc>
          <w:tcPr/>
          <w:p>
            <w:pPr>
              <w:pStyle w:val="Compact"/>
            </w:pPr>
            <w:r>
              <w:t xml:space="preserve">Ling 2020</w:t>
            </w:r>
          </w:p>
        </w:tc>
        <w:tc>
          <w:tcPr/>
          <w:p>
            <w:pPr>
              <w:pStyle w:val="Compact"/>
            </w:pPr>
            <w:r>
              <w:t xml:space="preserve">0.538 [0.41–0.66]</w:t>
            </w:r>
          </w:p>
        </w:tc>
        <w:tc>
          <w:tcPr/>
          <w:p>
            <w:pPr>
              <w:pStyle w:val="Compact"/>
            </w:pPr>
            <w:r>
              <w:t xml:space="preserve">—</w:t>
            </w:r>
          </w:p>
        </w:tc>
        <w:tc>
          <w:tcPr/>
          <w:p>
            <w:pPr>
              <w:pStyle w:val="Compact"/>
            </w:pPr>
            <w:r>
              <w:t xml:space="preserve">0.879 [0.77–0.96]</w:t>
            </w:r>
          </w:p>
        </w:tc>
        <w:tc>
          <w:tcPr/>
          <w:p>
            <w:pPr>
              <w:pStyle w:val="Compact"/>
            </w:pPr>
            <w:r>
              <w:t xml:space="preserve">0.593 [0.47–0.72]</w:t>
            </w:r>
          </w:p>
        </w:tc>
      </w:tr>
      <w:tr>
        <w:tc>
          <w:tcPr/>
          <w:p>
            <w:pPr>
              <w:pStyle w:val="Compact"/>
            </w:pPr>
            <w:r>
              <w:t xml:space="preserve">Zhu 2022</w:t>
            </w:r>
          </w:p>
        </w:tc>
        <w:tc>
          <w:tcPr/>
          <w:p>
            <w:pPr>
              <w:pStyle w:val="Compact"/>
            </w:pPr>
            <w:r>
              <w:t xml:space="preserve">0.579 [0.46–0.70]</w:t>
            </w:r>
          </w:p>
        </w:tc>
        <w:tc>
          <w:tcPr/>
          <w:p>
            <w:pPr>
              <w:pStyle w:val="Compact"/>
            </w:pPr>
            <w:r>
              <w:t xml:space="preserve">0.760 [0.68–0.83]</w:t>
            </w:r>
          </w:p>
        </w:tc>
        <w:tc>
          <w:tcPr/>
          <w:p>
            <w:pPr>
              <w:pStyle w:val="Compact"/>
            </w:pPr>
            <w:r>
              <w:t xml:space="preserve">—</w:t>
            </w:r>
          </w:p>
        </w:tc>
        <w:tc>
          <w:tcPr/>
          <w:p>
            <w:pPr>
              <w:pStyle w:val="Compact"/>
            </w:pPr>
            <w:r>
              <w:t xml:space="preserve">0.547 [0.43–0.67]</w:t>
            </w:r>
          </w:p>
        </w:tc>
      </w:tr>
      <w:tr>
        <w:tc>
          <w:tcPr/>
          <w:p>
            <w:pPr>
              <w:pStyle w:val="Compact"/>
            </w:pPr>
            <w:r>
              <w:t xml:space="preserve">Kazakhstan</w:t>
            </w:r>
          </w:p>
        </w:tc>
        <w:tc>
          <w:tcPr/>
          <w:p>
            <w:pPr>
              <w:pStyle w:val="Compact"/>
            </w:pPr>
            <w:r>
              <w:t xml:space="preserve">0.539 [0.42–0.67]</w:t>
            </w:r>
          </w:p>
        </w:tc>
        <w:tc>
          <w:tcPr/>
          <w:p>
            <w:pPr>
              <w:pStyle w:val="Compact"/>
            </w:pPr>
            <w:r>
              <w:t xml:space="preserve">0.739 [0.66–0.81]</w:t>
            </w:r>
          </w:p>
        </w:tc>
        <w:tc>
          <w:tcPr/>
          <w:p>
            <w:pPr>
              <w:pStyle w:val="Compact"/>
            </w:pPr>
            <w:r>
              <w:t xml:space="preserve">0.652 [0.50–0.78]</w:t>
            </w:r>
          </w:p>
        </w:tc>
        <w:tc>
          <w:tcPr/>
          <w:p>
            <w:pPr>
              <w:pStyle w:val="Compact"/>
            </w:pPr>
            <w:r>
              <w:t xml:space="preserve">—</w:t>
            </w:r>
          </w:p>
        </w:tc>
      </w:tr>
    </w:tbl>
    <w:p>
      <w:pPr>
        <w:pStyle w:val="BodyText"/>
      </w:pPr>
      <w:r>
        <w:rPr>
          <w:b/>
          <w:bCs/>
        </w:rPr>
        <w:t xml:space="preserve">Table S1B — LightGBM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Train  Test</w:t>
            </w:r>
          </w:p>
        </w:tc>
        <w:tc>
          <w:tcPr/>
          <w:p>
            <w:pPr>
              <w:pStyle w:val="Compact"/>
            </w:pPr>
            <w:r>
              <w:t xml:space="preserve">Zhuang 2018</w:t>
            </w:r>
          </w:p>
        </w:tc>
        <w:tc>
          <w:tcPr/>
          <w:p>
            <w:pPr>
              <w:pStyle w:val="Compact"/>
            </w:pPr>
            <w:r>
              <w:t xml:space="preserve">Ling 2020</w:t>
            </w:r>
          </w:p>
        </w:tc>
        <w:tc>
          <w:tcPr/>
          <w:p>
            <w:pPr>
              <w:pStyle w:val="Compact"/>
            </w:pPr>
            <w:r>
              <w:t xml:space="preserve">Zhu 2022</w:t>
            </w:r>
          </w:p>
        </w:tc>
        <w:tc>
          <w:tcPr/>
          <w:p>
            <w:pPr>
              <w:pStyle w:val="Compact"/>
            </w:pPr>
            <w:r>
              <w:t xml:space="preserve">Kazakhstan</w:t>
            </w:r>
          </w:p>
        </w:tc>
      </w:tr>
      <w:tr>
        <w:tc>
          <w:tcPr/>
          <w:p>
            <w:pPr>
              <w:pStyle w:val="Compact"/>
            </w:pPr>
            <w:r>
              <w:t xml:space="preserve">Zhuang 2018</w:t>
            </w:r>
          </w:p>
        </w:tc>
        <w:tc>
          <w:tcPr/>
          <w:p>
            <w:pPr>
              <w:pStyle w:val="Compact"/>
            </w:pPr>
            <w:r>
              <w:t xml:space="preserve">—</w:t>
            </w:r>
          </w:p>
        </w:tc>
        <w:tc>
          <w:tcPr/>
          <w:p>
            <w:pPr>
              <w:pStyle w:val="Compact"/>
            </w:pPr>
            <w:r>
              <w:t xml:space="preserve">0.598 [0.51–0.68]</w:t>
            </w:r>
          </w:p>
        </w:tc>
        <w:tc>
          <w:tcPr/>
          <w:p>
            <w:pPr>
              <w:pStyle w:val="Compact"/>
            </w:pPr>
            <w:r>
              <w:t xml:space="preserve">0.604 [0.46–0.74]</w:t>
            </w:r>
          </w:p>
        </w:tc>
        <w:tc>
          <w:tcPr/>
          <w:p>
            <w:pPr>
              <w:pStyle w:val="Compact"/>
            </w:pPr>
            <w:r>
              <w:t xml:space="preserve">0.493 [0.37–0.61]</w:t>
            </w:r>
          </w:p>
        </w:tc>
      </w:tr>
      <w:tr>
        <w:tc>
          <w:tcPr/>
          <w:p>
            <w:pPr>
              <w:pStyle w:val="Compact"/>
            </w:pPr>
            <w:r>
              <w:t xml:space="preserve">Ling 2020</w:t>
            </w:r>
          </w:p>
        </w:tc>
        <w:tc>
          <w:tcPr/>
          <w:p>
            <w:pPr>
              <w:pStyle w:val="Compact"/>
            </w:pPr>
            <w:r>
              <w:t xml:space="preserve">0.617 [0.49–0.74]</w:t>
            </w:r>
          </w:p>
        </w:tc>
        <w:tc>
          <w:tcPr/>
          <w:p>
            <w:pPr>
              <w:pStyle w:val="Compact"/>
            </w:pPr>
            <w:r>
              <w:t xml:space="preserve">—</w:t>
            </w:r>
          </w:p>
        </w:tc>
        <w:tc>
          <w:tcPr/>
          <w:p>
            <w:pPr>
              <w:pStyle w:val="Compact"/>
            </w:pPr>
            <w:r>
              <w:t xml:space="preserve">0.861 [0.77–0.94]</w:t>
            </w:r>
          </w:p>
        </w:tc>
        <w:tc>
          <w:tcPr/>
          <w:p>
            <w:pPr>
              <w:pStyle w:val="Compact"/>
            </w:pPr>
            <w:r>
              <w:t xml:space="preserve">0.602 [0.47–0.72]</w:t>
            </w:r>
          </w:p>
        </w:tc>
      </w:tr>
      <w:tr>
        <w:tc>
          <w:tcPr/>
          <w:p>
            <w:pPr>
              <w:pStyle w:val="Compact"/>
            </w:pPr>
            <w:r>
              <w:t xml:space="preserve">Zhu 2022</w:t>
            </w:r>
          </w:p>
        </w:tc>
        <w:tc>
          <w:tcPr/>
          <w:p>
            <w:pPr>
              <w:pStyle w:val="Compact"/>
            </w:pPr>
            <w:r>
              <w:t xml:space="preserve">0.528 [0.41–0.65]</w:t>
            </w:r>
          </w:p>
        </w:tc>
        <w:tc>
          <w:tcPr/>
          <w:p>
            <w:pPr>
              <w:pStyle w:val="Compact"/>
            </w:pPr>
            <w:r>
              <w:t xml:space="preserve">0.591 [0.50–0.68]</w:t>
            </w:r>
          </w:p>
        </w:tc>
        <w:tc>
          <w:tcPr/>
          <w:p>
            <w:pPr>
              <w:pStyle w:val="Compact"/>
            </w:pPr>
            <w:r>
              <w:t xml:space="preserve">—</w:t>
            </w:r>
          </w:p>
        </w:tc>
        <w:tc>
          <w:tcPr/>
          <w:p>
            <w:pPr>
              <w:pStyle w:val="Compact"/>
            </w:pPr>
            <w:r>
              <w:t xml:space="preserve">0.405 [0.28–0.53]</w:t>
            </w:r>
          </w:p>
        </w:tc>
      </w:tr>
      <w:tr>
        <w:tc>
          <w:tcPr/>
          <w:p>
            <w:pPr>
              <w:pStyle w:val="Compact"/>
            </w:pPr>
            <w:r>
              <w:t xml:space="preserve">Kazakhstan</w:t>
            </w:r>
          </w:p>
        </w:tc>
        <w:tc>
          <w:tcPr/>
          <w:p>
            <w:pPr>
              <w:pStyle w:val="Compact"/>
            </w:pPr>
            <w:r>
              <w:t xml:space="preserve">0.522 [0.40–0.64]</w:t>
            </w:r>
          </w:p>
        </w:tc>
        <w:tc>
          <w:tcPr/>
          <w:p>
            <w:pPr>
              <w:pStyle w:val="Compact"/>
            </w:pPr>
            <w:r>
              <w:t xml:space="preserve">0.580 [0.49–0.67]</w:t>
            </w:r>
          </w:p>
        </w:tc>
        <w:tc>
          <w:tcPr/>
          <w:p>
            <w:pPr>
              <w:pStyle w:val="Compact"/>
            </w:pPr>
            <w:r>
              <w:t xml:space="preserve">0.603 [0.45–0.75]</w:t>
            </w:r>
          </w:p>
        </w:tc>
        <w:tc>
          <w:tcPr/>
          <w:p>
            <w:pPr>
              <w:pStyle w:val="Compact"/>
            </w:pPr>
            <w:r>
              <w:t xml:space="preserve">—</w:t>
            </w:r>
          </w:p>
        </w:tc>
      </w:tr>
    </w:tbl>
    <w:p>
      <w:pPr>
        <w:pStyle w:val="BodyText"/>
      </w:pPr>
      <w:r>
        <w:t xml:space="preserve">Notable observations: The highest pairwise logistic regression AUC is Ling 2020 → Zhu 2022 (AUC=0.88), reflecting transfer between two large Chinese fecal cohorts. Kazakhstan → Ling 2020 also transfers reasonably (logistic regression AUC=0.74). Most pairwise AUCs cluster between 0.54 and 0.70, consistent with the overall pattern of limited cross-cohort transferability documented in Section 3.3.</w:t>
      </w:r>
    </w:p>
    <w:p>
      <w:r>
        <w:pict>
          <v:rect style="width:0;height:1.5pt" o:hralign="center" o:hrstd="t" o:hr="t"/>
        </w:pict>
      </w:r>
    </w:p>
    <w:bookmarkEnd w:id="9"/>
    <w:bookmarkStart w:id="10" w:name="Xcbf9467001b320bc9992b86155c10931c3db68b"/>
    <w:p>
      <w:pPr>
        <w:pStyle w:val="Heading3"/>
      </w:pPr>
      <w:r>
        <w:t xml:space="preserve">Table S2. Per-Cohort DADA2 Processing Statistics</w:t>
      </w:r>
    </w:p>
    <w:p>
      <w:pPr>
        <w:pStyle w:val="FirstParagraph"/>
      </w:pPr>
      <w:r>
        <w:t xml:space="preserve">Statistics from DADA2 amplicon sequence variant (ASV) inference pipeline. Paired-end cohorts underwent quality filtering, error learning, denoising, merging, and chimera removal; Kazakhstan (single-end) omitted the merging step.</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Cohort</w:t>
            </w:r>
          </w:p>
        </w:tc>
        <w:tc>
          <w:tcPr/>
          <w:p>
            <w:pPr>
              <w:pStyle w:val="Compact"/>
            </w:pPr>
            <w:r>
              <w:t xml:space="preserve">Country</w:t>
            </w:r>
          </w:p>
        </w:tc>
        <w:tc>
          <w:tcPr/>
          <w:p>
            <w:pPr>
              <w:pStyle w:val="Compact"/>
            </w:pPr>
            <w:r>
              <w:t xml:space="preserve">Mode</w:t>
            </w:r>
          </w:p>
        </w:tc>
        <w:tc>
          <w:tcPr/>
          <w:p>
            <w:pPr>
              <w:pStyle w:val="Compact"/>
            </w:pPr>
            <w:r>
              <w:t xml:space="preserve">N Samples</w:t>
            </w:r>
          </w:p>
        </w:tc>
        <w:tc>
          <w:tcPr/>
          <w:p>
            <w:pPr>
              <w:pStyle w:val="Compact"/>
            </w:pPr>
            <w:r>
              <w:t xml:space="preserve">Reads Input</w:t>
            </w:r>
          </w:p>
        </w:tc>
        <w:tc>
          <w:tcPr/>
          <w:p>
            <w:pPr>
              <w:pStyle w:val="Compact"/>
            </w:pPr>
            <w:r>
              <w:t xml:space="preserve">Reads Non-chimeric</w:t>
            </w:r>
          </w:p>
        </w:tc>
        <w:tc>
          <w:tcPr/>
          <w:p>
            <w:pPr>
              <w:pStyle w:val="Compact"/>
            </w:pPr>
            <w:r>
              <w:t xml:space="preserve">% Retention</w:t>
            </w:r>
          </w:p>
        </w:tc>
        <w:tc>
          <w:tcPr/>
          <w:p>
            <w:pPr>
              <w:pStyle w:val="Compact"/>
            </w:pPr>
            <w:r>
              <w:t xml:space="preserve">16S Region</w:t>
            </w:r>
          </w:p>
        </w:tc>
        <w:tc>
          <w:tcPr/>
          <w:p>
            <w:pPr>
              <w:pStyle w:val="Compact"/>
            </w:pPr>
            <w:r>
              <w:t xml:space="preserve">Platform</w:t>
            </w:r>
          </w:p>
        </w:tc>
      </w:tr>
      <w:tr>
        <w:tc>
          <w:tcPr/>
          <w:p>
            <w:pPr>
              <w:pStyle w:val="Compact"/>
            </w:pPr>
            <w:r>
              <w:t xml:space="preserve">Zhuang 2018</w:t>
            </w:r>
          </w:p>
        </w:tc>
        <w:tc>
          <w:tcPr/>
          <w:p>
            <w:pPr>
              <w:pStyle w:val="Compact"/>
            </w:pPr>
            <w:r>
              <w:t xml:space="preserve">China</w:t>
            </w:r>
          </w:p>
        </w:tc>
        <w:tc>
          <w:tcPr/>
          <w:p>
            <w:pPr>
              <w:pStyle w:val="Compact"/>
            </w:pPr>
            <w:r>
              <w:t xml:space="preserve">Paired-end</w:t>
            </w:r>
          </w:p>
        </w:tc>
        <w:tc>
          <w:tcPr/>
          <w:p>
            <w:pPr>
              <w:pStyle w:val="Compact"/>
            </w:pPr>
            <w:r>
              <w:t xml:space="preserve">86</w:t>
            </w:r>
          </w:p>
        </w:tc>
        <w:tc>
          <w:tcPr/>
          <w:p>
            <w:pPr>
              <w:pStyle w:val="Compact"/>
            </w:pPr>
            <w:r>
              <w:t xml:space="preserve">3,260,213</w:t>
            </w:r>
          </w:p>
        </w:tc>
        <w:tc>
          <w:tcPr/>
          <w:p>
            <w:pPr>
              <w:pStyle w:val="Compact"/>
            </w:pPr>
            <w:r>
              <w:t xml:space="preserve">2,551,870</w:t>
            </w:r>
          </w:p>
        </w:tc>
        <w:tc>
          <w:tcPr/>
          <w:p>
            <w:pPr>
              <w:pStyle w:val="Compact"/>
            </w:pPr>
            <w:r>
              <w:t xml:space="preserve">78.3%</w:t>
            </w:r>
          </w:p>
        </w:tc>
        <w:tc>
          <w:tcPr/>
          <w:p>
            <w:pPr>
              <w:pStyle w:val="Compact"/>
            </w:pPr>
            <w:r>
              <w:t xml:space="preserve">V3–V4</w:t>
            </w:r>
          </w:p>
        </w:tc>
        <w:tc>
          <w:tcPr/>
          <w:p>
            <w:pPr>
              <w:pStyle w:val="Compact"/>
            </w:pPr>
            <w:r>
              <w:t xml:space="preserve">MiSeq 2×300</w:t>
            </w:r>
          </w:p>
        </w:tc>
      </w:tr>
      <w:tr>
        <w:tc>
          <w:tcPr/>
          <w:p>
            <w:pPr>
              <w:pStyle w:val="Compact"/>
            </w:pPr>
            <w:r>
              <w:t xml:space="preserve">Ling 2020</w:t>
            </w:r>
          </w:p>
        </w:tc>
        <w:tc>
          <w:tcPr/>
          <w:p>
            <w:pPr>
              <w:pStyle w:val="Compact"/>
            </w:pPr>
            <w:r>
              <w:t xml:space="preserve">China</w:t>
            </w:r>
          </w:p>
        </w:tc>
        <w:tc>
          <w:tcPr/>
          <w:p>
            <w:pPr>
              <w:pStyle w:val="Compact"/>
            </w:pPr>
            <w:r>
              <w:t xml:space="preserve">Paired-end</w:t>
            </w:r>
          </w:p>
        </w:tc>
        <w:tc>
          <w:tcPr/>
          <w:p>
            <w:pPr>
              <w:pStyle w:val="Compact"/>
            </w:pPr>
            <w:r>
              <w:t xml:space="preserve">171</w:t>
            </w:r>
          </w:p>
        </w:tc>
        <w:tc>
          <w:tcPr/>
          <w:p>
            <w:pPr>
              <w:pStyle w:val="Compact"/>
            </w:pPr>
            <w:r>
              <w:t xml:space="preserve">8,556,209</w:t>
            </w:r>
          </w:p>
        </w:tc>
        <w:tc>
          <w:tcPr/>
          <w:p>
            <w:pPr>
              <w:pStyle w:val="Compact"/>
            </w:pPr>
            <w:r>
              <w:t xml:space="preserve">4,100,210</w:t>
            </w:r>
          </w:p>
        </w:tc>
        <w:tc>
          <w:tcPr/>
          <w:p>
            <w:pPr>
              <w:pStyle w:val="Compact"/>
            </w:pPr>
            <w:r>
              <w:t xml:space="preserve">47.9%</w:t>
            </w:r>
          </w:p>
        </w:tc>
        <w:tc>
          <w:tcPr/>
          <w:p>
            <w:pPr>
              <w:pStyle w:val="Compact"/>
            </w:pPr>
            <w:r>
              <w:t xml:space="preserve">V3–V4</w:t>
            </w:r>
          </w:p>
        </w:tc>
        <w:tc>
          <w:tcPr/>
          <w:p>
            <w:pPr>
              <w:pStyle w:val="Compact"/>
            </w:pPr>
            <w:r>
              <w:t xml:space="preserve">MiSeq 2×300</w:t>
            </w:r>
          </w:p>
        </w:tc>
      </w:tr>
      <w:tr>
        <w:tc>
          <w:tcPr/>
          <w:p>
            <w:pPr>
              <w:pStyle w:val="Compact"/>
            </w:pPr>
            <w:r>
              <w:t xml:space="preserve">Zhu 2022</w:t>
            </w:r>
          </w:p>
        </w:tc>
        <w:tc>
          <w:tcPr/>
          <w:p>
            <w:pPr>
              <w:pStyle w:val="Compact"/>
            </w:pPr>
            <w:r>
              <w:t xml:space="preserve">China</w:t>
            </w:r>
          </w:p>
        </w:tc>
        <w:tc>
          <w:tcPr/>
          <w:p>
            <w:pPr>
              <w:pStyle w:val="Compact"/>
            </w:pPr>
            <w:r>
              <w:t xml:space="preserve">Paired-end</w:t>
            </w:r>
          </w:p>
        </w:tc>
        <w:tc>
          <w:tcPr/>
          <w:p>
            <w:pPr>
              <w:pStyle w:val="Compact"/>
            </w:pPr>
            <w:r>
              <w:t xml:space="preserve">180</w:t>
            </w:r>
          </w:p>
        </w:tc>
        <w:tc>
          <w:tcPr/>
          <w:p>
            <w:pPr>
              <w:pStyle w:val="Compact"/>
            </w:pPr>
            <w:r>
              <w:t xml:space="preserve">7,275,079</w:t>
            </w:r>
          </w:p>
        </w:tc>
        <w:tc>
          <w:tcPr/>
          <w:p>
            <w:pPr>
              <w:pStyle w:val="Compact"/>
            </w:pPr>
            <w:r>
              <w:t xml:space="preserve">5,485,811</w:t>
            </w:r>
          </w:p>
        </w:tc>
        <w:tc>
          <w:tcPr/>
          <w:p>
            <w:pPr>
              <w:pStyle w:val="Compact"/>
            </w:pPr>
            <w:r>
              <w:t xml:space="preserve">75.4%</w:t>
            </w:r>
          </w:p>
        </w:tc>
        <w:tc>
          <w:tcPr/>
          <w:p>
            <w:pPr>
              <w:pStyle w:val="Compact"/>
            </w:pPr>
            <w:r>
              <w:t xml:space="preserve">V3–V4</w:t>
            </w:r>
          </w:p>
        </w:tc>
        <w:tc>
          <w:tcPr/>
          <w:p>
            <w:pPr>
              <w:pStyle w:val="Compact"/>
            </w:pPr>
            <w:r>
              <w:t xml:space="preserve">MiSeq 2×300</w:t>
            </w:r>
          </w:p>
        </w:tc>
      </w:tr>
      <w:tr>
        <w:tc>
          <w:tcPr/>
          <w:p>
            <w:pPr>
              <w:pStyle w:val="Compact"/>
            </w:pPr>
            <w:r>
              <w:t xml:space="preserve">Kim 2022</w:t>
            </w:r>
          </w:p>
        </w:tc>
        <w:tc>
          <w:tcPr/>
          <w:p>
            <w:pPr>
              <w:pStyle w:val="Compact"/>
            </w:pPr>
            <w:r>
              <w:t xml:space="preserve">South Korea</w:t>
            </w:r>
          </w:p>
        </w:tc>
        <w:tc>
          <w:tcPr/>
          <w:p>
            <w:pPr>
              <w:pStyle w:val="Compact"/>
            </w:pPr>
            <w:r>
              <w:t xml:space="preserve">Paired-end</w:t>
            </w:r>
          </w:p>
        </w:tc>
        <w:tc>
          <w:tcPr/>
          <w:p>
            <w:pPr>
              <w:pStyle w:val="Compact"/>
            </w:pPr>
            <w:r>
              <w:t xml:space="preserve">78</w:t>
            </w:r>
          </w:p>
        </w:tc>
        <w:tc>
          <w:tcPr/>
          <w:p>
            <w:pPr>
              <w:pStyle w:val="Compact"/>
            </w:pPr>
            <w:r>
              <w:t xml:space="preserve">13,514,374</w:t>
            </w:r>
          </w:p>
        </w:tc>
        <w:tc>
          <w:tcPr/>
          <w:p>
            <w:pPr>
              <w:pStyle w:val="Compact"/>
            </w:pPr>
            <w:r>
              <w:t xml:space="preserve">6,117,631</w:t>
            </w:r>
          </w:p>
        </w:tc>
        <w:tc>
          <w:tcPr/>
          <w:p>
            <w:pPr>
              <w:pStyle w:val="Compact"/>
            </w:pPr>
            <w:r>
              <w:t xml:space="preserve">45.3%</w:t>
            </w:r>
          </w:p>
        </w:tc>
        <w:tc>
          <w:tcPr/>
          <w:p>
            <w:pPr>
              <w:pStyle w:val="Compact"/>
            </w:pPr>
            <w:r>
              <w:t xml:space="preserve">V3–V4</w:t>
            </w:r>
          </w:p>
        </w:tc>
        <w:tc>
          <w:tcPr/>
          <w:p>
            <w:pPr>
              <w:pStyle w:val="Compact"/>
            </w:pPr>
            <w:r>
              <w:t xml:space="preserve">MiSeq 2×300</w:t>
            </w:r>
          </w:p>
        </w:tc>
      </w:tr>
      <w:tr>
        <w:tc>
          <w:tcPr/>
          <w:p>
            <w:pPr>
              <w:pStyle w:val="Compact"/>
            </w:pPr>
            <w:r>
              <w:t xml:space="preserve">Kaiyrlykyzy 2022</w:t>
            </w:r>
          </w:p>
        </w:tc>
        <w:tc>
          <w:tcPr/>
          <w:p>
            <w:pPr>
              <w:pStyle w:val="Compact"/>
            </w:pPr>
            <w:r>
              <w:t xml:space="preserve">Kazakhstan</w:t>
            </w:r>
          </w:p>
        </w:tc>
        <w:tc>
          <w:tcPr/>
          <w:p>
            <w:pPr>
              <w:pStyle w:val="Compact"/>
            </w:pPr>
            <w:r>
              <w:t xml:space="preserve">Single-end</w:t>
            </w:r>
          </w:p>
        </w:tc>
        <w:tc>
          <w:tcPr/>
          <w:p>
            <w:pPr>
              <w:pStyle w:val="Compact"/>
            </w:pPr>
            <w:r>
              <w:t xml:space="preserve">84</w:t>
            </w:r>
          </w:p>
        </w:tc>
        <w:tc>
          <w:tcPr/>
          <w:p>
            <w:pPr>
              <w:pStyle w:val="Compact"/>
            </w:pPr>
            <w:r>
              <w:t xml:space="preserve">9,467,007</w:t>
            </w:r>
          </w:p>
        </w:tc>
        <w:tc>
          <w:tcPr/>
          <w:p>
            <w:pPr>
              <w:pStyle w:val="Compact"/>
            </w:pPr>
            <w:r>
              <w:t xml:space="preserve">6,531,362</w:t>
            </w:r>
          </w:p>
        </w:tc>
        <w:tc>
          <w:tcPr/>
          <w:p>
            <w:pPr>
              <w:pStyle w:val="Compact"/>
            </w:pPr>
            <w:r>
              <w:t xml:space="preserve">69.0%</w:t>
            </w:r>
          </w:p>
        </w:tc>
        <w:tc>
          <w:tcPr/>
          <w:p>
            <w:pPr>
              <w:pStyle w:val="Compact"/>
            </w:pPr>
            <w:r>
              <w:t xml:space="preserve">V3–V4</w:t>
            </w:r>
          </w:p>
        </w:tc>
        <w:tc>
          <w:tcPr/>
          <w:p>
            <w:pPr>
              <w:pStyle w:val="Compact"/>
            </w:pPr>
            <w:r>
              <w:t xml:space="preserve">NovaSeq</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599</w:t>
            </w:r>
          </w:p>
        </w:tc>
        <w:tc>
          <w:tcPr/>
          <w:p>
            <w:pPr>
              <w:pStyle w:val="Compact"/>
            </w:pPr>
            <w:r>
              <w:rPr>
                <w:b/>
                <w:bCs/>
              </w:rPr>
              <w:t xml:space="preserve">42,072,882</w:t>
            </w:r>
          </w:p>
        </w:tc>
        <w:tc>
          <w:tcPr/>
          <w:p>
            <w:pPr>
              <w:pStyle w:val="Compact"/>
            </w:pPr>
            <w:r>
              <w:rPr>
                <w:b/>
                <w:bCs/>
              </w:rPr>
              <w:t xml:space="preserve">24,786,884</w:t>
            </w:r>
          </w:p>
        </w:tc>
        <w:tc>
          <w:tcPr/>
          <w:p>
            <w:pPr>
              <w:pStyle w:val="Compact"/>
            </w:pPr>
            <w:r>
              <w:rPr>
                <w:b/>
                <w:bCs/>
              </w:rPr>
              <w:t xml:space="preserve">58.9%</w:t>
            </w:r>
          </w:p>
        </w:tc>
        <w:tc>
          <w:tcPr/>
          <w:p>
            <w:pPr>
              <w:pStyle w:val="Compact"/>
            </w:pPr>
          </w:p>
        </w:tc>
        <w:tc>
          <w:tcPr/>
          <w:p>
            <w:pPr>
              <w:pStyle w:val="Compact"/>
            </w:pPr>
          </w:p>
        </w:tc>
      </w:tr>
    </w:tbl>
    <w:p>
      <w:pPr>
        <w:pStyle w:val="BodyText"/>
      </w:pPr>
      <w:r>
        <w:t xml:space="preserve">Notes: (1) Reads input = reads passing initial quality cutoff prior to DADA2 filtering. (2) Retention rates for Ling 2020 (47.9%) and Kim 2022 (45.3%) are lower than typical for MiSeq 2×300 V3–V4 data; inspection of quality profiles showed elevated error rates in these cohorts’ reverse reads at positions &gt;150–180 bp, which may reflect sequencing run-specific quality variation. (3) Kazakhstan single-end processing used truncLen=250 after quality profile inspection; see Supplementary Note S2. (4) ASV count per cohort and per-sample read depth statistics not shown here; final post-harmonization genus matrix contains 396 genera across 509 fecal samples (90 blood microbiome samples from Zhu 2022 excluded prior to analysis).</w:t>
      </w:r>
    </w:p>
    <w:p>
      <w:r>
        <w:pict>
          <v:rect style="width:0;height:1.5pt" o:hralign="center" o:hrstd="t" o:hr="t"/>
        </w:pict>
      </w:r>
    </w:p>
    <w:bookmarkEnd w:id="10"/>
    <w:bookmarkStart w:id="11" w:name="table-s3.-full-permanova-results"/>
    <w:p>
      <w:pPr>
        <w:pStyle w:val="Heading3"/>
      </w:pPr>
      <w:r>
        <w:t xml:space="preserve">Table S3. Full PERMANOVA Results</w:t>
      </w:r>
    </w:p>
    <w:p>
      <w:pPr>
        <w:pStyle w:val="FirstParagraph"/>
      </w:pPr>
      <w:r>
        <w:t xml:space="preserve">All PERMANOVA models used 9,999 permutations with Type III (marginal) sums of squares (vegan adonis2,</w:t>
      </w:r>
      <w:r>
        <w:t xml:space="preserve"> </w:t>
      </w:r>
      <w:r>
        <w:rPr>
          <w:rStyle w:val="VerbatimChar"/>
        </w:rPr>
        <w:t xml:space="preserve">by="margin"</w:t>
      </w:r>
      <w:r>
        <w:t xml:space="preserve">). Aitchison distance = Euclidean distance on CLR-transformed values. Bray-Curtis computed on relative abundances. With 9,999 permutations, the minimum attainable permutation p-value is 1/(9,999+1) = 0.0001; p-values reported below as 0.0001 indicate no permuted statistic met or exceeded the observed value (i.e., the true p-value is at or below this resolution limit, not literally less than it).</w:t>
      </w:r>
    </w:p>
    <w:p>
      <w:pPr>
        <w:pStyle w:val="BodyText"/>
      </w:pPr>
      <w:r>
        <w:rPr>
          <w:b/>
          <w:bCs/>
        </w:rPr>
        <w:t xml:space="preserve">Model 1: Cohort only (all 5 cohorts, Aitchison distance)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Df</w:t>
            </w:r>
          </w:p>
        </w:tc>
        <w:tc>
          <w:tcPr/>
          <w:p>
            <w:pPr>
              <w:pStyle w:val="Compact"/>
            </w:pPr>
            <w:r>
              <w:t xml:space="preserve">Sum of Squares</w:t>
            </w:r>
          </w:p>
        </w:tc>
        <w:tc>
          <w:tcPr/>
          <w:p>
            <w:pPr>
              <w:pStyle w:val="Compact"/>
            </w:pPr>
            <w:r>
              <w:t xml:space="preserve">R²</w:t>
            </w:r>
          </w:p>
        </w:tc>
        <w:tc>
          <w:tcPr/>
          <w:p>
            <w:pPr>
              <w:pStyle w:val="Compact"/>
            </w:pPr>
            <w:r>
              <w:t xml:space="preserve">F</w:t>
            </w:r>
          </w:p>
        </w:tc>
        <w:tc>
          <w:tcPr/>
          <w:p>
            <w:pPr>
              <w:pStyle w:val="Compact"/>
            </w:pPr>
            <w:r>
              <w:t xml:space="preserve">p-value</w:t>
            </w:r>
          </w:p>
        </w:tc>
      </w:tr>
      <w:tr>
        <w:tc>
          <w:tcPr/>
          <w:p>
            <w:pPr>
              <w:pStyle w:val="Compact"/>
            </w:pPr>
            <w:r>
              <w:t xml:space="preserve">Cohort</w:t>
            </w:r>
          </w:p>
        </w:tc>
        <w:tc>
          <w:tcPr/>
          <w:p>
            <w:pPr>
              <w:pStyle w:val="Compact"/>
            </w:pPr>
            <w:r>
              <w:t xml:space="preserve">4</w:t>
            </w:r>
          </w:p>
        </w:tc>
        <w:tc>
          <w:tcPr/>
          <w:p>
            <w:pPr>
              <w:pStyle w:val="Compact"/>
            </w:pPr>
            <w:r>
              <w:t xml:space="preserve">67,760.8</w:t>
            </w:r>
          </w:p>
        </w:tc>
        <w:tc>
          <w:tcPr/>
          <w:p>
            <w:pPr>
              <w:pStyle w:val="Compact"/>
            </w:pPr>
            <w:r>
              <w:t xml:space="preserve">0.193</w:t>
            </w:r>
          </w:p>
        </w:tc>
        <w:tc>
          <w:tcPr/>
          <w:p>
            <w:pPr>
              <w:pStyle w:val="Compact"/>
            </w:pPr>
            <w:r>
              <w:t xml:space="preserve">30.13</w:t>
            </w:r>
          </w:p>
        </w:tc>
        <w:tc>
          <w:tcPr/>
          <w:p>
            <w:pPr>
              <w:pStyle w:val="Compact"/>
            </w:pPr>
            <w:r>
              <w:t xml:space="preserve">0.0001</w:t>
            </w:r>
          </w:p>
        </w:tc>
      </w:tr>
      <w:tr>
        <w:tc>
          <w:tcPr/>
          <w:p>
            <w:pPr>
              <w:pStyle w:val="Compact"/>
            </w:pPr>
            <w:r>
              <w:t xml:space="preserve">Residual</w:t>
            </w:r>
          </w:p>
        </w:tc>
        <w:tc>
          <w:tcPr/>
          <w:p>
            <w:pPr>
              <w:pStyle w:val="Compact"/>
            </w:pPr>
            <w:r>
              <w:t xml:space="preserve">504</w:t>
            </w:r>
          </w:p>
        </w:tc>
        <w:tc>
          <w:tcPr/>
          <w:p>
            <w:pPr>
              <w:pStyle w:val="Compact"/>
            </w:pPr>
            <w:r>
              <w:t xml:space="preserve">283,347.1</w:t>
            </w:r>
          </w:p>
        </w:tc>
        <w:tc>
          <w:tcPr/>
          <w:p>
            <w:pPr>
              <w:pStyle w:val="Compact"/>
            </w:pPr>
            <w:r>
              <w:t xml:space="preserve">0.807</w:t>
            </w:r>
          </w:p>
        </w:tc>
        <w:tc>
          <w:tcPr/>
          <w:p>
            <w:pPr>
              <w:pStyle w:val="Compact"/>
            </w:pPr>
            <w:r>
              <w:t xml:space="preserve">—</w:t>
            </w:r>
          </w:p>
        </w:tc>
        <w:tc>
          <w:tcPr/>
          <w:p>
            <w:pPr>
              <w:pStyle w:val="Compact"/>
            </w:pPr>
            <w:r>
              <w:t xml:space="preserve">—</w:t>
            </w:r>
          </w:p>
        </w:tc>
      </w:tr>
    </w:tbl>
    <w:p>
      <w:pPr>
        <w:pStyle w:val="BodyText"/>
      </w:pPr>
      <w:r>
        <w:rPr>
          <w:b/>
          <w:bCs/>
        </w:rPr>
        <w:t xml:space="preserve">Model 1B: Cohort only (all 5 cohorts, Bray-Curtis dissimilarity)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Df</w:t>
            </w:r>
          </w:p>
        </w:tc>
        <w:tc>
          <w:tcPr/>
          <w:p>
            <w:pPr>
              <w:pStyle w:val="Compact"/>
            </w:pPr>
            <w:r>
              <w:t xml:space="preserve">Sum of Squares</w:t>
            </w:r>
          </w:p>
        </w:tc>
        <w:tc>
          <w:tcPr/>
          <w:p>
            <w:pPr>
              <w:pStyle w:val="Compact"/>
            </w:pPr>
            <w:r>
              <w:t xml:space="preserve">R²</w:t>
            </w:r>
          </w:p>
        </w:tc>
        <w:tc>
          <w:tcPr/>
          <w:p>
            <w:pPr>
              <w:pStyle w:val="Compact"/>
            </w:pPr>
            <w:r>
              <w:t xml:space="preserve">F</w:t>
            </w:r>
          </w:p>
        </w:tc>
        <w:tc>
          <w:tcPr/>
          <w:p>
            <w:pPr>
              <w:pStyle w:val="Compact"/>
            </w:pPr>
            <w:r>
              <w:t xml:space="preserve">p-value</w:t>
            </w:r>
          </w:p>
        </w:tc>
      </w:tr>
      <w:tr>
        <w:tc>
          <w:tcPr/>
          <w:p>
            <w:pPr>
              <w:pStyle w:val="Compact"/>
            </w:pPr>
            <w:r>
              <w:t xml:space="preserve">Cohort</w:t>
            </w:r>
          </w:p>
        </w:tc>
        <w:tc>
          <w:tcPr/>
          <w:p>
            <w:pPr>
              <w:pStyle w:val="Compact"/>
            </w:pPr>
            <w:r>
              <w:t xml:space="preserve">4</w:t>
            </w:r>
          </w:p>
        </w:tc>
        <w:tc>
          <w:tcPr/>
          <w:p>
            <w:pPr>
              <w:pStyle w:val="Compact"/>
            </w:pPr>
            <w:r>
              <w:t xml:space="preserve">20.80</w:t>
            </w:r>
          </w:p>
        </w:tc>
        <w:tc>
          <w:tcPr/>
          <w:p>
            <w:pPr>
              <w:pStyle w:val="Compact"/>
            </w:pPr>
            <w:r>
              <w:t xml:space="preserve">0.136</w:t>
            </w:r>
          </w:p>
        </w:tc>
        <w:tc>
          <w:tcPr/>
          <w:p>
            <w:pPr>
              <w:pStyle w:val="Compact"/>
            </w:pPr>
            <w:r>
              <w:t xml:space="preserve">19.80</w:t>
            </w:r>
          </w:p>
        </w:tc>
        <w:tc>
          <w:tcPr/>
          <w:p>
            <w:pPr>
              <w:pStyle w:val="Compact"/>
            </w:pPr>
            <w:r>
              <w:t xml:space="preserve">0.0001</w:t>
            </w:r>
          </w:p>
        </w:tc>
      </w:tr>
      <w:tr>
        <w:tc>
          <w:tcPr/>
          <w:p>
            <w:pPr>
              <w:pStyle w:val="Compact"/>
            </w:pPr>
            <w:r>
              <w:t xml:space="preserve">Residual</w:t>
            </w:r>
          </w:p>
        </w:tc>
        <w:tc>
          <w:tcPr/>
          <w:p>
            <w:pPr>
              <w:pStyle w:val="Compact"/>
            </w:pPr>
            <w:r>
              <w:t xml:space="preserve">504</w:t>
            </w:r>
          </w:p>
        </w:tc>
        <w:tc>
          <w:tcPr/>
          <w:p>
            <w:pPr>
              <w:pStyle w:val="Compact"/>
            </w:pPr>
            <w:r>
              <w:t xml:space="preserve">132.36</w:t>
            </w:r>
          </w:p>
        </w:tc>
        <w:tc>
          <w:tcPr/>
          <w:p>
            <w:pPr>
              <w:pStyle w:val="Compact"/>
            </w:pPr>
            <w:r>
              <w:t xml:space="preserve">0.864</w:t>
            </w:r>
          </w:p>
        </w:tc>
        <w:tc>
          <w:tcPr/>
          <w:p>
            <w:pPr>
              <w:pStyle w:val="Compact"/>
            </w:pPr>
            <w:r>
              <w:t xml:space="preserve">—</w:t>
            </w:r>
          </w:p>
        </w:tc>
        <w:tc>
          <w:tcPr/>
          <w:p>
            <w:pPr>
              <w:pStyle w:val="Compact"/>
            </w:pPr>
            <w:r>
              <w:t xml:space="preserve">—</w:t>
            </w:r>
          </w:p>
        </w:tc>
      </w:tr>
    </w:tbl>
    <w:p>
      <w:pPr>
        <w:pStyle w:val="BodyText"/>
      </w:pPr>
      <w:r>
        <w:rPr>
          <w:b/>
          <w:bCs/>
        </w:rPr>
        <w:t xml:space="preserve">Model 2: Cohort + Diagnosis (4 labeled cohorts, Aitchison, marginal R²)</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Df</w:t>
            </w:r>
          </w:p>
        </w:tc>
        <w:tc>
          <w:tcPr/>
          <w:p>
            <w:pPr>
              <w:pStyle w:val="Compact"/>
            </w:pPr>
            <w:r>
              <w:t xml:space="preserve">Sum of Squares</w:t>
            </w:r>
          </w:p>
        </w:tc>
        <w:tc>
          <w:tcPr/>
          <w:p>
            <w:pPr>
              <w:pStyle w:val="Compact"/>
            </w:pPr>
            <w:r>
              <w:t xml:space="preserve">R² (marginal)</w:t>
            </w:r>
          </w:p>
        </w:tc>
        <w:tc>
          <w:tcPr/>
          <w:p>
            <w:pPr>
              <w:pStyle w:val="Compact"/>
            </w:pPr>
            <w:r>
              <w:t xml:space="preserve">F</w:t>
            </w:r>
          </w:p>
        </w:tc>
        <w:tc>
          <w:tcPr/>
          <w:p>
            <w:pPr>
              <w:pStyle w:val="Compact"/>
            </w:pPr>
            <w:r>
              <w:t xml:space="preserve">p-value</w:t>
            </w:r>
          </w:p>
        </w:tc>
      </w:tr>
      <w:tr>
        <w:tc>
          <w:tcPr/>
          <w:p>
            <w:pPr>
              <w:pStyle w:val="Compact"/>
            </w:pPr>
            <w:r>
              <w:t xml:space="preserve">Cohort</w:t>
            </w:r>
          </w:p>
        </w:tc>
        <w:tc>
          <w:tcPr/>
          <w:p>
            <w:pPr>
              <w:pStyle w:val="Compact"/>
            </w:pPr>
            <w:r>
              <w:t xml:space="preserve">3</w:t>
            </w:r>
          </w:p>
        </w:tc>
        <w:tc>
          <w:tcPr/>
          <w:p>
            <w:pPr>
              <w:pStyle w:val="Compact"/>
            </w:pPr>
            <w:r>
              <w:t xml:space="preserve">45,476.8</w:t>
            </w:r>
          </w:p>
        </w:tc>
        <w:tc>
          <w:tcPr/>
          <w:p>
            <w:pPr>
              <w:pStyle w:val="Compact"/>
            </w:pPr>
            <w:r>
              <w:t xml:space="preserve">0.172</w:t>
            </w:r>
          </w:p>
        </w:tc>
        <w:tc>
          <w:tcPr/>
          <w:p>
            <w:pPr>
              <w:pStyle w:val="Compact"/>
            </w:pPr>
            <w:r>
              <w:t xml:space="preserve">28.03</w:t>
            </w:r>
          </w:p>
        </w:tc>
        <w:tc>
          <w:tcPr/>
          <w:p>
            <w:pPr>
              <w:pStyle w:val="Compact"/>
            </w:pPr>
            <w:r>
              <w:t xml:space="preserve">0.0001</w:t>
            </w:r>
          </w:p>
        </w:tc>
      </w:tr>
      <w:tr>
        <w:tc>
          <w:tcPr/>
          <w:p>
            <w:pPr>
              <w:pStyle w:val="Compact"/>
            </w:pPr>
            <w:r>
              <w:t xml:space="preserve">Diagnosis</w:t>
            </w:r>
          </w:p>
        </w:tc>
        <w:tc>
          <w:tcPr/>
          <w:p>
            <w:pPr>
              <w:pStyle w:val="Compact"/>
            </w:pPr>
            <w:r>
              <w:t xml:space="preserve">1</w:t>
            </w:r>
          </w:p>
        </w:tc>
        <w:tc>
          <w:tcPr/>
          <w:p>
            <w:pPr>
              <w:pStyle w:val="Compact"/>
            </w:pPr>
            <w:r>
              <w:t xml:space="preserve">3,689.7</w:t>
            </w:r>
          </w:p>
        </w:tc>
        <w:tc>
          <w:tcPr/>
          <w:p>
            <w:pPr>
              <w:pStyle w:val="Compact"/>
            </w:pPr>
            <w:r>
              <w:t xml:space="preserve">0.014</w:t>
            </w:r>
          </w:p>
        </w:tc>
        <w:tc>
          <w:tcPr/>
          <w:p>
            <w:pPr>
              <w:pStyle w:val="Compact"/>
            </w:pPr>
            <w:r>
              <w:t xml:space="preserve">6.82</w:t>
            </w:r>
          </w:p>
        </w:tc>
        <w:tc>
          <w:tcPr/>
          <w:p>
            <w:pPr>
              <w:pStyle w:val="Compact"/>
            </w:pPr>
            <w:r>
              <w:t xml:space="preserve">0.0001</w:t>
            </w:r>
          </w:p>
        </w:tc>
      </w:tr>
    </w:tbl>
    <w:p>
      <w:pPr>
        <w:pStyle w:val="BodyText"/>
      </w:pPr>
      <w:r>
        <w:t xml:space="preserve">Note: Marginal R² values for cohort and diagnosis do not sum to total R² because marginal effects are estimated independently (Type III SS), adjusting for the other variable. The sum of marginal R² values underestimates total explained variance.</w:t>
      </w:r>
      <w:r>
        <w:t xml:space="preserve"> </w:t>
      </w:r>
      <w:r>
        <w:t xml:space="preserve">“Cohort”</w:t>
      </w:r>
      <w:r>
        <w:t xml:space="preserve"> </w:t>
      </w:r>
      <w:r>
        <w:t xml:space="preserve">here is a composite study-of-origin variable (platform, library prep, recruitment site, diagnostic ascertainment, diet, and other unmeasured differences bundled together); this model does not, and cannot, decompose the cohort term into technical versus biological components (Section 2.6). See Table S11 for a sensitivity analysis showing this cohort-vs-diagnosis disparity is highly sensitive to which cohorts are included.</w:t>
      </w:r>
    </w:p>
    <w:p>
      <w:pPr>
        <w:pStyle w:val="BodyText"/>
      </w:pPr>
      <w:r>
        <w:rPr>
          <w:b/>
          <w:bCs/>
        </w:rPr>
        <w:t xml:space="preserve">Model 3: Within-cohort Diagnosis effects (Aitchison distance)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Term</w:t>
            </w:r>
          </w:p>
        </w:tc>
        <w:tc>
          <w:tcPr/>
          <w:p>
            <w:pPr>
              <w:pStyle w:val="Compact"/>
            </w:pPr>
            <w:r>
              <w:t xml:space="preserve">Df</w:t>
            </w:r>
          </w:p>
        </w:tc>
        <w:tc>
          <w:tcPr/>
          <w:p>
            <w:pPr>
              <w:pStyle w:val="Compact"/>
            </w:pPr>
            <w:r>
              <w:t xml:space="preserve">R²</w:t>
            </w:r>
          </w:p>
        </w:tc>
        <w:tc>
          <w:tcPr/>
          <w:p>
            <w:pPr>
              <w:pStyle w:val="Compact"/>
            </w:pPr>
            <w:r>
              <w:t xml:space="preserve">F</w:t>
            </w:r>
          </w:p>
        </w:tc>
        <w:tc>
          <w:tcPr/>
          <w:p>
            <w:pPr>
              <w:pStyle w:val="Compact"/>
            </w:pPr>
            <w:r>
              <w:t xml:space="preserve">p-value</w:t>
            </w:r>
          </w:p>
        </w:tc>
      </w:tr>
      <w:tr>
        <w:tc>
          <w:tcPr/>
          <w:p>
            <w:pPr>
              <w:pStyle w:val="Compact"/>
            </w:pPr>
            <w:r>
              <w:t xml:space="preserve">Zhuang 2018</w:t>
            </w:r>
          </w:p>
        </w:tc>
        <w:tc>
          <w:tcPr/>
          <w:p>
            <w:pPr>
              <w:pStyle w:val="Compact"/>
            </w:pPr>
            <w:r>
              <w:t xml:space="preserve">Diagnosis</w:t>
            </w:r>
          </w:p>
        </w:tc>
        <w:tc>
          <w:tcPr/>
          <w:p>
            <w:pPr>
              <w:pStyle w:val="Compact"/>
            </w:pPr>
            <w:r>
              <w:t xml:space="preserve">1</w:t>
            </w:r>
          </w:p>
        </w:tc>
        <w:tc>
          <w:tcPr/>
          <w:p>
            <w:pPr>
              <w:pStyle w:val="Compact"/>
            </w:pPr>
            <w:r>
              <w:t xml:space="preserve">0.017</w:t>
            </w:r>
          </w:p>
        </w:tc>
        <w:tc>
          <w:tcPr/>
          <w:p>
            <w:pPr>
              <w:pStyle w:val="Compact"/>
            </w:pPr>
            <w:r>
              <w:t xml:space="preserve">1.47</w:t>
            </w:r>
          </w:p>
        </w:tc>
        <w:tc>
          <w:tcPr/>
          <w:p>
            <w:pPr>
              <w:pStyle w:val="Compact"/>
            </w:pPr>
            <w:r>
              <w:t xml:space="preserve">0.066</w:t>
            </w:r>
          </w:p>
        </w:tc>
      </w:tr>
      <w:tr>
        <w:tc>
          <w:tcPr/>
          <w:p>
            <w:pPr>
              <w:pStyle w:val="Compact"/>
            </w:pPr>
            <w:r>
              <w:t xml:space="preserve">Ling 2020</w:t>
            </w:r>
          </w:p>
        </w:tc>
        <w:tc>
          <w:tcPr/>
          <w:p>
            <w:pPr>
              <w:pStyle w:val="Compact"/>
            </w:pPr>
            <w:r>
              <w:t xml:space="preserve">Diagnosis</w:t>
            </w:r>
          </w:p>
        </w:tc>
        <w:tc>
          <w:tcPr/>
          <w:p>
            <w:pPr>
              <w:pStyle w:val="Compact"/>
            </w:pPr>
            <w:r>
              <w:t xml:space="preserve">1</w:t>
            </w:r>
          </w:p>
        </w:tc>
        <w:tc>
          <w:tcPr/>
          <w:p>
            <w:pPr>
              <w:pStyle w:val="Compact"/>
            </w:pPr>
            <w:r>
              <w:t xml:space="preserve">0.053</w:t>
            </w:r>
          </w:p>
        </w:tc>
        <w:tc>
          <w:tcPr/>
          <w:p>
            <w:pPr>
              <w:pStyle w:val="Compact"/>
            </w:pPr>
            <w:r>
              <w:t xml:space="preserve">9.53</w:t>
            </w:r>
          </w:p>
        </w:tc>
        <w:tc>
          <w:tcPr/>
          <w:p>
            <w:pPr>
              <w:pStyle w:val="Compact"/>
            </w:pPr>
            <w:r>
              <w:t xml:space="preserve">0.0001</w:t>
            </w:r>
          </w:p>
        </w:tc>
      </w:tr>
      <w:tr>
        <w:tc>
          <w:tcPr/>
          <w:p>
            <w:pPr>
              <w:pStyle w:val="Compact"/>
            </w:pPr>
            <w:r>
              <w:t xml:space="preserve">Zhu 2022</w:t>
            </w:r>
          </w:p>
        </w:tc>
        <w:tc>
          <w:tcPr/>
          <w:p>
            <w:pPr>
              <w:pStyle w:val="Compact"/>
            </w:pPr>
            <w:r>
              <w:t xml:space="preserve">Diagnosis</w:t>
            </w:r>
          </w:p>
        </w:tc>
        <w:tc>
          <w:tcPr/>
          <w:p>
            <w:pPr>
              <w:pStyle w:val="Compact"/>
            </w:pPr>
            <w:r>
              <w:t xml:space="preserve">1</w:t>
            </w:r>
          </w:p>
        </w:tc>
        <w:tc>
          <w:tcPr/>
          <w:p>
            <w:pPr>
              <w:pStyle w:val="Compact"/>
            </w:pPr>
            <w:r>
              <w:t xml:space="preserve">0.094</w:t>
            </w:r>
          </w:p>
        </w:tc>
        <w:tc>
          <w:tcPr/>
          <w:p>
            <w:pPr>
              <w:pStyle w:val="Compact"/>
            </w:pPr>
            <w:r>
              <w:t xml:space="preserve">6.01</w:t>
            </w:r>
          </w:p>
        </w:tc>
        <w:tc>
          <w:tcPr/>
          <w:p>
            <w:pPr>
              <w:pStyle w:val="Compact"/>
            </w:pPr>
            <w:r>
              <w:t xml:space="preserve">0.0001</w:t>
            </w:r>
          </w:p>
        </w:tc>
      </w:tr>
      <w:tr>
        <w:tc>
          <w:tcPr/>
          <w:p>
            <w:pPr>
              <w:pStyle w:val="Compact"/>
            </w:pPr>
            <w:r>
              <w:t xml:space="preserve">Kazakhstan</w:t>
            </w:r>
          </w:p>
        </w:tc>
        <w:tc>
          <w:tcPr/>
          <w:p>
            <w:pPr>
              <w:pStyle w:val="Compact"/>
            </w:pPr>
            <w:r>
              <w:t xml:space="preserve">Diagnosis</w:t>
            </w:r>
          </w:p>
        </w:tc>
        <w:tc>
          <w:tcPr/>
          <w:p>
            <w:pPr>
              <w:pStyle w:val="Compact"/>
            </w:pPr>
            <w:r>
              <w:t xml:space="preserve">1</w:t>
            </w:r>
          </w:p>
        </w:tc>
        <w:tc>
          <w:tcPr/>
          <w:p>
            <w:pPr>
              <w:pStyle w:val="Compact"/>
            </w:pPr>
            <w:r>
              <w:t xml:space="preserve">0.022</w:t>
            </w:r>
          </w:p>
        </w:tc>
        <w:tc>
          <w:tcPr/>
          <w:p>
            <w:pPr>
              <w:pStyle w:val="Compact"/>
            </w:pPr>
            <w:r>
              <w:t xml:space="preserve">1.83</w:t>
            </w:r>
          </w:p>
        </w:tc>
        <w:tc>
          <w:tcPr/>
          <w:p>
            <w:pPr>
              <w:pStyle w:val="Compact"/>
            </w:pPr>
            <w:r>
              <w:t xml:space="preserve">0.069</w:t>
            </w:r>
          </w:p>
        </w:tc>
      </w:tr>
    </w:tbl>
    <w:p>
      <w:pPr>
        <w:pStyle w:val="BodyText"/>
      </w:pPr>
      <w:r>
        <w:t xml:space="preserve">Zhu 2022 analysis restricted to fecal samples only (n=60 binary: 30 AD + 30 CN). Blood microbiome samples excluded prior to all analyses. Zhuang 2018 (p=0.066) and Kazakhstan (p=0.069) did not reach α=0.05 significance for within-cohort diagnosis effect.</w:t>
      </w:r>
    </w:p>
    <w:p>
      <w:pPr>
        <w:pStyle w:val="BodyText"/>
      </w:pPr>
      <w:r>
        <w:rPr>
          <w:b/>
          <w:bCs/>
        </w:rPr>
        <w:t xml:space="preserve">Beta-Dispersion Test (Aitchison distance, all 5 cohorts)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F-statistic</w:t>
            </w:r>
          </w:p>
        </w:tc>
        <w:tc>
          <w:tcPr/>
          <w:p>
            <w:pPr>
              <w:pStyle w:val="Compact"/>
            </w:pPr>
            <w:r>
              <w:t xml:space="preserve">13.93</w:t>
            </w:r>
          </w:p>
        </w:tc>
      </w:tr>
      <w:tr>
        <w:tc>
          <w:tcPr/>
          <w:p>
            <w:pPr>
              <w:pStyle w:val="Compact"/>
            </w:pPr>
            <w:r>
              <w:t xml:space="preserve">Numerator df</w:t>
            </w:r>
          </w:p>
        </w:tc>
        <w:tc>
          <w:tcPr/>
          <w:p>
            <w:pPr>
              <w:pStyle w:val="Compact"/>
            </w:pPr>
            <w:r>
              <w:t xml:space="preserve">4</w:t>
            </w:r>
          </w:p>
        </w:tc>
      </w:tr>
      <w:tr>
        <w:tc>
          <w:tcPr/>
          <w:p>
            <w:pPr>
              <w:pStyle w:val="Compact"/>
            </w:pPr>
            <w:r>
              <w:t xml:space="preserve">Denominator df</w:t>
            </w:r>
          </w:p>
        </w:tc>
        <w:tc>
          <w:tcPr/>
          <w:p>
            <w:pPr>
              <w:pStyle w:val="Compact"/>
            </w:pPr>
            <w:r>
              <w:t xml:space="preserve">504</w:t>
            </w:r>
          </w:p>
        </w:tc>
      </w:tr>
      <w:tr>
        <w:tc>
          <w:tcPr/>
          <w:p>
            <w:pPr>
              <w:pStyle w:val="Compact"/>
            </w:pPr>
            <w:r>
              <w:t xml:space="preserve">p-value (permutation, 9,999 perms)</w:t>
            </w:r>
          </w:p>
        </w:tc>
        <w:tc>
          <w:tcPr/>
          <w:p>
            <w:pPr>
              <w:pStyle w:val="Compact"/>
            </w:pPr>
            <w:r>
              <w:t xml:space="preserve">0.0001</w:t>
            </w:r>
          </w:p>
        </w:tc>
      </w:tr>
      <w:tr>
        <w:tc>
          <w:tcPr/>
          <w:p>
            <w:pPr>
              <w:pStyle w:val="Compact"/>
            </w:pPr>
            <w:r>
              <w:t xml:space="preserve">Interpretation</w:t>
            </w:r>
          </w:p>
        </w:tc>
        <w:tc>
          <w:tcPr/>
          <w:p>
            <w:pPr>
              <w:pStyle w:val="Compact"/>
            </w:pPr>
            <w:r>
              <w:t xml:space="preserve">Within-cohort dispersions differ significantly; PERMANOVA R² reflects both centroid shift and spread heterogeneity</w:t>
            </w:r>
          </w:p>
        </w:tc>
      </w:tr>
    </w:tbl>
    <w:p>
      <w:r>
        <w:pict>
          <v:rect style="width:0;height:1.5pt" o:hralign="center" o:hrstd="t" o:hr="t"/>
        </w:pict>
      </w:r>
    </w:p>
    <w:bookmarkEnd w:id="11"/>
    <w:bookmarkStart w:id="12" w:name="Xda60cb2a01f97194512e3d532379985ea78d0d6"/>
    <w:p>
      <w:pPr>
        <w:pStyle w:val="Heading3"/>
      </w:pPr>
      <w:r>
        <w:t xml:space="preserve">Table S4. Training-Only Feature-Selection Sensitivity</w:t>
      </w:r>
    </w:p>
    <w:p>
      <w:pPr>
        <w:pStyle w:val="FirstParagraph"/>
      </w:pPr>
      <w:r>
        <w:t xml:space="preserve">Genus retention (≥20% prevalence) re-derived independently within every split, using only that split’s training-side samples (Section 2.5.1), compared against the main analysis’s global (all-five-cohort) feature selection.</w:t>
      </w:r>
    </w:p>
    <w:p>
      <w:pPr>
        <w:pStyle w:val="BodyText"/>
      </w:pPr>
      <w:r>
        <w:rPr>
          <w:b/>
          <w:bCs/>
        </w:rPr>
        <w:t xml:space="preserve">LOCO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Cohort</w:t>
            </w:r>
          </w:p>
        </w:tc>
        <w:tc>
          <w:tcPr/>
          <w:p>
            <w:pPr>
              <w:pStyle w:val="Compact"/>
            </w:pPr>
            <w:r>
              <w:t xml:space="preserve">Model</w:t>
            </w:r>
          </w:p>
        </w:tc>
        <w:tc>
          <w:tcPr/>
          <w:p>
            <w:pPr>
              <w:pStyle w:val="Compact"/>
            </w:pPr>
            <w:r>
              <w:t xml:space="preserve">Original (Global-Feature) LOCO AUC</w:t>
            </w:r>
          </w:p>
        </w:tc>
        <w:tc>
          <w:tcPr/>
          <w:p>
            <w:pPr>
              <w:pStyle w:val="Compact"/>
            </w:pPr>
            <w:r>
              <w:t xml:space="preserve">Training-Only LOCO AUC</w:t>
            </w:r>
          </w:p>
        </w:tc>
        <w:tc>
          <w:tcPr/>
          <w:p>
            <w:pPr>
              <w:pStyle w:val="Compact"/>
            </w:pPr>
            <w:r>
              <w:t xml:space="preserve">Δ</w:t>
            </w:r>
          </w:p>
        </w:tc>
        <w:tc>
          <w:tcPr/>
          <w:p>
            <w:pPr>
              <w:pStyle w:val="Compact"/>
            </w:pPr>
            <w:r>
              <w:t xml:space="preserve">N Retained Genera (Training-Only)</w:t>
            </w:r>
          </w:p>
        </w:tc>
      </w:tr>
      <w:tr>
        <w:tc>
          <w:tcPr/>
          <w:p>
            <w:pPr>
              <w:pStyle w:val="Compact"/>
            </w:pPr>
            <w:r>
              <w:t xml:space="preserve">Zhuang 2018</w:t>
            </w:r>
          </w:p>
        </w:tc>
        <w:tc>
          <w:tcPr/>
          <w:p>
            <w:pPr>
              <w:pStyle w:val="Compact"/>
            </w:pPr>
            <w:r>
              <w:t xml:space="preserve">LogReg</w:t>
            </w:r>
          </w:p>
        </w:tc>
        <w:tc>
          <w:tcPr/>
          <w:p>
            <w:pPr>
              <w:pStyle w:val="Compact"/>
            </w:pPr>
            <w:r>
              <w:t xml:space="preserve">0.5041</w:t>
            </w:r>
          </w:p>
        </w:tc>
        <w:tc>
          <w:tcPr/>
          <w:p>
            <w:pPr>
              <w:pStyle w:val="Compact"/>
            </w:pPr>
            <w:r>
              <w:t xml:space="preserve">0.5057</w:t>
            </w:r>
          </w:p>
        </w:tc>
        <w:tc>
          <w:tcPr/>
          <w:p>
            <w:pPr>
              <w:pStyle w:val="Compact"/>
            </w:pPr>
            <w:r>
              <w:t xml:space="preserve">+0.0016</w:t>
            </w:r>
          </w:p>
        </w:tc>
        <w:tc>
          <w:tcPr/>
          <w:p>
            <w:pPr>
              <w:pStyle w:val="Compact"/>
            </w:pPr>
            <w:r>
              <w:t xml:space="preserve">370</w:t>
            </w:r>
          </w:p>
        </w:tc>
      </w:tr>
      <w:tr>
        <w:tc>
          <w:tcPr/>
          <w:p>
            <w:pPr>
              <w:pStyle w:val="Compact"/>
            </w:pPr>
            <w:r>
              <w:t xml:space="preserve">Zhuang 2018</w:t>
            </w:r>
          </w:p>
        </w:tc>
        <w:tc>
          <w:tcPr/>
          <w:p>
            <w:pPr>
              <w:pStyle w:val="Compact"/>
            </w:pPr>
            <w:r>
              <w:t xml:space="preserve">LGBM</w:t>
            </w:r>
          </w:p>
        </w:tc>
        <w:tc>
          <w:tcPr/>
          <w:p>
            <w:pPr>
              <w:pStyle w:val="Compact"/>
            </w:pPr>
            <w:r>
              <w:t xml:space="preserve">0.5646</w:t>
            </w:r>
          </w:p>
        </w:tc>
        <w:tc>
          <w:tcPr/>
          <w:p>
            <w:pPr>
              <w:pStyle w:val="Compact"/>
            </w:pPr>
            <w:r>
              <w:t xml:space="preserve">0.5960</w:t>
            </w:r>
          </w:p>
        </w:tc>
        <w:tc>
          <w:tcPr/>
          <w:p>
            <w:pPr>
              <w:pStyle w:val="Compact"/>
            </w:pPr>
            <w:r>
              <w:t xml:space="preserve">+0.0314</w:t>
            </w:r>
          </w:p>
        </w:tc>
        <w:tc>
          <w:tcPr/>
          <w:p>
            <w:pPr>
              <w:pStyle w:val="Compact"/>
            </w:pPr>
            <w:r>
              <w:t xml:space="preserve">370</w:t>
            </w:r>
          </w:p>
        </w:tc>
      </w:tr>
      <w:tr>
        <w:tc>
          <w:tcPr/>
          <w:p>
            <w:pPr>
              <w:pStyle w:val="Compact"/>
            </w:pPr>
            <w:r>
              <w:t xml:space="preserve">Ling 2020</w:t>
            </w:r>
          </w:p>
        </w:tc>
        <w:tc>
          <w:tcPr/>
          <w:p>
            <w:pPr>
              <w:pStyle w:val="Compact"/>
            </w:pPr>
            <w:r>
              <w:t xml:space="preserve">LogReg</w:t>
            </w:r>
          </w:p>
        </w:tc>
        <w:tc>
          <w:tcPr/>
          <w:p>
            <w:pPr>
              <w:pStyle w:val="Compact"/>
            </w:pPr>
            <w:r>
              <w:t xml:space="preserve">0.6775</w:t>
            </w:r>
          </w:p>
        </w:tc>
        <w:tc>
          <w:tcPr/>
          <w:p>
            <w:pPr>
              <w:pStyle w:val="Compact"/>
            </w:pPr>
            <w:r>
              <w:t xml:space="preserve">0.6794</w:t>
            </w:r>
          </w:p>
        </w:tc>
        <w:tc>
          <w:tcPr/>
          <w:p>
            <w:pPr>
              <w:pStyle w:val="Compact"/>
            </w:pPr>
            <w:r>
              <w:t xml:space="preserve">+0.0019</w:t>
            </w:r>
          </w:p>
        </w:tc>
        <w:tc>
          <w:tcPr/>
          <w:p>
            <w:pPr>
              <w:pStyle w:val="Compact"/>
            </w:pPr>
            <w:r>
              <w:t xml:space="preserve">370</w:t>
            </w:r>
          </w:p>
        </w:tc>
      </w:tr>
      <w:tr>
        <w:tc>
          <w:tcPr/>
          <w:p>
            <w:pPr>
              <w:pStyle w:val="Compact"/>
            </w:pPr>
            <w:r>
              <w:t xml:space="preserve">Ling 2020</w:t>
            </w:r>
          </w:p>
        </w:tc>
        <w:tc>
          <w:tcPr/>
          <w:p>
            <w:pPr>
              <w:pStyle w:val="Compact"/>
            </w:pPr>
            <w:r>
              <w:t xml:space="preserve">LGBM</w:t>
            </w:r>
          </w:p>
        </w:tc>
        <w:tc>
          <w:tcPr/>
          <w:p>
            <w:pPr>
              <w:pStyle w:val="Compact"/>
            </w:pPr>
            <w:r>
              <w:t xml:space="preserve">0.6735</w:t>
            </w:r>
          </w:p>
        </w:tc>
        <w:tc>
          <w:tcPr/>
          <w:p>
            <w:pPr>
              <w:pStyle w:val="Compact"/>
            </w:pPr>
            <w:r>
              <w:t xml:space="preserve">0.6534</w:t>
            </w:r>
          </w:p>
        </w:tc>
        <w:tc>
          <w:tcPr/>
          <w:p>
            <w:pPr>
              <w:pStyle w:val="Compact"/>
            </w:pPr>
            <w:r>
              <w:t xml:space="preserve">−0.0201</w:t>
            </w:r>
          </w:p>
        </w:tc>
        <w:tc>
          <w:tcPr/>
          <w:p>
            <w:pPr>
              <w:pStyle w:val="Compact"/>
            </w:pPr>
            <w:r>
              <w:t xml:space="preserve">370</w:t>
            </w:r>
          </w:p>
        </w:tc>
      </w:tr>
      <w:tr>
        <w:tc>
          <w:tcPr/>
          <w:p>
            <w:pPr>
              <w:pStyle w:val="Compact"/>
            </w:pPr>
            <w:r>
              <w:t xml:space="preserve">Zhu 2022</w:t>
            </w:r>
          </w:p>
        </w:tc>
        <w:tc>
          <w:tcPr/>
          <w:p>
            <w:pPr>
              <w:pStyle w:val="Compact"/>
            </w:pPr>
            <w:r>
              <w:t xml:space="preserve">LogReg</w:t>
            </w:r>
          </w:p>
        </w:tc>
        <w:tc>
          <w:tcPr/>
          <w:p>
            <w:pPr>
              <w:pStyle w:val="Compact"/>
            </w:pPr>
            <w:r>
              <w:t xml:space="preserve">0.8133</w:t>
            </w:r>
          </w:p>
        </w:tc>
        <w:tc>
          <w:tcPr/>
          <w:p>
            <w:pPr>
              <w:pStyle w:val="Compact"/>
            </w:pPr>
            <w:r>
              <w:t xml:space="preserve">0.8122</w:t>
            </w:r>
          </w:p>
        </w:tc>
        <w:tc>
          <w:tcPr/>
          <w:p>
            <w:pPr>
              <w:pStyle w:val="Compact"/>
            </w:pPr>
            <w:r>
              <w:t xml:space="preserve">−0.0011</w:t>
            </w:r>
          </w:p>
        </w:tc>
        <w:tc>
          <w:tcPr/>
          <w:p>
            <w:pPr>
              <w:pStyle w:val="Compact"/>
            </w:pPr>
            <w:r>
              <w:t xml:space="preserve">373</w:t>
            </w:r>
          </w:p>
        </w:tc>
      </w:tr>
      <w:tr>
        <w:tc>
          <w:tcPr/>
          <w:p>
            <w:pPr>
              <w:pStyle w:val="Compact"/>
            </w:pPr>
            <w:r>
              <w:t xml:space="preserve">Zhu 2022</w:t>
            </w:r>
          </w:p>
        </w:tc>
        <w:tc>
          <w:tcPr/>
          <w:p>
            <w:pPr>
              <w:pStyle w:val="Compact"/>
            </w:pPr>
            <w:r>
              <w:t xml:space="preserve">LGBM</w:t>
            </w:r>
          </w:p>
        </w:tc>
        <w:tc>
          <w:tcPr/>
          <w:p>
            <w:pPr>
              <w:pStyle w:val="Compact"/>
            </w:pPr>
            <w:r>
              <w:t xml:space="preserve">0.7578</w:t>
            </w:r>
          </w:p>
        </w:tc>
        <w:tc>
          <w:tcPr/>
          <w:p>
            <w:pPr>
              <w:pStyle w:val="Compact"/>
            </w:pPr>
            <w:r>
              <w:t xml:space="preserve">0.7878</w:t>
            </w:r>
          </w:p>
        </w:tc>
        <w:tc>
          <w:tcPr/>
          <w:p>
            <w:pPr>
              <w:pStyle w:val="Compact"/>
            </w:pPr>
            <w:r>
              <w:t xml:space="preserve">+0.0300</w:t>
            </w:r>
          </w:p>
        </w:tc>
        <w:tc>
          <w:tcPr/>
          <w:p>
            <w:pPr>
              <w:pStyle w:val="Compact"/>
            </w:pPr>
            <w:r>
              <w:t xml:space="preserve">373</w:t>
            </w:r>
          </w:p>
        </w:tc>
      </w:tr>
      <w:tr>
        <w:tc>
          <w:tcPr/>
          <w:p>
            <w:pPr>
              <w:pStyle w:val="Compact"/>
            </w:pPr>
            <w:r>
              <w:t xml:space="preserve">Kazakhstan</w:t>
            </w:r>
          </w:p>
        </w:tc>
        <w:tc>
          <w:tcPr/>
          <w:p>
            <w:pPr>
              <w:pStyle w:val="Compact"/>
            </w:pPr>
            <w:r>
              <w:t xml:space="preserve">LogReg</w:t>
            </w:r>
          </w:p>
        </w:tc>
        <w:tc>
          <w:tcPr/>
          <w:p>
            <w:pPr>
              <w:pStyle w:val="Compact"/>
            </w:pPr>
            <w:r>
              <w:t xml:space="preserve">0.5644</w:t>
            </w:r>
          </w:p>
        </w:tc>
        <w:tc>
          <w:tcPr/>
          <w:p>
            <w:pPr>
              <w:pStyle w:val="Compact"/>
            </w:pPr>
            <w:r>
              <w:t xml:space="preserve">0.6092</w:t>
            </w:r>
          </w:p>
        </w:tc>
        <w:tc>
          <w:tcPr/>
          <w:p>
            <w:pPr>
              <w:pStyle w:val="Compact"/>
            </w:pPr>
            <w:r>
              <w:t xml:space="preserve">+0.0448</w:t>
            </w:r>
          </w:p>
        </w:tc>
        <w:tc>
          <w:tcPr/>
          <w:p>
            <w:pPr>
              <w:pStyle w:val="Compact"/>
            </w:pPr>
            <w:r>
              <w:t xml:space="preserve">150</w:t>
            </w:r>
          </w:p>
        </w:tc>
      </w:tr>
      <w:tr>
        <w:tc>
          <w:tcPr/>
          <w:p>
            <w:pPr>
              <w:pStyle w:val="Compact"/>
            </w:pPr>
            <w:r>
              <w:t xml:space="preserve">Kazakhstan</w:t>
            </w:r>
          </w:p>
        </w:tc>
        <w:tc>
          <w:tcPr/>
          <w:p>
            <w:pPr>
              <w:pStyle w:val="Compact"/>
            </w:pPr>
            <w:r>
              <w:t xml:space="preserve">LGBM</w:t>
            </w:r>
          </w:p>
        </w:tc>
        <w:tc>
          <w:tcPr/>
          <w:p>
            <w:pPr>
              <w:pStyle w:val="Compact"/>
            </w:pPr>
            <w:r>
              <w:t xml:space="preserve">0.5905</w:t>
            </w:r>
          </w:p>
        </w:tc>
        <w:tc>
          <w:tcPr/>
          <w:p>
            <w:pPr>
              <w:pStyle w:val="Compact"/>
            </w:pPr>
            <w:r>
              <w:t xml:space="preserve">0.5247</w:t>
            </w:r>
          </w:p>
        </w:tc>
        <w:tc>
          <w:tcPr/>
          <w:p>
            <w:pPr>
              <w:pStyle w:val="Compact"/>
            </w:pPr>
            <w:r>
              <w:t xml:space="preserve">−0.0658</w:t>
            </w:r>
          </w:p>
        </w:tc>
        <w:tc>
          <w:tcPr/>
          <w:p>
            <w:pPr>
              <w:pStyle w:val="Compact"/>
            </w:pPr>
            <w:r>
              <w:t xml:space="preserve">150</w:t>
            </w:r>
          </w:p>
        </w:tc>
      </w:tr>
    </w:tbl>
    <w:p>
      <w:pPr>
        <w:pStyle w:val="BodyText"/>
      </w:pPr>
      <w:r>
        <w:rPr>
          <w:b/>
          <w:bCs/>
        </w:rPr>
        <w:t xml:space="preserve">Within-cohort nested CV</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Cohort</w:t>
            </w:r>
          </w:p>
        </w:tc>
        <w:tc>
          <w:tcPr/>
          <w:p>
            <w:pPr>
              <w:pStyle w:val="Compact"/>
            </w:pPr>
            <w:r>
              <w:t xml:space="preserve">Model</w:t>
            </w:r>
          </w:p>
        </w:tc>
        <w:tc>
          <w:tcPr/>
          <w:p>
            <w:pPr>
              <w:pStyle w:val="Compact"/>
            </w:pPr>
            <w:r>
              <w:t xml:space="preserve">Original (Global-Feature) AUC</w:t>
            </w:r>
          </w:p>
        </w:tc>
        <w:tc>
          <w:tcPr/>
          <w:p>
            <w:pPr>
              <w:pStyle w:val="Compact"/>
            </w:pPr>
            <w:r>
              <w:t xml:space="preserve">Training-Only AUC</w:t>
            </w:r>
          </w:p>
        </w:tc>
        <w:tc>
          <w:tcPr/>
          <w:p>
            <w:pPr>
              <w:pStyle w:val="Compact"/>
            </w:pPr>
            <w:r>
              <w:t xml:space="preserve">Δ</w:t>
            </w:r>
          </w:p>
        </w:tc>
      </w:tr>
      <w:tr>
        <w:tc>
          <w:tcPr/>
          <w:p>
            <w:pPr>
              <w:pStyle w:val="Compact"/>
            </w:pPr>
            <w:r>
              <w:t xml:space="preserve">Zhuang 2018</w:t>
            </w:r>
          </w:p>
        </w:tc>
        <w:tc>
          <w:tcPr/>
          <w:p>
            <w:pPr>
              <w:pStyle w:val="Compact"/>
            </w:pPr>
            <w:r>
              <w:t xml:space="preserve">LogReg</w:t>
            </w:r>
          </w:p>
        </w:tc>
        <w:tc>
          <w:tcPr/>
          <w:p>
            <w:pPr>
              <w:pStyle w:val="Compact"/>
            </w:pPr>
            <w:r>
              <w:t xml:space="preserve">0.6333</w:t>
            </w:r>
          </w:p>
        </w:tc>
        <w:tc>
          <w:tcPr/>
          <w:p>
            <w:pPr>
              <w:pStyle w:val="Compact"/>
            </w:pPr>
            <w:r>
              <w:t xml:space="preserve">0.6647</w:t>
            </w:r>
          </w:p>
        </w:tc>
        <w:tc>
          <w:tcPr/>
          <w:p>
            <w:pPr>
              <w:pStyle w:val="Compact"/>
            </w:pPr>
            <w:r>
              <w:t xml:space="preserve">+0.0314</w:t>
            </w:r>
          </w:p>
        </w:tc>
      </w:tr>
      <w:tr>
        <w:tc>
          <w:tcPr/>
          <w:p>
            <w:pPr>
              <w:pStyle w:val="Compact"/>
            </w:pPr>
            <w:r>
              <w:t xml:space="preserve">Zhuang 2018</w:t>
            </w:r>
          </w:p>
        </w:tc>
        <w:tc>
          <w:tcPr/>
          <w:p>
            <w:pPr>
              <w:pStyle w:val="Compact"/>
            </w:pPr>
            <w:r>
              <w:t xml:space="preserve">LGBM</w:t>
            </w:r>
          </w:p>
        </w:tc>
        <w:tc>
          <w:tcPr/>
          <w:p>
            <w:pPr>
              <w:pStyle w:val="Compact"/>
            </w:pPr>
            <w:r>
              <w:t xml:space="preserve">0.6349</w:t>
            </w:r>
          </w:p>
        </w:tc>
        <w:tc>
          <w:tcPr/>
          <w:p>
            <w:pPr>
              <w:pStyle w:val="Compact"/>
            </w:pPr>
            <w:r>
              <w:t xml:space="preserve">0.6733</w:t>
            </w:r>
          </w:p>
        </w:tc>
        <w:tc>
          <w:tcPr/>
          <w:p>
            <w:pPr>
              <w:pStyle w:val="Compact"/>
            </w:pPr>
            <w:r>
              <w:t xml:space="preserve">+0.0384</w:t>
            </w:r>
          </w:p>
        </w:tc>
      </w:tr>
      <w:tr>
        <w:tc>
          <w:tcPr/>
          <w:p>
            <w:pPr>
              <w:pStyle w:val="Compact"/>
            </w:pPr>
            <w:r>
              <w:t xml:space="preserve">Ling 2020</w:t>
            </w:r>
          </w:p>
        </w:tc>
        <w:tc>
          <w:tcPr/>
          <w:p>
            <w:pPr>
              <w:pStyle w:val="Compact"/>
            </w:pPr>
            <w:r>
              <w:t xml:space="preserve">LogReg</w:t>
            </w:r>
          </w:p>
        </w:tc>
        <w:tc>
          <w:tcPr/>
          <w:p>
            <w:pPr>
              <w:pStyle w:val="Compact"/>
            </w:pPr>
            <w:r>
              <w:t xml:space="preserve">0.8648</w:t>
            </w:r>
          </w:p>
        </w:tc>
        <w:tc>
          <w:tcPr/>
          <w:p>
            <w:pPr>
              <w:pStyle w:val="Compact"/>
            </w:pPr>
            <w:r>
              <w:t xml:space="preserve">0.8896</w:t>
            </w:r>
          </w:p>
        </w:tc>
        <w:tc>
          <w:tcPr/>
          <w:p>
            <w:pPr>
              <w:pStyle w:val="Compact"/>
            </w:pPr>
            <w:r>
              <w:t xml:space="preserve">+0.0248</w:t>
            </w:r>
          </w:p>
        </w:tc>
      </w:tr>
      <w:tr>
        <w:tc>
          <w:tcPr/>
          <w:p>
            <w:pPr>
              <w:pStyle w:val="Compact"/>
            </w:pPr>
            <w:r>
              <w:t xml:space="preserve">Ling 2020</w:t>
            </w:r>
          </w:p>
        </w:tc>
        <w:tc>
          <w:tcPr/>
          <w:p>
            <w:pPr>
              <w:pStyle w:val="Compact"/>
            </w:pPr>
            <w:r>
              <w:t xml:space="preserve">LGBM</w:t>
            </w:r>
          </w:p>
        </w:tc>
        <w:tc>
          <w:tcPr/>
          <w:p>
            <w:pPr>
              <w:pStyle w:val="Compact"/>
            </w:pPr>
            <w:r>
              <w:t xml:space="preserve">0.8618</w:t>
            </w:r>
          </w:p>
        </w:tc>
        <w:tc>
          <w:tcPr/>
          <w:p>
            <w:pPr>
              <w:pStyle w:val="Compact"/>
            </w:pPr>
            <w:r>
              <w:t xml:space="preserve">0.8415</w:t>
            </w:r>
          </w:p>
        </w:tc>
        <w:tc>
          <w:tcPr/>
          <w:p>
            <w:pPr>
              <w:pStyle w:val="Compact"/>
            </w:pPr>
            <w:r>
              <w:t xml:space="preserve">−0.0203</w:t>
            </w:r>
          </w:p>
        </w:tc>
      </w:tr>
      <w:tr>
        <w:tc>
          <w:tcPr/>
          <w:p>
            <w:pPr>
              <w:pStyle w:val="Compact"/>
            </w:pPr>
            <w:r>
              <w:t xml:space="preserve">Zhu 2022</w:t>
            </w:r>
          </w:p>
        </w:tc>
        <w:tc>
          <w:tcPr/>
          <w:p>
            <w:pPr>
              <w:pStyle w:val="Compact"/>
            </w:pPr>
            <w:r>
              <w:t xml:space="preserve">LogReg</w:t>
            </w:r>
          </w:p>
        </w:tc>
        <w:tc>
          <w:tcPr/>
          <w:p>
            <w:pPr>
              <w:pStyle w:val="Compact"/>
            </w:pPr>
            <w:r>
              <w:t xml:space="preserve">0.9978</w:t>
            </w:r>
          </w:p>
        </w:tc>
        <w:tc>
          <w:tcPr/>
          <w:p>
            <w:pPr>
              <w:pStyle w:val="Compact"/>
            </w:pPr>
            <w:r>
              <w:t xml:space="preserve">0.9956</w:t>
            </w:r>
          </w:p>
        </w:tc>
        <w:tc>
          <w:tcPr/>
          <w:p>
            <w:pPr>
              <w:pStyle w:val="Compact"/>
            </w:pPr>
            <w:r>
              <w:t xml:space="preserve">−0.0022</w:t>
            </w:r>
          </w:p>
        </w:tc>
      </w:tr>
      <w:tr>
        <w:tc>
          <w:tcPr/>
          <w:p>
            <w:pPr>
              <w:pStyle w:val="Compact"/>
            </w:pPr>
            <w:r>
              <w:t xml:space="preserve">Zhu 2022</w:t>
            </w:r>
          </w:p>
        </w:tc>
        <w:tc>
          <w:tcPr/>
          <w:p>
            <w:pPr>
              <w:pStyle w:val="Compact"/>
            </w:pPr>
            <w:r>
              <w:t xml:space="preserve">LGBM</w:t>
            </w:r>
          </w:p>
        </w:tc>
        <w:tc>
          <w:tcPr/>
          <w:p>
            <w:pPr>
              <w:pStyle w:val="Compact"/>
            </w:pPr>
            <w:r>
              <w:t xml:space="preserve">0.9789</w:t>
            </w:r>
          </w:p>
        </w:tc>
        <w:tc>
          <w:tcPr/>
          <w:p>
            <w:pPr>
              <w:pStyle w:val="Compact"/>
            </w:pPr>
            <w:r>
              <w:t xml:space="preserve">0.9700</w:t>
            </w:r>
          </w:p>
        </w:tc>
        <w:tc>
          <w:tcPr/>
          <w:p>
            <w:pPr>
              <w:pStyle w:val="Compact"/>
            </w:pPr>
            <w:r>
              <w:t xml:space="preserve">−0.0089</w:t>
            </w:r>
          </w:p>
        </w:tc>
      </w:tr>
      <w:tr>
        <w:tc>
          <w:tcPr/>
          <w:p>
            <w:pPr>
              <w:pStyle w:val="Compact"/>
            </w:pPr>
            <w:r>
              <w:t xml:space="preserve">Kazakhstan</w:t>
            </w:r>
          </w:p>
        </w:tc>
        <w:tc>
          <w:tcPr/>
          <w:p>
            <w:pPr>
              <w:pStyle w:val="Compact"/>
            </w:pPr>
            <w:r>
              <w:t xml:space="preserve">LogReg</w:t>
            </w:r>
          </w:p>
        </w:tc>
        <w:tc>
          <w:tcPr/>
          <w:p>
            <w:pPr>
              <w:pStyle w:val="Compact"/>
            </w:pPr>
            <w:r>
              <w:t xml:space="preserve">0.7657</w:t>
            </w:r>
          </w:p>
        </w:tc>
        <w:tc>
          <w:tcPr/>
          <w:p>
            <w:pPr>
              <w:pStyle w:val="Compact"/>
            </w:pPr>
            <w:r>
              <w:t xml:space="preserve">0.7368</w:t>
            </w:r>
          </w:p>
        </w:tc>
        <w:tc>
          <w:tcPr/>
          <w:p>
            <w:pPr>
              <w:pStyle w:val="Compact"/>
            </w:pPr>
            <w:r>
              <w:t xml:space="preserve">−0.0289</w:t>
            </w:r>
          </w:p>
        </w:tc>
      </w:tr>
      <w:tr>
        <w:tc>
          <w:tcPr/>
          <w:p>
            <w:pPr>
              <w:pStyle w:val="Compact"/>
            </w:pPr>
            <w:r>
              <w:t xml:space="preserve">Kazakhstan</w:t>
            </w:r>
          </w:p>
        </w:tc>
        <w:tc>
          <w:tcPr/>
          <w:p>
            <w:pPr>
              <w:pStyle w:val="Compact"/>
            </w:pPr>
            <w:r>
              <w:t xml:space="preserve">LGBM</w:t>
            </w:r>
          </w:p>
        </w:tc>
        <w:tc>
          <w:tcPr/>
          <w:p>
            <w:pPr>
              <w:pStyle w:val="Compact"/>
            </w:pPr>
            <w:r>
              <w:t xml:space="preserve">0.6943</w:t>
            </w:r>
          </w:p>
        </w:tc>
        <w:tc>
          <w:tcPr/>
          <w:p>
            <w:pPr>
              <w:pStyle w:val="Compact"/>
            </w:pPr>
            <w:r>
              <w:t xml:space="preserve">0.6109</w:t>
            </w:r>
          </w:p>
        </w:tc>
        <w:tc>
          <w:tcPr/>
          <w:p>
            <w:pPr>
              <w:pStyle w:val="Compact"/>
            </w:pPr>
            <w:r>
              <w:t xml:space="preserve">−0.0834</w:t>
            </w:r>
          </w:p>
        </w:tc>
      </w:tr>
    </w:tbl>
    <w:p>
      <w:pPr>
        <w:pStyle w:val="BodyText"/>
      </w:pPr>
      <w:r>
        <w:t xml:space="preserve">The retained genus count for LOCO training-only selection is lower when Kazakhstan is excluded from feature selection (150 genera) than when it is included in the training pool (370–373 genera), reflecting that Kazakhstan alone passes the 20%-prevalence threshold for many genera the Chinese/Korean-pipeline cohorts do not. No cohort–model combination changes qualitative classification (near-chance, intermediate, robust) between the global and training-only designs.</w:t>
      </w:r>
    </w:p>
    <w:p>
      <w:pPr>
        <w:pStyle w:val="BodyText"/>
      </w:pPr>
      <w:r>
        <w:rPr>
          <w:i/>
          <w:iCs/>
        </w:rPr>
        <w:t xml:space="preserve">Source data:</w:t>
      </w:r>
      <w:r>
        <w:t xml:space="preserve"> </w:t>
      </w:r>
      <w:r>
        <w:rPr>
          <w:rStyle w:val="VerbatimChar"/>
        </w:rPr>
        <w:t xml:space="preserve">results/tables/within_cohort_auc_training_only.csv</w:t>
      </w:r>
      <w:r>
        <w:t xml:space="preserve">,</w:t>
      </w:r>
      <w:r>
        <w:t xml:space="preserve"> </w:t>
      </w:r>
      <w:r>
        <w:rPr>
          <w:rStyle w:val="VerbatimChar"/>
        </w:rPr>
        <w:t xml:space="preserve">results/tables/loco_auc_training_only.csv</w:t>
      </w:r>
      <w:r>
        <w:t xml:space="preserve">,</w:t>
      </w:r>
      <w:r>
        <w:t xml:space="preserve"> </w:t>
      </w:r>
      <w:r>
        <w:rPr>
          <w:rStyle w:val="VerbatimChar"/>
        </w:rPr>
        <w:t xml:space="preserve">results/tables/pairwise_auc_training_only.csv</w:t>
      </w:r>
      <w:r>
        <w:t xml:space="preserve">,</w:t>
      </w:r>
      <w:r>
        <w:t xml:space="preserve"> </w:t>
      </w:r>
      <w:r>
        <w:rPr>
          <w:rStyle w:val="VerbatimChar"/>
        </w:rPr>
        <w:t xml:space="preserve">results/tables/training_only_feature_sensitivity_summary.csv</w:t>
      </w:r>
      <w:r>
        <w:t xml:space="preserve">,</w:t>
      </w:r>
      <w:r>
        <w:t xml:space="preserve"> </w:t>
      </w:r>
      <w:r>
        <w:rPr>
          <w:rStyle w:val="VerbatimChar"/>
        </w:rPr>
        <w:t xml:space="preserve">results/tables/training_only_feature_counts.csv</w:t>
      </w:r>
      <w:r>
        <w:t xml:space="preserve">,</w:t>
      </w:r>
      <w:r>
        <w:t xml:space="preserve"> </w:t>
      </w:r>
      <w:r>
        <w:rPr>
          <w:rStyle w:val="VerbatimChar"/>
        </w:rPr>
        <w:t xml:space="preserve">results/tables/training_only_feature_lists.csv</w:t>
      </w:r>
      <w:r>
        <w:t xml:space="preserve"> </w:t>
      </w:r>
      <w:r>
        <w:t xml:space="preserve">(full per-split retained-genus lists).</w:t>
      </w:r>
    </w:p>
    <w:p>
      <w:r>
        <w:pict>
          <v:rect style="width:0;height:1.5pt" o:hralign="center" o:hrstd="t" o:hr="t"/>
        </w:pict>
      </w:r>
    </w:p>
    <w:bookmarkEnd w:id="12"/>
    <w:bookmarkStart w:id="13" w:name="Xc5e2b452a6d51f0c57fa63b84e7f1f3025cec0b"/>
    <w:p>
      <w:pPr>
        <w:pStyle w:val="Heading3"/>
      </w:pPr>
      <w:r>
        <w:t xml:space="preserve">Table S5. Within-Cohort AUC on Batch-Corrected Data: Label-Blind vs. Label-Informed</w:t>
      </w:r>
    </w:p>
    <w:p>
      <w:pPr>
        <w:pStyle w:val="FirstParagraph"/>
      </w:pPr>
      <w:r>
        <w:t xml:space="preserve">Within-cohort nested-CV AUC (Section 2.4 procedure) computed on batch-corrected features, under both correction designs (Section 2.7). The label-blind comparison is free of diagnosis-label leakage during correction; the label-informed comparison is not (Section 3.5) and is shown only for completeness/continuity with the original analysis.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Cohort</w:t>
            </w:r>
          </w:p>
        </w:tc>
        <w:tc>
          <w:tcPr/>
          <w:p>
            <w:pPr>
              <w:pStyle w:val="Compact"/>
            </w:pPr>
            <w:r>
              <w:t xml:space="preserve">Model</w:t>
            </w:r>
          </w:p>
        </w:tc>
        <w:tc>
          <w:tcPr/>
          <w:p>
            <w:pPr>
              <w:pStyle w:val="Compact"/>
            </w:pPr>
            <w:r>
              <w:t xml:space="preserve">Uncorrected</w:t>
            </w:r>
          </w:p>
        </w:tc>
        <w:tc>
          <w:tcPr/>
          <w:p>
            <w:pPr>
              <w:pStyle w:val="Compact"/>
            </w:pPr>
            <w:r>
              <w:t xml:space="preserve">ComBat-seq (label-blind)</w:t>
            </w:r>
          </w:p>
        </w:tc>
        <w:tc>
          <w:tcPr/>
          <w:p>
            <w:pPr>
              <w:pStyle w:val="Compact"/>
            </w:pPr>
            <w:r>
              <w:t xml:space="preserve">MMUPHin (label-blind)</w:t>
            </w:r>
          </w:p>
        </w:tc>
        <w:tc>
          <w:tcPr/>
          <w:p>
            <w:pPr>
              <w:pStyle w:val="Compact"/>
            </w:pPr>
            <w:r>
              <w:t xml:space="preserve">ComBat-seq (label-informed, exploratory)</w:t>
            </w:r>
          </w:p>
        </w:tc>
        <w:tc>
          <w:tcPr/>
          <w:p>
            <w:pPr>
              <w:pStyle w:val="Compact"/>
            </w:pPr>
            <w:r>
              <w:t xml:space="preserve">MMUPHin (label-informed, exploratory)</w:t>
            </w:r>
          </w:p>
        </w:tc>
      </w:tr>
      <w:tr>
        <w:tc>
          <w:tcPr/>
          <w:p>
            <w:pPr>
              <w:pStyle w:val="Compact"/>
            </w:pPr>
            <w:r>
              <w:t xml:space="preserve">Zhuang 2018</w:t>
            </w:r>
          </w:p>
        </w:tc>
        <w:tc>
          <w:tcPr/>
          <w:p>
            <w:pPr>
              <w:pStyle w:val="Compact"/>
            </w:pPr>
            <w:r>
              <w:t xml:space="preserve">LogReg</w:t>
            </w:r>
          </w:p>
        </w:tc>
        <w:tc>
          <w:tcPr/>
          <w:p>
            <w:pPr>
              <w:pStyle w:val="Compact"/>
            </w:pPr>
            <w:r>
              <w:t xml:space="preserve">0.6333</w:t>
            </w:r>
          </w:p>
        </w:tc>
        <w:tc>
          <w:tcPr/>
          <w:p>
            <w:pPr>
              <w:pStyle w:val="Compact"/>
            </w:pPr>
            <w:r>
              <w:t xml:space="preserve">0.6604</w:t>
            </w:r>
          </w:p>
        </w:tc>
        <w:tc>
          <w:tcPr/>
          <w:p>
            <w:pPr>
              <w:pStyle w:val="Compact"/>
            </w:pPr>
            <w:r>
              <w:t xml:space="preserve">0.6171</w:t>
            </w:r>
          </w:p>
        </w:tc>
        <w:tc>
          <w:tcPr/>
          <w:p>
            <w:pPr>
              <w:pStyle w:val="Compact"/>
            </w:pPr>
            <w:r>
              <w:t xml:space="preserve">0.6647</w:t>
            </w:r>
          </w:p>
        </w:tc>
        <w:tc>
          <w:tcPr/>
          <w:p>
            <w:pPr>
              <w:pStyle w:val="Compact"/>
            </w:pPr>
            <w:r>
              <w:t xml:space="preserve">0.6393</w:t>
            </w:r>
          </w:p>
        </w:tc>
      </w:tr>
      <w:tr>
        <w:tc>
          <w:tcPr/>
          <w:p>
            <w:pPr>
              <w:pStyle w:val="Compact"/>
            </w:pPr>
            <w:r>
              <w:t xml:space="preserve">Zhuang 2018</w:t>
            </w:r>
          </w:p>
        </w:tc>
        <w:tc>
          <w:tcPr/>
          <w:p>
            <w:pPr>
              <w:pStyle w:val="Compact"/>
            </w:pPr>
            <w:r>
              <w:t xml:space="preserve">LGBM</w:t>
            </w:r>
          </w:p>
        </w:tc>
        <w:tc>
          <w:tcPr/>
          <w:p>
            <w:pPr>
              <w:pStyle w:val="Compact"/>
            </w:pPr>
            <w:r>
              <w:t xml:space="preserve">0.6349</w:t>
            </w:r>
          </w:p>
        </w:tc>
        <w:tc>
          <w:tcPr/>
          <w:p>
            <w:pPr>
              <w:pStyle w:val="Compact"/>
            </w:pPr>
            <w:r>
              <w:t xml:space="preserve">0.6479</w:t>
            </w:r>
          </w:p>
        </w:tc>
        <w:tc>
          <w:tcPr/>
          <w:p>
            <w:pPr>
              <w:pStyle w:val="Compact"/>
            </w:pPr>
            <w:r>
              <w:t xml:space="preserve">0.6247</w:t>
            </w:r>
          </w:p>
        </w:tc>
        <w:tc>
          <w:tcPr/>
          <w:p>
            <w:pPr>
              <w:pStyle w:val="Compact"/>
            </w:pPr>
            <w:r>
              <w:t xml:space="preserve">0.6544</w:t>
            </w:r>
          </w:p>
        </w:tc>
        <w:tc>
          <w:tcPr/>
          <w:p>
            <w:pPr>
              <w:pStyle w:val="Compact"/>
            </w:pPr>
            <w:r>
              <w:t xml:space="preserve">0.5765</w:t>
            </w:r>
          </w:p>
        </w:tc>
      </w:tr>
      <w:tr>
        <w:tc>
          <w:tcPr/>
          <w:p>
            <w:pPr>
              <w:pStyle w:val="Compact"/>
            </w:pPr>
            <w:r>
              <w:t xml:space="preserve">Ling 2020</w:t>
            </w:r>
          </w:p>
        </w:tc>
        <w:tc>
          <w:tcPr/>
          <w:p>
            <w:pPr>
              <w:pStyle w:val="Compact"/>
            </w:pPr>
            <w:r>
              <w:t xml:space="preserve">LogReg</w:t>
            </w:r>
          </w:p>
        </w:tc>
        <w:tc>
          <w:tcPr/>
          <w:p>
            <w:pPr>
              <w:pStyle w:val="Compact"/>
            </w:pPr>
            <w:r>
              <w:t xml:space="preserve">0.8648</w:t>
            </w:r>
          </w:p>
        </w:tc>
        <w:tc>
          <w:tcPr/>
          <w:p>
            <w:pPr>
              <w:pStyle w:val="Compact"/>
            </w:pPr>
            <w:r>
              <w:t xml:space="preserve">0.8701</w:t>
            </w:r>
          </w:p>
        </w:tc>
        <w:tc>
          <w:tcPr/>
          <w:p>
            <w:pPr>
              <w:pStyle w:val="Compact"/>
            </w:pPr>
            <w:r>
              <w:t xml:space="preserve">0.8690</w:t>
            </w:r>
          </w:p>
        </w:tc>
        <w:tc>
          <w:tcPr/>
          <w:p>
            <w:pPr>
              <w:pStyle w:val="Compact"/>
            </w:pPr>
            <w:r>
              <w:t xml:space="preserve">0.8754</w:t>
            </w:r>
          </w:p>
        </w:tc>
        <w:tc>
          <w:tcPr/>
          <w:p>
            <w:pPr>
              <w:pStyle w:val="Compact"/>
            </w:pPr>
            <w:r>
              <w:t xml:space="preserve">0.8863</w:t>
            </w:r>
          </w:p>
        </w:tc>
      </w:tr>
      <w:tr>
        <w:tc>
          <w:tcPr/>
          <w:p>
            <w:pPr>
              <w:pStyle w:val="Compact"/>
            </w:pPr>
            <w:r>
              <w:t xml:space="preserve">Ling 2020</w:t>
            </w:r>
          </w:p>
        </w:tc>
        <w:tc>
          <w:tcPr/>
          <w:p>
            <w:pPr>
              <w:pStyle w:val="Compact"/>
            </w:pPr>
            <w:r>
              <w:t xml:space="preserve">LGBM</w:t>
            </w:r>
          </w:p>
        </w:tc>
        <w:tc>
          <w:tcPr/>
          <w:p>
            <w:pPr>
              <w:pStyle w:val="Compact"/>
            </w:pPr>
            <w:r>
              <w:t xml:space="preserve">0.8618</w:t>
            </w:r>
          </w:p>
        </w:tc>
        <w:tc>
          <w:tcPr/>
          <w:p>
            <w:pPr>
              <w:pStyle w:val="Compact"/>
            </w:pPr>
            <w:r>
              <w:t xml:space="preserve">0.8255</w:t>
            </w:r>
          </w:p>
        </w:tc>
        <w:tc>
          <w:tcPr/>
          <w:p>
            <w:pPr>
              <w:pStyle w:val="Compact"/>
            </w:pPr>
            <w:r>
              <w:t xml:space="preserve">0.8689</w:t>
            </w:r>
          </w:p>
        </w:tc>
        <w:tc>
          <w:tcPr/>
          <w:p>
            <w:pPr>
              <w:pStyle w:val="Compact"/>
            </w:pPr>
            <w:r>
              <w:t xml:space="preserve">0.8659</w:t>
            </w:r>
          </w:p>
        </w:tc>
        <w:tc>
          <w:tcPr/>
          <w:p>
            <w:pPr>
              <w:pStyle w:val="Compact"/>
            </w:pPr>
            <w:r>
              <w:t xml:space="preserve">0.8844</w:t>
            </w:r>
          </w:p>
        </w:tc>
      </w:tr>
      <w:tr>
        <w:tc>
          <w:tcPr/>
          <w:p>
            <w:pPr>
              <w:pStyle w:val="Compact"/>
            </w:pPr>
            <w:r>
              <w:t xml:space="preserve">Zhu 2022</w:t>
            </w:r>
          </w:p>
        </w:tc>
        <w:tc>
          <w:tcPr/>
          <w:p>
            <w:pPr>
              <w:pStyle w:val="Compact"/>
            </w:pPr>
            <w:r>
              <w:t xml:space="preserve">LogReg</w:t>
            </w:r>
          </w:p>
        </w:tc>
        <w:tc>
          <w:tcPr/>
          <w:p>
            <w:pPr>
              <w:pStyle w:val="Compact"/>
            </w:pPr>
            <w:r>
              <w:t xml:space="preserve">0.9978</w:t>
            </w:r>
          </w:p>
        </w:tc>
        <w:tc>
          <w:tcPr/>
          <w:p>
            <w:pPr>
              <w:pStyle w:val="Compact"/>
            </w:pPr>
            <w:r>
              <w:t xml:space="preserve">0.9878</w:t>
            </w:r>
          </w:p>
        </w:tc>
        <w:tc>
          <w:tcPr/>
          <w:p>
            <w:pPr>
              <w:pStyle w:val="Compact"/>
            </w:pPr>
            <w:r>
              <w:t xml:space="preserve">0.9900</w:t>
            </w:r>
          </w:p>
        </w:tc>
        <w:tc>
          <w:tcPr/>
          <w:p>
            <w:pPr>
              <w:pStyle w:val="Compact"/>
            </w:pPr>
            <w:r>
              <w:t xml:space="preserve">0.9956</w:t>
            </w:r>
          </w:p>
        </w:tc>
        <w:tc>
          <w:tcPr/>
          <w:p>
            <w:pPr>
              <w:pStyle w:val="Compact"/>
            </w:pPr>
            <w:r>
              <w:t xml:space="preserve">0.9933</w:t>
            </w:r>
          </w:p>
        </w:tc>
      </w:tr>
      <w:tr>
        <w:tc>
          <w:tcPr/>
          <w:p>
            <w:pPr>
              <w:pStyle w:val="Compact"/>
            </w:pPr>
            <w:r>
              <w:t xml:space="preserve">Zhu 2022</w:t>
            </w:r>
          </w:p>
        </w:tc>
        <w:tc>
          <w:tcPr/>
          <w:p>
            <w:pPr>
              <w:pStyle w:val="Compact"/>
            </w:pPr>
            <w:r>
              <w:t xml:space="preserve">LGBM</w:t>
            </w:r>
          </w:p>
        </w:tc>
        <w:tc>
          <w:tcPr/>
          <w:p>
            <w:pPr>
              <w:pStyle w:val="Compact"/>
            </w:pPr>
            <w:r>
              <w:t xml:space="preserve">0.9789</w:t>
            </w:r>
          </w:p>
        </w:tc>
        <w:tc>
          <w:tcPr/>
          <w:p>
            <w:pPr>
              <w:pStyle w:val="Compact"/>
            </w:pPr>
            <w:r>
              <w:t xml:space="preserve">0.9533</w:t>
            </w:r>
          </w:p>
        </w:tc>
        <w:tc>
          <w:tcPr/>
          <w:p>
            <w:pPr>
              <w:pStyle w:val="Compact"/>
            </w:pPr>
            <w:r>
              <w:t xml:space="preserve">0.9600</w:t>
            </w:r>
          </w:p>
        </w:tc>
        <w:tc>
          <w:tcPr/>
          <w:p>
            <w:pPr>
              <w:pStyle w:val="Compact"/>
            </w:pPr>
            <w:r>
              <w:t xml:space="preserve">0.9622</w:t>
            </w:r>
          </w:p>
        </w:tc>
        <w:tc>
          <w:tcPr/>
          <w:p>
            <w:pPr>
              <w:pStyle w:val="Compact"/>
            </w:pPr>
            <w:r>
              <w:t xml:space="preserve">0.9650</w:t>
            </w:r>
          </w:p>
        </w:tc>
      </w:tr>
      <w:tr>
        <w:tc>
          <w:tcPr/>
          <w:p>
            <w:pPr>
              <w:pStyle w:val="Compact"/>
            </w:pPr>
            <w:r>
              <w:t xml:space="preserve">Kazakhstan</w:t>
            </w:r>
          </w:p>
        </w:tc>
        <w:tc>
          <w:tcPr/>
          <w:p>
            <w:pPr>
              <w:pStyle w:val="Compact"/>
            </w:pPr>
            <w:r>
              <w:t xml:space="preserve">LogReg</w:t>
            </w:r>
          </w:p>
        </w:tc>
        <w:tc>
          <w:tcPr/>
          <w:p>
            <w:pPr>
              <w:pStyle w:val="Compact"/>
            </w:pPr>
            <w:r>
              <w:t xml:space="preserve">0.7657</w:t>
            </w:r>
          </w:p>
        </w:tc>
        <w:tc>
          <w:tcPr/>
          <w:p>
            <w:pPr>
              <w:pStyle w:val="Compact"/>
            </w:pPr>
            <w:r>
              <w:t xml:space="preserve">0.6926</w:t>
            </w:r>
          </w:p>
        </w:tc>
        <w:tc>
          <w:tcPr/>
          <w:p>
            <w:pPr>
              <w:pStyle w:val="Compact"/>
            </w:pPr>
            <w:r>
              <w:t xml:space="preserve">0.7663</w:t>
            </w:r>
          </w:p>
        </w:tc>
        <w:tc>
          <w:tcPr/>
          <w:p>
            <w:pPr>
              <w:pStyle w:val="Compact"/>
            </w:pPr>
            <w:r>
              <w:t xml:space="preserve">0.7839</w:t>
            </w:r>
          </w:p>
        </w:tc>
        <w:tc>
          <w:tcPr/>
          <w:p>
            <w:pPr>
              <w:pStyle w:val="Compact"/>
            </w:pPr>
            <w:r>
              <w:t xml:space="preserve">0.7879</w:t>
            </w:r>
          </w:p>
        </w:tc>
      </w:tr>
      <w:tr>
        <w:tc>
          <w:tcPr/>
          <w:p>
            <w:pPr>
              <w:pStyle w:val="Compact"/>
            </w:pPr>
            <w:r>
              <w:t xml:space="preserve">Kazakhstan</w:t>
            </w:r>
          </w:p>
        </w:tc>
        <w:tc>
          <w:tcPr/>
          <w:p>
            <w:pPr>
              <w:pStyle w:val="Compact"/>
            </w:pPr>
            <w:r>
              <w:t xml:space="preserve">LGBM</w:t>
            </w:r>
          </w:p>
        </w:tc>
        <w:tc>
          <w:tcPr/>
          <w:p>
            <w:pPr>
              <w:pStyle w:val="Compact"/>
            </w:pPr>
            <w:r>
              <w:t xml:space="preserve">0.6943</w:t>
            </w:r>
          </w:p>
        </w:tc>
        <w:tc>
          <w:tcPr/>
          <w:p>
            <w:pPr>
              <w:pStyle w:val="Compact"/>
            </w:pPr>
            <w:r>
              <w:t xml:space="preserve">0.6829</w:t>
            </w:r>
          </w:p>
        </w:tc>
        <w:tc>
          <w:tcPr/>
          <w:p>
            <w:pPr>
              <w:pStyle w:val="Compact"/>
            </w:pPr>
            <w:r>
              <w:t xml:space="preserve">0.5621</w:t>
            </w:r>
          </w:p>
        </w:tc>
        <w:tc>
          <w:tcPr/>
          <w:p>
            <w:pPr>
              <w:pStyle w:val="Compact"/>
            </w:pPr>
            <w:r>
              <w:t xml:space="preserve">0.7351</w:t>
            </w:r>
          </w:p>
        </w:tc>
        <w:tc>
          <w:tcPr/>
          <w:p>
            <w:pPr>
              <w:pStyle w:val="Compact"/>
            </w:pPr>
            <w:r>
              <w:t xml:space="preserve">0.6858</w:t>
            </w:r>
          </w:p>
        </w:tc>
      </w:tr>
    </w:tbl>
    <w:p>
      <w:pPr>
        <w:pStyle w:val="BodyText"/>
      </w:pPr>
      <w:r>
        <w:rPr>
          <w:i/>
          <w:iCs/>
        </w:rPr>
        <w:t xml:space="preserve">Source data:</w:t>
      </w:r>
      <w:r>
        <w:t xml:space="preserve"> </w:t>
      </w:r>
      <w:r>
        <w:rPr>
          <w:rStyle w:val="VerbatimChar"/>
        </w:rPr>
        <w:t xml:space="preserve">results/tables/within_cohort_auc_corrected_labelblind.csv</w:t>
      </w:r>
      <w:r>
        <w:t xml:space="preserve">,</w:t>
      </w:r>
      <w:r>
        <w:t xml:space="preserve"> </w:t>
      </w:r>
      <w:r>
        <w:rPr>
          <w:rStyle w:val="VerbatimChar"/>
        </w:rPr>
        <w:t xml:space="preserve">results/tables/within_cohort_auc_corrected.csv</w:t>
      </w:r>
      <w:r>
        <w:t xml:space="preserve">,</w:t>
      </w:r>
      <w:r>
        <w:t xml:space="preserve"> </w:t>
      </w:r>
      <w:r>
        <w:rPr>
          <w:rStyle w:val="VerbatimChar"/>
        </w:rPr>
        <w:t xml:space="preserve">results/tables/within_cohort_auc.csv</w:t>
      </w:r>
      <w:r>
        <w:t xml:space="preserve">.</w:t>
      </w:r>
    </w:p>
    <w:p>
      <w:r>
        <w:pict>
          <v:rect style="width:0;height:1.5pt" o:hralign="center" o:hrstd="t" o:hr="t"/>
        </w:pict>
      </w:r>
    </w:p>
    <w:bookmarkEnd w:id="13"/>
    <w:bookmarkStart w:id="14" w:name="Xed29a43c3914fb60fdf4ef23560ebd4e359f279"/>
    <w:p>
      <w:pPr>
        <w:pStyle w:val="Heading3"/>
      </w:pPr>
      <w:r>
        <w:t xml:space="preserve">Table S6. Logistic-Regression Coefficient Sign Stability: Screened Candidates and the</w:t>
      </w:r>
      <w:r>
        <w:t xml:space="preserve"> </w:t>
      </w:r>
      <w:r>
        <w:rPr>
          <w:i/>
          <w:iCs/>
        </w:rPr>
        <w:t xml:space="preserve">Akkermansia</w:t>
      </w:r>
      <w:r>
        <w:t xml:space="preserve"> </w:t>
      </w:r>
      <w:r>
        <w:t xml:space="preserve">Negative Control</w:t>
      </w:r>
    </w:p>
    <w:p>
      <w:pPr>
        <w:pStyle w:val="FirstParagraph"/>
      </w:pPr>
      <w:r>
        <w:t xml:space="preserve">Per (cohort, genus), counts of positive/negative/zero fitted coefficients across the 10 outer OOF folds (Section 2.8).</w:t>
      </w:r>
      <w:r>
        <w:t xml:space="preserve"> </w:t>
      </w:r>
      <w:r>
        <w:rPr>
          <w:rStyle w:val="VerbatimChar"/>
        </w:rPr>
        <w:t xml:space="preserve">sign_stability</w:t>
      </w:r>
      <w:r>
        <w:t xml:space="preserve"> </w:t>
      </w:r>
      <w:r>
        <w:t xml:space="preserve">uses the pre-specified ≥8/10-fold threshold. This is a descriptive screen, not a hypothesis test: the 10 outer folds share overlapping training data and are not independent replications, so no p-value is assigned to any row. Full table (1,584 cohort×genus rows) in</w:t>
      </w:r>
      <w:r>
        <w:t xml:space="preserve"> </w:t>
      </w:r>
      <w:r>
        <w:rPr>
          <w:rStyle w:val="VerbatimChar"/>
        </w:rPr>
        <w:t xml:space="preserve">results/tables/logreg_coefficient_stability.csv</w:t>
      </w:r>
      <w:r>
        <w:t xml:space="preserve">; below,</w:t>
      </w:r>
      <w:r>
        <w:t xml:space="preserve"> </w:t>
      </w:r>
      <w:r>
        <w:rPr>
          <w:i/>
          <w:iCs/>
        </w:rPr>
        <w:t xml:space="preserve">Romboutsia</w:t>
      </w:r>
      <w:r>
        <w:t xml:space="preserve"> </w:t>
      </w:r>
      <w:r>
        <w:t xml:space="preserve">(the cleanest cohort-level pattern among the eight genera meeting the screen; Section 3.6) and</w:t>
      </w:r>
      <w:r>
        <w:t xml:space="preserve"> </w:t>
      </w:r>
      <w:r>
        <w:rPr>
          <w:i/>
          <w:iCs/>
        </w:rPr>
        <w:t xml:space="preserve">Akkermansia</w:t>
      </w:r>
      <w:r>
        <w:t xml:space="preserve"> </w:t>
      </w:r>
      <w:r>
        <w:t xml:space="preserve">(a negative-control illustration: appears to flip under the old, invalid mean-SHAP statistic but does not meet the coefficient-based screen; Section 3.6, Section 4.4).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Taxon</w:t>
            </w:r>
          </w:p>
        </w:tc>
        <w:tc>
          <w:tcPr/>
          <w:p>
            <w:pPr>
              <w:pStyle w:val="Compact"/>
            </w:pPr>
            <w:r>
              <w:t xml:space="preserve">n_positive/10</w:t>
            </w:r>
          </w:p>
        </w:tc>
        <w:tc>
          <w:tcPr/>
          <w:p>
            <w:pPr>
              <w:pStyle w:val="Compact"/>
            </w:pPr>
            <w:r>
              <w:t xml:space="preserve">n_negative/10</w:t>
            </w:r>
          </w:p>
        </w:tc>
        <w:tc>
          <w:tcPr/>
          <w:p>
            <w:pPr>
              <w:pStyle w:val="Compact"/>
            </w:pPr>
            <w:r>
              <w:t xml:space="preserve">Median Coefficient</w:t>
            </w:r>
          </w:p>
        </w:tc>
        <w:tc>
          <w:tcPr/>
          <w:p>
            <w:pPr>
              <w:pStyle w:val="Compact"/>
            </w:pPr>
            <w:r>
              <w:t xml:space="preserve">Sign Stability</w:t>
            </w:r>
          </w:p>
        </w:tc>
      </w:tr>
      <w:tr>
        <w:tc>
          <w:tcPr/>
          <w:p>
            <w:pPr>
              <w:pStyle w:val="Compact"/>
            </w:pPr>
            <w:r>
              <w:t xml:space="preserve">Zhuang 2018</w:t>
            </w:r>
          </w:p>
        </w:tc>
        <w:tc>
          <w:tcPr/>
          <w:p>
            <w:pPr>
              <w:pStyle w:val="Compact"/>
            </w:pPr>
            <w:r>
              <w:t xml:space="preserve">Romboutsia</w:t>
            </w:r>
          </w:p>
        </w:tc>
        <w:tc>
          <w:tcPr/>
          <w:p>
            <w:pPr>
              <w:pStyle w:val="Compact"/>
            </w:pPr>
            <w:r>
              <w:t xml:space="preserve">0</w:t>
            </w:r>
          </w:p>
        </w:tc>
        <w:tc>
          <w:tcPr/>
          <w:p>
            <w:pPr>
              <w:pStyle w:val="Compact"/>
            </w:pPr>
            <w:r>
              <w:t xml:space="preserve">10</w:t>
            </w:r>
          </w:p>
        </w:tc>
        <w:tc>
          <w:tcPr/>
          <w:p>
            <w:pPr>
              <w:pStyle w:val="Compact"/>
            </w:pPr>
            <w:r>
              <w:t xml:space="preserve">−0.0107</w:t>
            </w:r>
          </w:p>
        </w:tc>
        <w:tc>
          <w:tcPr/>
          <w:p>
            <w:pPr>
              <w:pStyle w:val="Compact"/>
            </w:pPr>
            <w:r>
              <w:t xml:space="preserve">stable_negative</w:t>
            </w:r>
          </w:p>
        </w:tc>
      </w:tr>
      <w:tr>
        <w:tc>
          <w:tcPr/>
          <w:p>
            <w:pPr>
              <w:pStyle w:val="Compact"/>
            </w:pPr>
            <w:r>
              <w:t xml:space="preserve">Ling 2020</w:t>
            </w:r>
          </w:p>
        </w:tc>
        <w:tc>
          <w:tcPr/>
          <w:p>
            <w:pPr>
              <w:pStyle w:val="Compact"/>
            </w:pPr>
            <w:r>
              <w:t xml:space="preserve">Romboutsia</w:t>
            </w:r>
          </w:p>
        </w:tc>
        <w:tc>
          <w:tcPr/>
          <w:p>
            <w:pPr>
              <w:pStyle w:val="Compact"/>
            </w:pPr>
            <w:r>
              <w:t xml:space="preserve">0</w:t>
            </w:r>
          </w:p>
        </w:tc>
        <w:tc>
          <w:tcPr/>
          <w:p>
            <w:pPr>
              <w:pStyle w:val="Compact"/>
            </w:pPr>
            <w:r>
              <w:t xml:space="preserve">10</w:t>
            </w:r>
          </w:p>
        </w:tc>
        <w:tc>
          <w:tcPr/>
          <w:p>
            <w:pPr>
              <w:pStyle w:val="Compact"/>
            </w:pPr>
            <w:r>
              <w:t xml:space="preserve">−0.1166</w:t>
            </w:r>
          </w:p>
        </w:tc>
        <w:tc>
          <w:tcPr/>
          <w:p>
            <w:pPr>
              <w:pStyle w:val="Compact"/>
            </w:pPr>
            <w:r>
              <w:t xml:space="preserve">stable_negative</w:t>
            </w:r>
          </w:p>
        </w:tc>
      </w:tr>
      <w:tr>
        <w:tc>
          <w:tcPr/>
          <w:p>
            <w:pPr>
              <w:pStyle w:val="Compact"/>
            </w:pPr>
            <w:r>
              <w:t xml:space="preserve">Zhu 2022</w:t>
            </w:r>
          </w:p>
        </w:tc>
        <w:tc>
          <w:tcPr/>
          <w:p>
            <w:pPr>
              <w:pStyle w:val="Compact"/>
            </w:pPr>
            <w:r>
              <w:t xml:space="preserve">Romboutsia</w:t>
            </w:r>
          </w:p>
        </w:tc>
        <w:tc>
          <w:tcPr/>
          <w:p>
            <w:pPr>
              <w:pStyle w:val="Compact"/>
            </w:pPr>
            <w:r>
              <w:t xml:space="preserve">0</w:t>
            </w:r>
          </w:p>
        </w:tc>
        <w:tc>
          <w:tcPr/>
          <w:p>
            <w:pPr>
              <w:pStyle w:val="Compact"/>
            </w:pPr>
            <w:r>
              <w:t xml:space="preserve">10</w:t>
            </w:r>
          </w:p>
        </w:tc>
        <w:tc>
          <w:tcPr/>
          <w:p>
            <w:pPr>
              <w:pStyle w:val="Compact"/>
            </w:pPr>
            <w:r>
              <w:t xml:space="preserve">−0.0190</w:t>
            </w:r>
          </w:p>
        </w:tc>
        <w:tc>
          <w:tcPr/>
          <w:p>
            <w:pPr>
              <w:pStyle w:val="Compact"/>
            </w:pPr>
            <w:r>
              <w:t xml:space="preserve">stable_negative</w:t>
            </w:r>
          </w:p>
        </w:tc>
      </w:tr>
      <w:tr>
        <w:tc>
          <w:tcPr/>
          <w:p>
            <w:pPr>
              <w:pStyle w:val="Compact"/>
            </w:pPr>
            <w:r>
              <w:t xml:space="preserve">Kazakhstan</w:t>
            </w:r>
          </w:p>
        </w:tc>
        <w:tc>
          <w:tcPr/>
          <w:p>
            <w:pPr>
              <w:pStyle w:val="Compact"/>
            </w:pPr>
            <w:r>
              <w:t xml:space="preserve">Romboutsia</w:t>
            </w:r>
          </w:p>
        </w:tc>
        <w:tc>
          <w:tcPr/>
          <w:p>
            <w:pPr>
              <w:pStyle w:val="Compact"/>
            </w:pPr>
            <w:r>
              <w:t xml:space="preserve">9</w:t>
            </w:r>
          </w:p>
        </w:tc>
        <w:tc>
          <w:tcPr/>
          <w:p>
            <w:pPr>
              <w:pStyle w:val="Compact"/>
            </w:pPr>
            <w:r>
              <w:t xml:space="preserve">1</w:t>
            </w:r>
          </w:p>
        </w:tc>
        <w:tc>
          <w:tcPr/>
          <w:p>
            <w:pPr>
              <w:pStyle w:val="Compact"/>
            </w:pPr>
            <w:r>
              <w:t xml:space="preserve">0.0109</w:t>
            </w:r>
          </w:p>
        </w:tc>
        <w:tc>
          <w:tcPr/>
          <w:p>
            <w:pPr>
              <w:pStyle w:val="Compact"/>
            </w:pPr>
            <w:r>
              <w:t xml:space="preserve">stable_positive</w:t>
            </w:r>
          </w:p>
        </w:tc>
      </w:tr>
      <w:tr>
        <w:tc>
          <w:tcPr/>
          <w:p>
            <w:pPr>
              <w:pStyle w:val="Compact"/>
            </w:pPr>
            <w:r>
              <w:t xml:space="preserve">Zhuang 2018</w:t>
            </w:r>
          </w:p>
        </w:tc>
        <w:tc>
          <w:tcPr/>
          <w:p>
            <w:pPr>
              <w:pStyle w:val="Compact"/>
            </w:pPr>
            <w:r>
              <w:t xml:space="preserve">Akkermansia</w:t>
            </w:r>
          </w:p>
        </w:tc>
        <w:tc>
          <w:tcPr/>
          <w:p>
            <w:pPr>
              <w:pStyle w:val="Compact"/>
            </w:pPr>
            <w:r>
              <w:t xml:space="preserve">10</w:t>
            </w:r>
          </w:p>
        </w:tc>
        <w:tc>
          <w:tcPr/>
          <w:p>
            <w:pPr>
              <w:pStyle w:val="Compact"/>
            </w:pPr>
            <w:r>
              <w:t xml:space="preserve">0</w:t>
            </w:r>
          </w:p>
        </w:tc>
        <w:tc>
          <w:tcPr/>
          <w:p>
            <w:pPr>
              <w:pStyle w:val="Compact"/>
            </w:pPr>
            <w:r>
              <w:t xml:space="preserve">0.0124</w:t>
            </w:r>
          </w:p>
        </w:tc>
        <w:tc>
          <w:tcPr/>
          <w:p>
            <w:pPr>
              <w:pStyle w:val="Compact"/>
            </w:pPr>
            <w:r>
              <w:t xml:space="preserve">stable_positive</w:t>
            </w:r>
          </w:p>
        </w:tc>
      </w:tr>
      <w:tr>
        <w:tc>
          <w:tcPr/>
          <w:p>
            <w:pPr>
              <w:pStyle w:val="Compact"/>
            </w:pPr>
            <w:r>
              <w:t xml:space="preserve">Ling 2020</w:t>
            </w:r>
          </w:p>
        </w:tc>
        <w:tc>
          <w:tcPr/>
          <w:p>
            <w:pPr>
              <w:pStyle w:val="Compact"/>
            </w:pPr>
            <w:r>
              <w:t xml:space="preserve">Akkermansia</w:t>
            </w:r>
          </w:p>
        </w:tc>
        <w:tc>
          <w:tcPr/>
          <w:p>
            <w:pPr>
              <w:pStyle w:val="Compact"/>
            </w:pPr>
            <w:r>
              <w:t xml:space="preserve">10</w:t>
            </w:r>
          </w:p>
        </w:tc>
        <w:tc>
          <w:tcPr/>
          <w:p>
            <w:pPr>
              <w:pStyle w:val="Compact"/>
            </w:pPr>
            <w:r>
              <w:t xml:space="preserve">0</w:t>
            </w:r>
          </w:p>
        </w:tc>
        <w:tc>
          <w:tcPr/>
          <w:p>
            <w:pPr>
              <w:pStyle w:val="Compact"/>
            </w:pPr>
            <w:r>
              <w:t xml:space="preserve">0.1181</w:t>
            </w:r>
          </w:p>
        </w:tc>
        <w:tc>
          <w:tcPr/>
          <w:p>
            <w:pPr>
              <w:pStyle w:val="Compact"/>
            </w:pPr>
            <w:r>
              <w:t xml:space="preserve">stable_positive</w:t>
            </w:r>
          </w:p>
        </w:tc>
      </w:tr>
      <w:tr>
        <w:tc>
          <w:tcPr/>
          <w:p>
            <w:pPr>
              <w:pStyle w:val="Compact"/>
            </w:pPr>
            <w:r>
              <w:t xml:space="preserve">Zhu 2022</w:t>
            </w:r>
          </w:p>
        </w:tc>
        <w:tc>
          <w:tcPr/>
          <w:p>
            <w:pPr>
              <w:pStyle w:val="Compact"/>
            </w:pPr>
            <w:r>
              <w:t xml:space="preserve">Akkermansia</w:t>
            </w:r>
          </w:p>
        </w:tc>
        <w:tc>
          <w:tcPr/>
          <w:p>
            <w:pPr>
              <w:pStyle w:val="Compact"/>
            </w:pPr>
            <w:r>
              <w:t xml:space="preserve">10</w:t>
            </w:r>
          </w:p>
        </w:tc>
        <w:tc>
          <w:tcPr/>
          <w:p>
            <w:pPr>
              <w:pStyle w:val="Compact"/>
            </w:pPr>
            <w:r>
              <w:t xml:space="preserve">0</w:t>
            </w:r>
          </w:p>
        </w:tc>
        <w:tc>
          <w:tcPr/>
          <w:p>
            <w:pPr>
              <w:pStyle w:val="Compact"/>
            </w:pPr>
            <w:r>
              <w:t xml:space="preserve">0.0709</w:t>
            </w:r>
          </w:p>
        </w:tc>
        <w:tc>
          <w:tcPr/>
          <w:p>
            <w:pPr>
              <w:pStyle w:val="Compact"/>
            </w:pPr>
            <w:r>
              <w:t xml:space="preserve">stable_positive</w:t>
            </w:r>
          </w:p>
        </w:tc>
      </w:tr>
      <w:tr>
        <w:tc>
          <w:tcPr/>
          <w:p>
            <w:pPr>
              <w:pStyle w:val="Compact"/>
            </w:pPr>
            <w:r>
              <w:t xml:space="preserve">Kazakhstan</w:t>
            </w:r>
          </w:p>
        </w:tc>
        <w:tc>
          <w:tcPr/>
          <w:p>
            <w:pPr>
              <w:pStyle w:val="Compact"/>
            </w:pPr>
            <w:r>
              <w:t xml:space="preserve">Akkermansia</w:t>
            </w:r>
          </w:p>
        </w:tc>
        <w:tc>
          <w:tcPr/>
          <w:p>
            <w:pPr>
              <w:pStyle w:val="Compact"/>
            </w:pPr>
            <w:r>
              <w:t xml:space="preserve">10</w:t>
            </w:r>
          </w:p>
        </w:tc>
        <w:tc>
          <w:tcPr/>
          <w:p>
            <w:pPr>
              <w:pStyle w:val="Compact"/>
            </w:pPr>
            <w:r>
              <w:t xml:space="preserve">0</w:t>
            </w:r>
          </w:p>
        </w:tc>
        <w:tc>
          <w:tcPr/>
          <w:p>
            <w:pPr>
              <w:pStyle w:val="Compact"/>
            </w:pPr>
            <w:r>
              <w:t xml:space="preserve">0.0682</w:t>
            </w:r>
          </w:p>
        </w:tc>
        <w:tc>
          <w:tcPr/>
          <w:p>
            <w:pPr>
              <w:pStyle w:val="Compact"/>
            </w:pPr>
            <w:r>
              <w:t xml:space="preserve">stable_positive</w:t>
            </w:r>
          </w:p>
        </w:tc>
      </w:tr>
    </w:tbl>
    <w:p>
      <w:pPr>
        <w:pStyle w:val="BodyText"/>
      </w:pPr>
      <w:r>
        <w:rPr>
          <w:i/>
          <w:iCs/>
        </w:rPr>
        <w:t xml:space="preserve">Romboutsia</w:t>
      </w:r>
      <w:r>
        <w:t xml:space="preserve"> </w:t>
      </w:r>
      <w:r>
        <w:t xml:space="preserve">is stable-negative in all three Chinese cohorts and stable-positive in Kazakhstan — the cleanest observed cross-cohort pattern among the eight genera meeting the screen.</w:t>
      </w:r>
      <w:r>
        <w:t xml:space="preserve"> </w:t>
      </w:r>
      <w:r>
        <w:rPr>
          <w:i/>
          <w:iCs/>
        </w:rPr>
        <w:t xml:space="preserve">Akkermansia</w:t>
      </w:r>
      <w:r>
        <w:t xml:space="preserve">’s coefficient is stable and positive in all four cohorts — it does not meet the screen at all, despite its pooled mean SHAP value appearing to reverse sign (Section 3.6). See the full CSV for the corresponding rows for each of the eight genera meeting the descriptive screen (</w:t>
      </w:r>
      <w:r>
        <w:rPr>
          <w:i/>
          <w:iCs/>
        </w:rPr>
        <w:t xml:space="preserve">Agathobacter</w:t>
      </w:r>
      <w:r>
        <w:t xml:space="preserve">,</w:t>
      </w:r>
      <w:r>
        <w:t xml:space="preserve"> </w:t>
      </w:r>
      <w:r>
        <w:rPr>
          <w:i/>
          <w:iCs/>
        </w:rPr>
        <w:t xml:space="preserve">Bifidobacterium</w:t>
      </w:r>
      <w:r>
        <w:t xml:space="preserve">,</w:t>
      </w:r>
      <w:r>
        <w:t xml:space="preserve"> </w:t>
      </w:r>
      <w:r>
        <w:rPr>
          <w:i/>
          <w:iCs/>
        </w:rPr>
        <w:t xml:space="preserve">Coprococcus</w:t>
      </w:r>
      <w:r>
        <w:t xml:space="preserve">,</w:t>
      </w:r>
      <w:r>
        <w:t xml:space="preserve"> </w:t>
      </w:r>
      <w:r>
        <w:rPr>
          <w:i/>
          <w:iCs/>
        </w:rPr>
        <w:t xml:space="preserve">Dorea</w:t>
      </w:r>
      <w:r>
        <w:t xml:space="preserve">,</w:t>
      </w:r>
      <w:r>
        <w:t xml:space="preserve"> </w:t>
      </w:r>
      <w:r>
        <w:rPr>
          <w:i/>
          <w:iCs/>
        </w:rPr>
        <w:t xml:space="preserve">Lactobacillus</w:t>
      </w:r>
      <w:r>
        <w:t xml:space="preserve">,</w:t>
      </w:r>
      <w:r>
        <w:t xml:space="preserve"> </w:t>
      </w:r>
      <w:r>
        <w:rPr>
          <w:i/>
          <w:iCs/>
        </w:rPr>
        <w:t xml:space="preserve">NK4A214 group</w:t>
      </w:r>
      <w:r>
        <w:t xml:space="preserve">,</w:t>
      </w:r>
      <w:r>
        <w:t xml:space="preserve"> </w:t>
      </w:r>
      <w:r>
        <w:rPr>
          <w:i/>
          <w:iCs/>
        </w:rPr>
        <w:t xml:space="preserve">Romboutsia</w:t>
      </w:r>
      <w:r>
        <w:t xml:space="preserve">,</w:t>
      </w:r>
      <w:r>
        <w:t xml:space="preserve"> </w:t>
      </w:r>
      <w:r>
        <w:rPr>
          <w:i/>
          <w:iCs/>
        </w:rPr>
        <w:t xml:space="preserve">Ruminococcus gnavus group</w:t>
      </w:r>
      <w:r>
        <w:t xml:space="preserve">) and for</w:t>
      </w:r>
      <w:r>
        <w:t xml:space="preserve"> </w:t>
      </w:r>
      <w:r>
        <w:rPr>
          <w:rStyle w:val="VerbatimChar"/>
        </w:rPr>
        <w:t xml:space="preserve">logreg_directional_flips_stable.csv</w:t>
      </w:r>
      <w:r>
        <w:t xml:space="preserve">, which lists, per candidate taxon, which cohorts carried a stable positive vs. stable negative coefficient.</w:t>
      </w:r>
    </w:p>
    <w:p>
      <w:pPr>
        <w:pStyle w:val="BodyText"/>
      </w:pPr>
      <w:r>
        <w:rPr>
          <w:i/>
          <w:iCs/>
        </w:rPr>
        <w:t xml:space="preserve">Source data:</w:t>
      </w:r>
      <w:r>
        <w:t xml:space="preserve"> </w:t>
      </w:r>
      <w:r>
        <w:rPr>
          <w:rStyle w:val="VerbatimChar"/>
        </w:rPr>
        <w:t xml:space="preserve">results/tables/logreg_coefficient_stability.csv</w:t>
      </w:r>
      <w:r>
        <w:t xml:space="preserve">,</w:t>
      </w:r>
      <w:r>
        <w:t xml:space="preserve"> </w:t>
      </w:r>
      <w:r>
        <w:rPr>
          <w:rStyle w:val="VerbatimChar"/>
        </w:rPr>
        <w:t xml:space="preserve">results/tables/logreg_directional_flips_stable.csv</w:t>
      </w:r>
      <w:r>
        <w:t xml:space="preserve">.</w:t>
      </w:r>
    </w:p>
    <w:p>
      <w:r>
        <w:pict>
          <v:rect style="width:0;height:1.5pt" o:hralign="center" o:hrstd="t" o:hr="t"/>
        </w:pict>
      </w:r>
    </w:p>
    <w:bookmarkEnd w:id="14"/>
    <w:bookmarkStart w:id="15" w:name="Xbd1be582a7c04c46d20c9fbee47b1ae785fb393"/>
    <w:p>
      <w:pPr>
        <w:pStyle w:val="Heading3"/>
      </w:pPr>
      <w:r>
        <w:t xml:space="preserve">Table S7. Matched-Null (Shared-Pool) Jaccard Overlap Across Top-N Thresholds</w:t>
      </w:r>
    </w:p>
    <w:p>
      <w:pPr>
        <w:pStyle w:val="FirstParagraph"/>
      </w:pPr>
      <w:r>
        <w:t xml:space="preserve">Observed statistic = mean of the six unique pairwise Jaccard similarities among the four labeled cohorts’ top-N SHAP taxa sets. Null = 100,000 replicates, each drawing four independent random top-N gene sets from the shared 396-genus pool and averaging the same six pairwise Jaccards among them (Section 2.8). Empirical one-sided p = (1 + #{null ≥ observed}) / (n_perm + 1). See Table S13 for the prevalence-restricted (per-cohort eligible universe) sensitivity analysis, which reverses the LightGBM result reported here.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Top-N</w:t>
            </w:r>
          </w:p>
        </w:tc>
        <w:tc>
          <w:tcPr/>
          <w:p>
            <w:pPr>
              <w:pStyle w:val="Compact"/>
            </w:pPr>
            <w:r>
              <w:t xml:space="preserve">Observed Mean (6 pairs)</w:t>
            </w:r>
          </w:p>
        </w:tc>
        <w:tc>
          <w:tcPr/>
          <w:p>
            <w:pPr>
              <w:pStyle w:val="Compact"/>
            </w:pPr>
            <w:r>
              <w:t xml:space="preserve">Null Mean</w:t>
            </w:r>
          </w:p>
        </w:tc>
        <w:tc>
          <w:tcPr/>
          <w:p>
            <w:pPr>
              <w:pStyle w:val="Compact"/>
            </w:pPr>
            <w:r>
              <w:t xml:space="preserve">Null 95% CI</w:t>
            </w:r>
          </w:p>
        </w:tc>
        <w:tc>
          <w:tcPr/>
          <w:p>
            <w:pPr>
              <w:pStyle w:val="Compact"/>
            </w:pPr>
            <w:r>
              <w:t xml:space="preserve">Empirical p</w:t>
            </w:r>
          </w:p>
        </w:tc>
      </w:tr>
      <w:tr>
        <w:tc>
          <w:tcPr/>
          <w:p>
            <w:pPr>
              <w:pStyle w:val="Compact"/>
            </w:pPr>
            <w:r>
              <w:t xml:space="preserve">LogReg</w:t>
            </w:r>
          </w:p>
        </w:tc>
        <w:tc>
          <w:tcPr/>
          <w:p>
            <w:pPr>
              <w:pStyle w:val="Compact"/>
            </w:pPr>
            <w:r>
              <w:t xml:space="preserve">10</w:t>
            </w:r>
          </w:p>
        </w:tc>
        <w:tc>
          <w:tcPr/>
          <w:p>
            <w:pPr>
              <w:pStyle w:val="Compact"/>
            </w:pPr>
            <w:r>
              <w:t xml:space="preserve">0.0850</w:t>
            </w:r>
          </w:p>
        </w:tc>
        <w:tc>
          <w:tcPr/>
          <w:p>
            <w:pPr>
              <w:pStyle w:val="Compact"/>
            </w:pPr>
            <w:r>
              <w:t xml:space="preserve">0.0134</w:t>
            </w:r>
          </w:p>
        </w:tc>
        <w:tc>
          <w:tcPr/>
          <w:p>
            <w:pPr>
              <w:pStyle w:val="Compact"/>
            </w:pPr>
            <w:r>
              <w:t xml:space="preserve">[0.0000, 0.0361]</w:t>
            </w:r>
          </w:p>
        </w:tc>
        <w:tc>
          <w:tcPr/>
          <w:p>
            <w:pPr>
              <w:pStyle w:val="Compact"/>
            </w:pPr>
            <w:r>
              <w:t xml:space="preserve">&lt;0.0001</w:t>
            </w:r>
          </w:p>
        </w:tc>
      </w:tr>
      <w:tr>
        <w:tc>
          <w:tcPr/>
          <w:p>
            <w:pPr>
              <w:pStyle w:val="Compact"/>
            </w:pPr>
            <w:r>
              <w:t xml:space="preserve">LogReg</w:t>
            </w:r>
          </w:p>
        </w:tc>
        <w:tc>
          <w:tcPr/>
          <w:p>
            <w:pPr>
              <w:pStyle w:val="Compact"/>
            </w:pPr>
            <w:r>
              <w:rPr>
                <w:b/>
                <w:bCs/>
              </w:rPr>
              <w:t xml:space="preserve">20 (primary)</w:t>
            </w:r>
          </w:p>
        </w:tc>
        <w:tc>
          <w:tcPr/>
          <w:p>
            <w:pPr>
              <w:pStyle w:val="Compact"/>
            </w:pPr>
            <w:r>
              <w:rPr>
                <w:b/>
                <w:bCs/>
              </w:rPr>
              <w:t xml:space="preserve">0.1350</w:t>
            </w:r>
          </w:p>
        </w:tc>
        <w:tc>
          <w:tcPr/>
          <w:p>
            <w:pPr>
              <w:pStyle w:val="Compact"/>
            </w:pPr>
            <w:r>
              <w:t xml:space="preserve">0.0265</w:t>
            </w:r>
          </w:p>
        </w:tc>
        <w:tc>
          <w:tcPr/>
          <w:p>
            <w:pPr>
              <w:pStyle w:val="Compact"/>
            </w:pPr>
            <w:r>
              <w:t xml:space="preserve">[0.0085, 0.0491]</w:t>
            </w:r>
          </w:p>
        </w:tc>
        <w:tc>
          <w:tcPr/>
          <w:p>
            <w:pPr>
              <w:pStyle w:val="Compact"/>
            </w:pPr>
            <w:r>
              <w:rPr>
                <w:b/>
                <w:bCs/>
              </w:rPr>
              <w:t xml:space="preserve">&lt;0.0001</w:t>
            </w:r>
          </w:p>
        </w:tc>
      </w:tr>
      <w:tr>
        <w:tc>
          <w:tcPr/>
          <w:p>
            <w:pPr>
              <w:pStyle w:val="Compact"/>
            </w:pPr>
            <w:r>
              <w:t xml:space="preserve">LogReg</w:t>
            </w:r>
          </w:p>
        </w:tc>
        <w:tc>
          <w:tcPr/>
          <w:p>
            <w:pPr>
              <w:pStyle w:val="Compact"/>
            </w:pPr>
            <w:r>
              <w:t xml:space="preserve">50</w:t>
            </w:r>
          </w:p>
        </w:tc>
        <w:tc>
          <w:tcPr/>
          <w:p>
            <w:pPr>
              <w:pStyle w:val="Compact"/>
            </w:pPr>
            <w:r>
              <w:t xml:space="preserve">0.2296</w:t>
            </w:r>
          </w:p>
        </w:tc>
        <w:tc>
          <w:tcPr/>
          <w:p>
            <w:pPr>
              <w:pStyle w:val="Compact"/>
            </w:pPr>
            <w:r>
              <w:t xml:space="preserve">0.0680</w:t>
            </w:r>
          </w:p>
        </w:tc>
        <w:tc>
          <w:tcPr/>
          <w:p>
            <w:pPr>
              <w:pStyle w:val="Compact"/>
            </w:pPr>
            <w:r>
              <w:t xml:space="preserve">[0.0491, 0.0895]</w:t>
            </w:r>
          </w:p>
        </w:tc>
        <w:tc>
          <w:tcPr/>
          <w:p>
            <w:pPr>
              <w:pStyle w:val="Compact"/>
            </w:pPr>
            <w:r>
              <w:t xml:space="preserve">&lt;0.0001</w:t>
            </w:r>
          </w:p>
        </w:tc>
      </w:tr>
      <w:tr>
        <w:tc>
          <w:tcPr/>
          <w:p>
            <w:pPr>
              <w:pStyle w:val="Compact"/>
            </w:pPr>
            <w:r>
              <w:t xml:space="preserve">LightGBM</w:t>
            </w:r>
          </w:p>
        </w:tc>
        <w:tc>
          <w:tcPr/>
          <w:p>
            <w:pPr>
              <w:pStyle w:val="Compact"/>
            </w:pPr>
            <w:r>
              <w:t xml:space="preserve">10</w:t>
            </w:r>
          </w:p>
        </w:tc>
        <w:tc>
          <w:tcPr/>
          <w:p>
            <w:pPr>
              <w:pStyle w:val="Compact"/>
            </w:pPr>
            <w:r>
              <w:t xml:space="preserve">0.0175</w:t>
            </w:r>
          </w:p>
        </w:tc>
        <w:tc>
          <w:tcPr/>
          <w:p>
            <w:pPr>
              <w:pStyle w:val="Compact"/>
            </w:pPr>
            <w:r>
              <w:t xml:space="preserve">0.0135</w:t>
            </w:r>
          </w:p>
        </w:tc>
        <w:tc>
          <w:tcPr/>
          <w:p>
            <w:pPr>
              <w:pStyle w:val="Compact"/>
            </w:pPr>
            <w:r>
              <w:t xml:space="preserve">[0.0000, 0.0361]</w:t>
            </w:r>
          </w:p>
        </w:tc>
        <w:tc>
          <w:tcPr/>
          <w:p>
            <w:pPr>
              <w:pStyle w:val="Compact"/>
            </w:pPr>
            <w:r>
              <w:t xml:space="preserve">0.4494 (not significant)</w:t>
            </w:r>
          </w:p>
        </w:tc>
      </w:tr>
      <w:tr>
        <w:tc>
          <w:tcPr/>
          <w:p>
            <w:pPr>
              <w:pStyle w:val="Compact"/>
            </w:pPr>
            <w:r>
              <w:t xml:space="preserve">LightGBM</w:t>
            </w:r>
          </w:p>
        </w:tc>
        <w:tc>
          <w:tcPr/>
          <w:p>
            <w:pPr>
              <w:pStyle w:val="Compact"/>
            </w:pPr>
            <w:r>
              <w:rPr>
                <w:b/>
                <w:bCs/>
              </w:rPr>
              <w:t xml:space="preserve">20 (primary)</w:t>
            </w:r>
          </w:p>
        </w:tc>
        <w:tc>
          <w:tcPr/>
          <w:p>
            <w:pPr>
              <w:pStyle w:val="Compact"/>
            </w:pPr>
            <w:r>
              <w:rPr>
                <w:b/>
                <w:bCs/>
              </w:rPr>
              <w:t xml:space="preserve">0.0584</w:t>
            </w:r>
          </w:p>
        </w:tc>
        <w:tc>
          <w:tcPr/>
          <w:p>
            <w:pPr>
              <w:pStyle w:val="Compact"/>
            </w:pPr>
            <w:r>
              <w:t xml:space="preserve">0.0265</w:t>
            </w:r>
          </w:p>
        </w:tc>
        <w:tc>
          <w:tcPr/>
          <w:p>
            <w:pPr>
              <w:pStyle w:val="Compact"/>
            </w:pPr>
            <w:r>
              <w:t xml:space="preserve">[0.0085, 0.0491]</w:t>
            </w:r>
          </w:p>
        </w:tc>
        <w:tc>
          <w:tcPr/>
          <w:p>
            <w:pPr>
              <w:pStyle w:val="Compact"/>
            </w:pPr>
            <w:r>
              <w:rPr>
                <w:b/>
                <w:bCs/>
              </w:rPr>
              <w:t xml:space="preserve">0.0048</w:t>
            </w:r>
          </w:p>
        </w:tc>
      </w:tr>
      <w:tr>
        <w:tc>
          <w:tcPr/>
          <w:p>
            <w:pPr>
              <w:pStyle w:val="Compact"/>
            </w:pPr>
            <w:r>
              <w:t xml:space="preserve">LightGBM</w:t>
            </w:r>
          </w:p>
        </w:tc>
        <w:tc>
          <w:tcPr/>
          <w:p>
            <w:pPr>
              <w:pStyle w:val="Compact"/>
            </w:pPr>
            <w:r>
              <w:t xml:space="preserve">50</w:t>
            </w:r>
          </w:p>
        </w:tc>
        <w:tc>
          <w:tcPr/>
          <w:p>
            <w:pPr>
              <w:pStyle w:val="Compact"/>
            </w:pPr>
            <w:r>
              <w:t xml:space="preserve">0.1430</w:t>
            </w:r>
          </w:p>
        </w:tc>
        <w:tc>
          <w:tcPr/>
          <w:p>
            <w:pPr>
              <w:pStyle w:val="Compact"/>
            </w:pPr>
            <w:r>
              <w:t xml:space="preserve">0.0680</w:t>
            </w:r>
          </w:p>
        </w:tc>
        <w:tc>
          <w:tcPr/>
          <w:p>
            <w:pPr>
              <w:pStyle w:val="Compact"/>
            </w:pPr>
            <w:r>
              <w:t xml:space="preserve">[0.0492, 0.0894]</w:t>
            </w:r>
          </w:p>
        </w:tc>
        <w:tc>
          <w:tcPr/>
          <w:p>
            <w:pPr>
              <w:pStyle w:val="Compact"/>
            </w:pPr>
            <w:r>
              <w:t xml:space="preserve">&lt;0.0001</w:t>
            </w:r>
          </w:p>
        </w:tc>
      </w:tr>
    </w:tbl>
    <w:p>
      <w:pPr>
        <w:pStyle w:val="BodyText"/>
      </w:pPr>
      <w:r>
        <w:t xml:space="preserve">LightGBM’s overlap is significant at N=20 and N=50 but not at N=10 under this shared-pool null. Table S13 shows this result does not survive a prevalence-restricted null model.</w:t>
      </w:r>
    </w:p>
    <w:p>
      <w:pPr>
        <w:pStyle w:val="BodyText"/>
      </w:pPr>
      <w:r>
        <w:rPr>
          <w:i/>
          <w:iCs/>
        </w:rPr>
        <w:t xml:space="preserve">Source data:</w:t>
      </w:r>
      <w:r>
        <w:t xml:space="preserve"> </w:t>
      </w:r>
      <w:r>
        <w:rPr>
          <w:rStyle w:val="VerbatimChar"/>
        </w:rPr>
        <w:t xml:space="preserve">results/tables/jaccard_null_corrected.csv</w:t>
      </w:r>
      <w:r>
        <w:t xml:space="preserve">.</w:t>
      </w:r>
    </w:p>
    <w:p>
      <w:r>
        <w:pict>
          <v:rect style="width:0;height:1.5pt" o:hralign="center" o:hrstd="t" o:hr="t"/>
        </w:pict>
      </w:r>
    </w:p>
    <w:bookmarkEnd w:id="15"/>
    <w:bookmarkStart w:id="16" w:name="X71595d79ae018701605e8f9960eedf92b5a01b8"/>
    <w:p>
      <w:pPr>
        <w:pStyle w:val="Heading3"/>
      </w:pPr>
      <w:r>
        <w:t xml:space="preserve">Table S8. Zhu 2022 Repeated Nested Cross-Validation (Fold-Assignment Stability)</w:t>
      </w:r>
    </w:p>
    <w:p>
      <w:pPr>
        <w:pStyle w:val="FirstParagraph"/>
      </w:pPr>
      <w:r>
        <w:t xml:space="preserve">50 repetitions of the 10-fold outer / 5-fold inner nested-CV partition, each under a different pre-specified seed, strict training-only genus selection re-derived within every outer fold of every repetition (Section 2.4.1). This is a fold-assignment stability check on the same 60 participants, not an independent-sample replication.</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Model</w:t>
            </w:r>
          </w:p>
        </w:tc>
        <w:tc>
          <w:tcPr/>
          <w:p>
            <w:pPr>
              <w:pStyle w:val="Compact"/>
            </w:pPr>
            <w:r>
              <w:t xml:space="preserve">Historical Single-Partition AUC</w:t>
            </w:r>
          </w:p>
        </w:tc>
        <w:tc>
          <w:tcPr/>
          <w:p>
            <w:pPr>
              <w:pStyle w:val="Compact"/>
            </w:pPr>
            <w:r>
              <w:t xml:space="preserve">Training-Only Single-Partition AUC</w:t>
            </w:r>
          </w:p>
        </w:tc>
        <w:tc>
          <w:tcPr/>
          <w:p>
            <w:pPr>
              <w:pStyle w:val="Compact"/>
            </w:pPr>
            <w:r>
              <w:t xml:space="preserve">Repeated-CV Mean</w:t>
            </w:r>
          </w:p>
        </w:tc>
        <w:tc>
          <w:tcPr/>
          <w:p>
            <w:pPr>
              <w:pStyle w:val="Compact"/>
            </w:pPr>
            <w:r>
              <w:t xml:space="preserve">SD</w:t>
            </w:r>
          </w:p>
        </w:tc>
        <w:tc>
          <w:tcPr/>
          <w:p>
            <w:pPr>
              <w:pStyle w:val="Compact"/>
            </w:pPr>
            <w:r>
              <w:t xml:space="preserve">Median</w:t>
            </w:r>
          </w:p>
        </w:tc>
        <w:tc>
          <w:tcPr/>
          <w:p>
            <w:pPr>
              <w:pStyle w:val="Compact"/>
            </w:pPr>
            <w:r>
              <w:t xml:space="preserve">P2.5</w:t>
            </w:r>
          </w:p>
        </w:tc>
        <w:tc>
          <w:tcPr/>
          <w:p>
            <w:pPr>
              <w:pStyle w:val="Compact"/>
            </w:pPr>
            <w:r>
              <w:t xml:space="preserve">P97.5</w:t>
            </w:r>
          </w:p>
        </w:tc>
        <w:tc>
          <w:tcPr/>
          <w:p>
            <w:pPr>
              <w:pStyle w:val="Compact"/>
            </w:pPr>
            <w:r>
              <w:t xml:space="preserve">Min</w:t>
            </w:r>
          </w:p>
        </w:tc>
        <w:tc>
          <w:tcPr/>
          <w:p>
            <w:pPr>
              <w:pStyle w:val="Compact"/>
            </w:pPr>
            <w:r>
              <w:t xml:space="preserve">Max</w:t>
            </w:r>
          </w:p>
        </w:tc>
        <w:tc>
          <w:tcPr/>
          <w:p>
            <w:pPr>
              <w:pStyle w:val="Compact"/>
            </w:pPr>
            <w:r>
              <w:t xml:space="preserve">N Repeats</w:t>
            </w:r>
          </w:p>
        </w:tc>
      </w:tr>
      <w:tr>
        <w:tc>
          <w:tcPr/>
          <w:p>
            <w:pPr>
              <w:pStyle w:val="Compact"/>
            </w:pPr>
            <w:r>
              <w:t xml:space="preserve">LogReg</w:t>
            </w:r>
          </w:p>
        </w:tc>
        <w:tc>
          <w:tcPr/>
          <w:p>
            <w:pPr>
              <w:pStyle w:val="Compact"/>
            </w:pPr>
            <w:r>
              <w:t xml:space="preserve">0.998</w:t>
            </w:r>
          </w:p>
        </w:tc>
        <w:tc>
          <w:tcPr/>
          <w:p>
            <w:pPr>
              <w:pStyle w:val="Compact"/>
            </w:pPr>
            <w:r>
              <w:t xml:space="preserve">0.9956</w:t>
            </w:r>
          </w:p>
        </w:tc>
        <w:tc>
          <w:tcPr/>
          <w:p>
            <w:pPr>
              <w:pStyle w:val="Compact"/>
            </w:pPr>
            <w:r>
              <w:t xml:space="preserve">0.9955</w:t>
            </w:r>
          </w:p>
        </w:tc>
        <w:tc>
          <w:tcPr/>
          <w:p>
            <w:pPr>
              <w:pStyle w:val="Compact"/>
            </w:pPr>
            <w:r>
              <w:t xml:space="preserve">0.0027</w:t>
            </w:r>
          </w:p>
        </w:tc>
        <w:tc>
          <w:tcPr/>
          <w:p>
            <w:pPr>
              <w:pStyle w:val="Compact"/>
            </w:pPr>
            <w:r>
              <w:t xml:space="preserve">0.9956</w:t>
            </w:r>
          </w:p>
        </w:tc>
        <w:tc>
          <w:tcPr/>
          <w:p>
            <w:pPr>
              <w:pStyle w:val="Compact"/>
            </w:pPr>
            <w:r>
              <w:t xml:space="preserve">0.9900</w:t>
            </w:r>
          </w:p>
        </w:tc>
        <w:tc>
          <w:tcPr/>
          <w:p>
            <w:pPr>
              <w:pStyle w:val="Compact"/>
            </w:pPr>
            <w:r>
              <w:t xml:space="preserve">0.9989</w:t>
            </w:r>
          </w:p>
        </w:tc>
        <w:tc>
          <w:tcPr/>
          <w:p>
            <w:pPr>
              <w:pStyle w:val="Compact"/>
            </w:pPr>
            <w:r>
              <w:t xml:space="preserve">0.9889</w:t>
            </w:r>
          </w:p>
        </w:tc>
        <w:tc>
          <w:tcPr/>
          <w:p>
            <w:pPr>
              <w:pStyle w:val="Compact"/>
            </w:pPr>
            <w:r>
              <w:t xml:space="preserve">0.9989</w:t>
            </w:r>
          </w:p>
        </w:tc>
        <w:tc>
          <w:tcPr/>
          <w:p>
            <w:pPr>
              <w:pStyle w:val="Compact"/>
            </w:pPr>
            <w:r>
              <w:t xml:space="preserve">50</w:t>
            </w:r>
          </w:p>
        </w:tc>
      </w:tr>
      <w:tr>
        <w:tc>
          <w:tcPr/>
          <w:p>
            <w:pPr>
              <w:pStyle w:val="Compact"/>
            </w:pPr>
            <w:r>
              <w:t xml:space="preserve">LGBM</w:t>
            </w:r>
          </w:p>
        </w:tc>
        <w:tc>
          <w:tcPr/>
          <w:p>
            <w:pPr>
              <w:pStyle w:val="Compact"/>
            </w:pPr>
            <w:r>
              <w:t xml:space="preserve">0.979</w:t>
            </w:r>
          </w:p>
        </w:tc>
        <w:tc>
          <w:tcPr/>
          <w:p>
            <w:pPr>
              <w:pStyle w:val="Compact"/>
            </w:pPr>
            <w:r>
              <w:t xml:space="preserve">0.9700</w:t>
            </w:r>
          </w:p>
        </w:tc>
        <w:tc>
          <w:tcPr/>
          <w:p>
            <w:pPr>
              <w:pStyle w:val="Compact"/>
            </w:pPr>
            <w:r>
              <w:t xml:space="preserve">0.9760</w:t>
            </w:r>
          </w:p>
        </w:tc>
        <w:tc>
          <w:tcPr/>
          <w:p>
            <w:pPr>
              <w:pStyle w:val="Compact"/>
            </w:pPr>
            <w:r>
              <w:t xml:space="preserve">0.0103</w:t>
            </w:r>
          </w:p>
        </w:tc>
        <w:tc>
          <w:tcPr/>
          <w:p>
            <w:pPr>
              <w:pStyle w:val="Compact"/>
            </w:pPr>
            <w:r>
              <w:t xml:space="preserve">0.9767</w:t>
            </w:r>
          </w:p>
        </w:tc>
        <w:tc>
          <w:tcPr/>
          <w:p>
            <w:pPr>
              <w:pStyle w:val="Compact"/>
            </w:pPr>
            <w:r>
              <w:t xml:space="preserve">0.9519</w:t>
            </w:r>
          </w:p>
        </w:tc>
        <w:tc>
          <w:tcPr/>
          <w:p>
            <w:pPr>
              <w:pStyle w:val="Compact"/>
            </w:pPr>
            <w:r>
              <w:t xml:space="preserve">0.9917</w:t>
            </w:r>
          </w:p>
        </w:tc>
        <w:tc>
          <w:tcPr/>
          <w:p>
            <w:pPr>
              <w:pStyle w:val="Compact"/>
            </w:pPr>
            <w:r>
              <w:t xml:space="preserve">0.9378</w:t>
            </w:r>
          </w:p>
        </w:tc>
        <w:tc>
          <w:tcPr/>
          <w:p>
            <w:pPr>
              <w:pStyle w:val="Compact"/>
            </w:pPr>
            <w:r>
              <w:t xml:space="preserve">0.9944</w:t>
            </w:r>
          </w:p>
        </w:tc>
        <w:tc>
          <w:tcPr/>
          <w:p>
            <w:pPr>
              <w:pStyle w:val="Compact"/>
            </w:pPr>
            <w:r>
              <w:t xml:space="preserve">50</w:t>
            </w:r>
          </w:p>
        </w:tc>
      </w:tr>
    </w:tbl>
    <w:p>
      <w:pPr>
        <w:pStyle w:val="BodyText"/>
      </w:pPr>
      <w:r>
        <w:rPr>
          <w:i/>
          <w:iCs/>
        </w:rPr>
        <w:t xml:space="preserve">Source data:</w:t>
      </w:r>
      <w:r>
        <w:t xml:space="preserve"> </w:t>
      </w:r>
      <w:r>
        <w:rPr>
          <w:rStyle w:val="VerbatimChar"/>
        </w:rPr>
        <w:t xml:space="preserve">results/tables/zhu_repeated_nested_cv.csv</w:t>
      </w:r>
      <w:r>
        <w:t xml:space="preserve"> </w:t>
      </w:r>
      <w:r>
        <w:t xml:space="preserve">(per-repeat),</w:t>
      </w:r>
      <w:r>
        <w:t xml:space="preserve"> </w:t>
      </w:r>
      <w:r>
        <w:rPr>
          <w:rStyle w:val="VerbatimChar"/>
        </w:rPr>
        <w:t xml:space="preserve">results/tables/zhu_repeated_nested_cv_summary.csv</w:t>
      </w:r>
      <w:r>
        <w:t xml:space="preserve">.</w:t>
      </w:r>
    </w:p>
    <w:p>
      <w:r>
        <w:pict>
          <v:rect style="width:0;height:1.5pt" o:hralign="center" o:hrstd="t" o:hr="t"/>
        </w:pict>
      </w:r>
    </w:p>
    <w:bookmarkEnd w:id="16"/>
    <w:bookmarkStart w:id="17" w:name="Xab99acb304931f2a957786fe43fd7a0bd00d418"/>
    <w:p>
      <w:pPr>
        <w:pStyle w:val="Heading3"/>
      </w:pPr>
      <w:r>
        <w:t xml:space="preserve">Table S9. Zhu 2022 Label Permutation Test</w:t>
      </w:r>
    </w:p>
    <w:p>
      <w:pPr>
        <w:pStyle w:val="FirstParagraph"/>
      </w:pPr>
      <w:r>
        <w:t xml:space="preserve">Label-permutation test under the strict training-only pipeline and the fixed outer-fold partition (random_state=42; Section 2.4.1). Empirical p = (1 + #{null AUC ≥ observed}) / (n_perm + 1).</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w:t>
            </w:r>
          </w:p>
        </w:tc>
        <w:tc>
          <w:tcPr/>
          <w:p>
            <w:pPr>
              <w:pStyle w:val="Compact"/>
            </w:pPr>
            <w:r>
              <w:t xml:space="preserve">Observed AUC (Training-Only)</w:t>
            </w:r>
          </w:p>
        </w:tc>
        <w:tc>
          <w:tcPr/>
          <w:p>
            <w:pPr>
              <w:pStyle w:val="Compact"/>
            </w:pPr>
            <w:r>
              <w:t xml:space="preserve">N Permutations</w:t>
            </w:r>
          </w:p>
        </w:tc>
        <w:tc>
          <w:tcPr/>
          <w:p>
            <w:pPr>
              <w:pStyle w:val="Compact"/>
            </w:pPr>
            <w:r>
              <w:t xml:space="preserve">Null Mean</w:t>
            </w:r>
          </w:p>
        </w:tc>
        <w:tc>
          <w:tcPr/>
          <w:p>
            <w:pPr>
              <w:pStyle w:val="Compact"/>
            </w:pPr>
            <w:r>
              <w:t xml:space="preserve">Null SD</w:t>
            </w:r>
          </w:p>
        </w:tc>
        <w:tc>
          <w:tcPr/>
          <w:p>
            <w:pPr>
              <w:pStyle w:val="Compact"/>
            </w:pPr>
            <w:r>
              <w:t xml:space="preserve">Null P2.5</w:t>
            </w:r>
          </w:p>
        </w:tc>
        <w:tc>
          <w:tcPr/>
          <w:p>
            <w:pPr>
              <w:pStyle w:val="Compact"/>
            </w:pPr>
            <w:r>
              <w:t xml:space="preserve">Null P97.5</w:t>
            </w:r>
          </w:p>
        </w:tc>
        <w:tc>
          <w:tcPr/>
          <w:p>
            <w:pPr>
              <w:pStyle w:val="Compact"/>
            </w:pPr>
            <w:r>
              <w:t xml:space="preserve">Empirical p</w:t>
            </w:r>
          </w:p>
        </w:tc>
        <w:tc>
          <w:tcPr/>
          <w:p>
            <w:pPr>
              <w:pStyle w:val="Compact"/>
            </w:pPr>
            <w:r>
              <w:t xml:space="preserve">p Resolution Floor</w:t>
            </w:r>
          </w:p>
        </w:tc>
      </w:tr>
      <w:tr>
        <w:tc>
          <w:tcPr/>
          <w:p>
            <w:pPr>
              <w:pStyle w:val="Compact"/>
            </w:pPr>
            <w:r>
              <w:t xml:space="preserve">LogReg</w:t>
            </w:r>
          </w:p>
        </w:tc>
        <w:tc>
          <w:tcPr/>
          <w:p>
            <w:pPr>
              <w:pStyle w:val="Compact"/>
            </w:pPr>
            <w:r>
              <w:t xml:space="preserve">0.9956</w:t>
            </w:r>
          </w:p>
        </w:tc>
        <w:tc>
          <w:tcPr/>
          <w:p>
            <w:pPr>
              <w:pStyle w:val="Compact"/>
            </w:pPr>
            <w:r>
              <w:t xml:space="preserve">1000</w:t>
            </w:r>
          </w:p>
        </w:tc>
        <w:tc>
          <w:tcPr/>
          <w:p>
            <w:pPr>
              <w:pStyle w:val="Compact"/>
            </w:pPr>
            <w:r>
              <w:t xml:space="preserve">0.4731</w:t>
            </w:r>
          </w:p>
        </w:tc>
        <w:tc>
          <w:tcPr/>
          <w:p>
            <w:pPr>
              <w:pStyle w:val="Compact"/>
            </w:pPr>
            <w:r>
              <w:t xml:space="preserve">0.1017</w:t>
            </w:r>
          </w:p>
        </w:tc>
        <w:tc>
          <w:tcPr/>
          <w:p>
            <w:pPr>
              <w:pStyle w:val="Compact"/>
            </w:pPr>
            <w:r>
              <w:t xml:space="preserve">0.2800</w:t>
            </w:r>
          </w:p>
        </w:tc>
        <w:tc>
          <w:tcPr/>
          <w:p>
            <w:pPr>
              <w:pStyle w:val="Compact"/>
            </w:pPr>
            <w:r>
              <w:t xml:space="preserve">0.6734</w:t>
            </w:r>
          </w:p>
        </w:tc>
        <w:tc>
          <w:tcPr/>
          <w:p>
            <w:pPr>
              <w:pStyle w:val="Compact"/>
            </w:pPr>
            <w:r>
              <w:t xml:space="preserve">0.000999</w:t>
            </w:r>
          </w:p>
        </w:tc>
        <w:tc>
          <w:tcPr/>
          <w:p>
            <w:pPr>
              <w:pStyle w:val="Compact"/>
            </w:pPr>
            <w:r>
              <w:t xml:space="preserve">0.000999</w:t>
            </w:r>
          </w:p>
        </w:tc>
      </w:tr>
      <w:tr>
        <w:tc>
          <w:tcPr/>
          <w:p>
            <w:pPr>
              <w:pStyle w:val="Compact"/>
            </w:pPr>
            <w:r>
              <w:t xml:space="preserve">LGBM</w:t>
            </w:r>
          </w:p>
        </w:tc>
        <w:tc>
          <w:tcPr/>
          <w:p>
            <w:pPr>
              <w:pStyle w:val="Compact"/>
            </w:pPr>
            <w:r>
              <w:t xml:space="preserve">0.9700</w:t>
            </w:r>
          </w:p>
        </w:tc>
        <w:tc>
          <w:tcPr/>
          <w:p>
            <w:pPr>
              <w:pStyle w:val="Compact"/>
            </w:pPr>
            <w:r>
              <w:t xml:space="preserve">1000</w:t>
            </w:r>
          </w:p>
        </w:tc>
        <w:tc>
          <w:tcPr/>
          <w:p>
            <w:pPr>
              <w:pStyle w:val="Compact"/>
            </w:pPr>
            <w:r>
              <w:t xml:space="preserve">0.4719</w:t>
            </w:r>
          </w:p>
        </w:tc>
        <w:tc>
          <w:tcPr/>
          <w:p>
            <w:pPr>
              <w:pStyle w:val="Compact"/>
            </w:pPr>
            <w:r>
              <w:t xml:space="preserve">0.1094</w:t>
            </w:r>
          </w:p>
        </w:tc>
        <w:tc>
          <w:tcPr/>
          <w:p>
            <w:pPr>
              <w:pStyle w:val="Compact"/>
            </w:pPr>
            <w:r>
              <w:t xml:space="preserve">0.2643</w:t>
            </w:r>
          </w:p>
        </w:tc>
        <w:tc>
          <w:tcPr/>
          <w:p>
            <w:pPr>
              <w:pStyle w:val="Compact"/>
            </w:pPr>
            <w:r>
              <w:t xml:space="preserve">0.6878</w:t>
            </w:r>
          </w:p>
        </w:tc>
        <w:tc>
          <w:tcPr/>
          <w:p>
            <w:pPr>
              <w:pStyle w:val="Compact"/>
            </w:pPr>
            <w:r>
              <w:t xml:space="preserve">0.000999</w:t>
            </w:r>
          </w:p>
        </w:tc>
        <w:tc>
          <w:tcPr/>
          <w:p>
            <w:pPr>
              <w:pStyle w:val="Compact"/>
            </w:pPr>
            <w:r>
              <w:t xml:space="preserve">0.000999</w:t>
            </w:r>
          </w:p>
        </w:tc>
      </w:tr>
    </w:tbl>
    <w:p>
      <w:pPr>
        <w:pStyle w:val="BodyText"/>
      </w:pPr>
      <w:r>
        <w:t xml:space="preserve">No permutation among the 1,000 drawn reached the observed AUC for either model; the empirical p-value is therefore at the resolution floor for this permutation count (1/1,001) and should not be interpreted as more precise than that floor.</w:t>
      </w:r>
    </w:p>
    <w:p>
      <w:pPr>
        <w:pStyle w:val="BodyText"/>
      </w:pPr>
      <w:r>
        <w:rPr>
          <w:i/>
          <w:iCs/>
        </w:rPr>
        <w:t xml:space="preserve">Source data:</w:t>
      </w:r>
      <w:r>
        <w:t xml:space="preserve"> </w:t>
      </w:r>
      <w:r>
        <w:rPr>
          <w:rStyle w:val="VerbatimChar"/>
        </w:rPr>
        <w:t xml:space="preserve">results/tables/zhu_label_permutation.csv</w:t>
      </w:r>
      <w:r>
        <w:t xml:space="preserve"> </w:t>
      </w:r>
      <w:r>
        <w:t xml:space="preserve">(per-permutation),</w:t>
      </w:r>
      <w:r>
        <w:t xml:space="preserve"> </w:t>
      </w:r>
      <w:r>
        <w:rPr>
          <w:rStyle w:val="VerbatimChar"/>
        </w:rPr>
        <w:t xml:space="preserve">results/tables/zhu_label_permutation_summary.csv</w:t>
      </w:r>
      <w:r>
        <w:t xml:space="preserve">.</w:t>
      </w:r>
    </w:p>
    <w:p>
      <w:r>
        <w:pict>
          <v:rect style="width:0;height:1.5pt" o:hralign="center" o:hrstd="t" o:hr="t"/>
        </w:pict>
      </w:r>
    </w:p>
    <w:bookmarkEnd w:id="17"/>
    <w:bookmarkStart w:id="18" w:name="Xdb7ffbf136e55fbb1fef38c1290ec962f92405d"/>
    <w:p>
      <w:pPr>
        <w:pStyle w:val="Heading3"/>
      </w:pPr>
      <w:r>
        <w:t xml:space="preserve">Table S10. Formal Within-Cohort vs. LOCO AUC Difference (Paired, Diagnosis-Stratified Bootstrap)</w:t>
      </w:r>
    </w:p>
    <w:p>
      <w:pPr>
        <w:pStyle w:val="FirstParagraph"/>
      </w:pPr>
      <w:r>
        <w:t xml:space="preserve">Paired, diagnosis-stratified, participant-level bootstrap (10,000 replicates; Section 2.5.2). Δ (= AUC-within minus AUC-LOCO) is computed on identical resampled participants for both AUC values in each replicate.</w:t>
      </w:r>
      <w:r>
        <w:t xml:space="preserve"> </w:t>
      </w:r>
      <w:r>
        <w:t xml:space="preserve">“Proportion Δ≤0”</w:t>
      </w:r>
      <w:r>
        <w:t xml:space="preserve"> </w:t>
      </w:r>
      <w:r>
        <w:t xml:space="preserve">is the fraction of bootstrap replicates with a non-positive delta.</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Cohort</w:t>
            </w:r>
          </w:p>
        </w:tc>
        <w:tc>
          <w:tcPr/>
          <w:p>
            <w:pPr>
              <w:pStyle w:val="Compact"/>
            </w:pPr>
            <w:r>
              <w:t xml:space="preserve">Model</w:t>
            </w:r>
          </w:p>
        </w:tc>
        <w:tc>
          <w:tcPr/>
          <w:p>
            <w:pPr>
              <w:pStyle w:val="Compact"/>
            </w:pPr>
            <w:r>
              <w:t xml:space="preserve">N</w:t>
            </w:r>
          </w:p>
        </w:tc>
        <w:tc>
          <w:tcPr/>
          <w:p>
            <w:pPr>
              <w:pStyle w:val="Compact"/>
            </w:pPr>
            <w:r>
              <w:t xml:space="preserve">AUC Within</w:t>
            </w:r>
          </w:p>
        </w:tc>
        <w:tc>
          <w:tcPr/>
          <w:p>
            <w:pPr>
              <w:pStyle w:val="Compact"/>
            </w:pPr>
            <w:r>
              <w:t xml:space="preserve">AUC LOCO</w:t>
            </w:r>
          </w:p>
        </w:tc>
        <w:tc>
          <w:tcPr/>
          <w:p>
            <w:pPr>
              <w:pStyle w:val="Compact"/>
            </w:pPr>
            <w:r>
              <w:t xml:space="preserve">Observed Δ</w:t>
            </w:r>
          </w:p>
        </w:tc>
        <w:tc>
          <w:tcPr/>
          <w:p>
            <w:pPr>
              <w:pStyle w:val="Compact"/>
            </w:pPr>
            <w:r>
              <w:t xml:space="preserve">Bootstrap Mean Δ</w:t>
            </w:r>
          </w:p>
        </w:tc>
        <w:tc>
          <w:tcPr/>
          <w:p>
            <w:pPr>
              <w:pStyle w:val="Compact"/>
            </w:pPr>
            <w:r>
              <w:t xml:space="preserve">95% CI</w:t>
            </w:r>
          </w:p>
        </w:tc>
        <w:tc>
          <w:tcPr/>
          <w:p>
            <w:pPr>
              <w:pStyle w:val="Compact"/>
            </w:pPr>
            <w:r>
              <w:t xml:space="preserve">Proportion Δ≤0</w:t>
            </w:r>
          </w:p>
        </w:tc>
      </w:tr>
      <w:tr>
        <w:tc>
          <w:tcPr/>
          <w:p>
            <w:pPr>
              <w:pStyle w:val="Compact"/>
            </w:pPr>
            <w:r>
              <w:t xml:space="preserve">Zhuang 2018</w:t>
            </w:r>
          </w:p>
        </w:tc>
        <w:tc>
          <w:tcPr/>
          <w:p>
            <w:pPr>
              <w:pStyle w:val="Compact"/>
            </w:pPr>
            <w:r>
              <w:t xml:space="preserve">LogReg</w:t>
            </w:r>
          </w:p>
        </w:tc>
        <w:tc>
          <w:tcPr/>
          <w:p>
            <w:pPr>
              <w:pStyle w:val="Compact"/>
            </w:pPr>
            <w:r>
              <w:t xml:space="preserve">86</w:t>
            </w:r>
          </w:p>
        </w:tc>
        <w:tc>
          <w:tcPr/>
          <w:p>
            <w:pPr>
              <w:pStyle w:val="Compact"/>
            </w:pPr>
            <w:r>
              <w:t xml:space="preserve">0.6333</w:t>
            </w:r>
          </w:p>
        </w:tc>
        <w:tc>
          <w:tcPr/>
          <w:p>
            <w:pPr>
              <w:pStyle w:val="Compact"/>
            </w:pPr>
            <w:r>
              <w:t xml:space="preserve">0.5041</w:t>
            </w:r>
          </w:p>
        </w:tc>
        <w:tc>
          <w:tcPr/>
          <w:p>
            <w:pPr>
              <w:pStyle w:val="Compact"/>
            </w:pPr>
            <w:r>
              <w:t xml:space="preserve">0.1293</w:t>
            </w:r>
          </w:p>
        </w:tc>
        <w:tc>
          <w:tcPr/>
          <w:p>
            <w:pPr>
              <w:pStyle w:val="Compact"/>
            </w:pPr>
            <w:r>
              <w:t xml:space="preserve">0.1280</w:t>
            </w:r>
          </w:p>
        </w:tc>
        <w:tc>
          <w:tcPr/>
          <w:p>
            <w:pPr>
              <w:pStyle w:val="Compact"/>
            </w:pPr>
            <w:r>
              <w:t xml:space="preserve">[−0.047, 0.303]</w:t>
            </w:r>
          </w:p>
        </w:tc>
        <w:tc>
          <w:tcPr/>
          <w:p>
            <w:pPr>
              <w:pStyle w:val="Compact"/>
            </w:pPr>
            <w:r>
              <w:t xml:space="preserve">0.0787</w:t>
            </w:r>
          </w:p>
        </w:tc>
      </w:tr>
      <w:tr>
        <w:tc>
          <w:tcPr/>
          <w:p>
            <w:pPr>
              <w:pStyle w:val="Compact"/>
            </w:pPr>
            <w:r>
              <w:t xml:space="preserve">Zhuang 2018</w:t>
            </w:r>
          </w:p>
        </w:tc>
        <w:tc>
          <w:tcPr/>
          <w:p>
            <w:pPr>
              <w:pStyle w:val="Compact"/>
            </w:pPr>
            <w:r>
              <w:t xml:space="preserve">LGBM</w:t>
            </w:r>
          </w:p>
        </w:tc>
        <w:tc>
          <w:tcPr/>
          <w:p>
            <w:pPr>
              <w:pStyle w:val="Compact"/>
            </w:pPr>
            <w:r>
              <w:t xml:space="preserve">86</w:t>
            </w:r>
          </w:p>
        </w:tc>
        <w:tc>
          <w:tcPr/>
          <w:p>
            <w:pPr>
              <w:pStyle w:val="Compact"/>
            </w:pPr>
            <w:r>
              <w:t xml:space="preserve">0.6349</w:t>
            </w:r>
          </w:p>
        </w:tc>
        <w:tc>
          <w:tcPr/>
          <w:p>
            <w:pPr>
              <w:pStyle w:val="Compact"/>
            </w:pPr>
            <w:r>
              <w:t xml:space="preserve">0.5646</w:t>
            </w:r>
          </w:p>
        </w:tc>
        <w:tc>
          <w:tcPr/>
          <w:p>
            <w:pPr>
              <w:pStyle w:val="Compact"/>
            </w:pPr>
            <w:r>
              <w:t xml:space="preserve">0.0703</w:t>
            </w:r>
          </w:p>
        </w:tc>
        <w:tc>
          <w:tcPr/>
          <w:p>
            <w:pPr>
              <w:pStyle w:val="Compact"/>
            </w:pPr>
            <w:r>
              <w:t xml:space="preserve">0.0705</w:t>
            </w:r>
          </w:p>
        </w:tc>
        <w:tc>
          <w:tcPr/>
          <w:p>
            <w:pPr>
              <w:pStyle w:val="Compact"/>
            </w:pPr>
            <w:r>
              <w:t xml:space="preserve">[−0.100, 0.239]</w:t>
            </w:r>
          </w:p>
        </w:tc>
        <w:tc>
          <w:tcPr/>
          <w:p>
            <w:pPr>
              <w:pStyle w:val="Compact"/>
            </w:pPr>
            <w:r>
              <w:t xml:space="preserve">0.2138</w:t>
            </w:r>
          </w:p>
        </w:tc>
      </w:tr>
      <w:tr>
        <w:tc>
          <w:tcPr/>
          <w:p>
            <w:pPr>
              <w:pStyle w:val="Compact"/>
            </w:pPr>
            <w:r>
              <w:t xml:space="preserve">Ling 2020</w:t>
            </w:r>
          </w:p>
        </w:tc>
        <w:tc>
          <w:tcPr/>
          <w:p>
            <w:pPr>
              <w:pStyle w:val="Compact"/>
            </w:pPr>
            <w:r>
              <w:t xml:space="preserve">LogReg</w:t>
            </w:r>
          </w:p>
        </w:tc>
        <w:tc>
          <w:tcPr/>
          <w:p>
            <w:pPr>
              <w:pStyle w:val="Compact"/>
            </w:pPr>
            <w:r>
              <w:t xml:space="preserve">171</w:t>
            </w:r>
          </w:p>
        </w:tc>
        <w:tc>
          <w:tcPr/>
          <w:p>
            <w:pPr>
              <w:pStyle w:val="Compact"/>
            </w:pPr>
            <w:r>
              <w:t xml:space="preserve">0.8648</w:t>
            </w:r>
          </w:p>
        </w:tc>
        <w:tc>
          <w:tcPr/>
          <w:p>
            <w:pPr>
              <w:pStyle w:val="Compact"/>
            </w:pPr>
            <w:r>
              <w:t xml:space="preserve">0.6775</w:t>
            </w:r>
          </w:p>
        </w:tc>
        <w:tc>
          <w:tcPr/>
          <w:p>
            <w:pPr>
              <w:pStyle w:val="Compact"/>
            </w:pPr>
            <w:r>
              <w:t xml:space="preserve">0.1873</w:t>
            </w:r>
          </w:p>
        </w:tc>
        <w:tc>
          <w:tcPr/>
          <w:p>
            <w:pPr>
              <w:pStyle w:val="Compact"/>
            </w:pPr>
            <w:r>
              <w:t xml:space="preserve">0.1871</w:t>
            </w:r>
          </w:p>
        </w:tc>
        <w:tc>
          <w:tcPr/>
          <w:p>
            <w:pPr>
              <w:pStyle w:val="Compact"/>
            </w:pPr>
            <w:r>
              <w:t xml:space="preserve">[0.097, 0.277]</w:t>
            </w:r>
          </w:p>
        </w:tc>
        <w:tc>
          <w:tcPr/>
          <w:p>
            <w:pPr>
              <w:pStyle w:val="Compact"/>
            </w:pPr>
            <w:r>
              <w:t xml:space="preserve">0.0001</w:t>
            </w:r>
          </w:p>
        </w:tc>
      </w:tr>
      <w:tr>
        <w:tc>
          <w:tcPr/>
          <w:p>
            <w:pPr>
              <w:pStyle w:val="Compact"/>
            </w:pPr>
            <w:r>
              <w:t xml:space="preserve">Ling 2020</w:t>
            </w:r>
          </w:p>
        </w:tc>
        <w:tc>
          <w:tcPr/>
          <w:p>
            <w:pPr>
              <w:pStyle w:val="Compact"/>
            </w:pPr>
            <w:r>
              <w:t xml:space="preserve">LGBM</w:t>
            </w:r>
          </w:p>
        </w:tc>
        <w:tc>
          <w:tcPr/>
          <w:p>
            <w:pPr>
              <w:pStyle w:val="Compact"/>
            </w:pPr>
            <w:r>
              <w:t xml:space="preserve">171</w:t>
            </w:r>
          </w:p>
        </w:tc>
        <w:tc>
          <w:tcPr/>
          <w:p>
            <w:pPr>
              <w:pStyle w:val="Compact"/>
            </w:pPr>
            <w:r>
              <w:t xml:space="preserve">0.8618</w:t>
            </w:r>
          </w:p>
        </w:tc>
        <w:tc>
          <w:tcPr/>
          <w:p>
            <w:pPr>
              <w:pStyle w:val="Compact"/>
            </w:pPr>
            <w:r>
              <w:t xml:space="preserve">0.6735</w:t>
            </w:r>
          </w:p>
        </w:tc>
        <w:tc>
          <w:tcPr/>
          <w:p>
            <w:pPr>
              <w:pStyle w:val="Compact"/>
            </w:pPr>
            <w:r>
              <w:t xml:space="preserve">0.1883</w:t>
            </w:r>
          </w:p>
        </w:tc>
        <w:tc>
          <w:tcPr/>
          <w:p>
            <w:pPr>
              <w:pStyle w:val="Compact"/>
            </w:pPr>
            <w:r>
              <w:t xml:space="preserve">0.1886</w:t>
            </w:r>
          </w:p>
        </w:tc>
        <w:tc>
          <w:tcPr/>
          <w:p>
            <w:pPr>
              <w:pStyle w:val="Compact"/>
            </w:pPr>
            <w:r>
              <w:t xml:space="preserve">[0.096, 0.284]</w:t>
            </w:r>
          </w:p>
        </w:tc>
        <w:tc>
          <w:tcPr/>
          <w:p>
            <w:pPr>
              <w:pStyle w:val="Compact"/>
            </w:pPr>
            <w:r>
              <w:t xml:space="preserve">0.0001</w:t>
            </w:r>
          </w:p>
        </w:tc>
      </w:tr>
      <w:tr>
        <w:tc>
          <w:tcPr/>
          <w:p>
            <w:pPr>
              <w:pStyle w:val="Compact"/>
            </w:pPr>
            <w:r>
              <w:t xml:space="preserve">Zhu 2022</w:t>
            </w:r>
          </w:p>
        </w:tc>
        <w:tc>
          <w:tcPr/>
          <w:p>
            <w:pPr>
              <w:pStyle w:val="Compact"/>
            </w:pPr>
            <w:r>
              <w:t xml:space="preserve">LogReg</w:t>
            </w:r>
          </w:p>
        </w:tc>
        <w:tc>
          <w:tcPr/>
          <w:p>
            <w:pPr>
              <w:pStyle w:val="Compact"/>
            </w:pPr>
            <w:r>
              <w:t xml:space="preserve">60</w:t>
            </w:r>
          </w:p>
        </w:tc>
        <w:tc>
          <w:tcPr/>
          <w:p>
            <w:pPr>
              <w:pStyle w:val="Compact"/>
            </w:pPr>
            <w:r>
              <w:t xml:space="preserve">0.9978</w:t>
            </w:r>
          </w:p>
        </w:tc>
        <w:tc>
          <w:tcPr/>
          <w:p>
            <w:pPr>
              <w:pStyle w:val="Compact"/>
            </w:pPr>
            <w:r>
              <w:t xml:space="preserve">0.8133</w:t>
            </w:r>
          </w:p>
        </w:tc>
        <w:tc>
          <w:tcPr/>
          <w:p>
            <w:pPr>
              <w:pStyle w:val="Compact"/>
            </w:pPr>
            <w:r>
              <w:t xml:space="preserve">0.1844</w:t>
            </w:r>
          </w:p>
        </w:tc>
        <w:tc>
          <w:tcPr/>
          <w:p>
            <w:pPr>
              <w:pStyle w:val="Compact"/>
            </w:pPr>
            <w:r>
              <w:t xml:space="preserve">0.1848</w:t>
            </w:r>
          </w:p>
        </w:tc>
        <w:tc>
          <w:tcPr/>
          <w:p>
            <w:pPr>
              <w:pStyle w:val="Compact"/>
            </w:pPr>
            <w:r>
              <w:t xml:space="preserve">[0.072, 0.312]</w:t>
            </w:r>
          </w:p>
        </w:tc>
        <w:tc>
          <w:tcPr/>
          <w:p>
            <w:pPr>
              <w:pStyle w:val="Compact"/>
            </w:pPr>
            <w:r>
              <w:t xml:space="preserve">0.0000</w:t>
            </w:r>
          </w:p>
        </w:tc>
      </w:tr>
      <w:tr>
        <w:tc>
          <w:tcPr/>
          <w:p>
            <w:pPr>
              <w:pStyle w:val="Compact"/>
            </w:pPr>
            <w:r>
              <w:t xml:space="preserve">Zhu 2022</w:t>
            </w:r>
          </w:p>
        </w:tc>
        <w:tc>
          <w:tcPr/>
          <w:p>
            <w:pPr>
              <w:pStyle w:val="Compact"/>
            </w:pPr>
            <w:r>
              <w:t xml:space="preserve">LGBM</w:t>
            </w:r>
          </w:p>
        </w:tc>
        <w:tc>
          <w:tcPr/>
          <w:p>
            <w:pPr>
              <w:pStyle w:val="Compact"/>
            </w:pPr>
            <w:r>
              <w:t xml:space="preserve">60</w:t>
            </w:r>
          </w:p>
        </w:tc>
        <w:tc>
          <w:tcPr/>
          <w:p>
            <w:pPr>
              <w:pStyle w:val="Compact"/>
            </w:pPr>
            <w:r>
              <w:t xml:space="preserve">0.9789</w:t>
            </w:r>
          </w:p>
        </w:tc>
        <w:tc>
          <w:tcPr/>
          <w:p>
            <w:pPr>
              <w:pStyle w:val="Compact"/>
            </w:pPr>
            <w:r>
              <w:t xml:space="preserve">0.7578</w:t>
            </w:r>
          </w:p>
        </w:tc>
        <w:tc>
          <w:tcPr/>
          <w:p>
            <w:pPr>
              <w:pStyle w:val="Compact"/>
            </w:pPr>
            <w:r>
              <w:t xml:space="preserve">0.2211</w:t>
            </w:r>
          </w:p>
        </w:tc>
        <w:tc>
          <w:tcPr/>
          <w:p>
            <w:pPr>
              <w:pStyle w:val="Compact"/>
            </w:pPr>
            <w:r>
              <w:t xml:space="preserve">0.2211</w:t>
            </w:r>
          </w:p>
        </w:tc>
        <w:tc>
          <w:tcPr/>
          <w:p>
            <w:pPr>
              <w:pStyle w:val="Compact"/>
            </w:pPr>
            <w:r>
              <w:t xml:space="preserve">[0.111, 0.346]</w:t>
            </w:r>
          </w:p>
        </w:tc>
        <w:tc>
          <w:tcPr/>
          <w:p>
            <w:pPr>
              <w:pStyle w:val="Compact"/>
            </w:pPr>
            <w:r>
              <w:t xml:space="preserve">0.0000</w:t>
            </w:r>
          </w:p>
        </w:tc>
      </w:tr>
      <w:tr>
        <w:tc>
          <w:tcPr/>
          <w:p>
            <w:pPr>
              <w:pStyle w:val="Compact"/>
            </w:pPr>
            <w:r>
              <w:t xml:space="preserve">Kazakhstan</w:t>
            </w:r>
          </w:p>
        </w:tc>
        <w:tc>
          <w:tcPr/>
          <w:p>
            <w:pPr>
              <w:pStyle w:val="Compact"/>
            </w:pPr>
            <w:r>
              <w:t xml:space="preserve">LogReg</w:t>
            </w:r>
          </w:p>
        </w:tc>
        <w:tc>
          <w:tcPr/>
          <w:p>
            <w:pPr>
              <w:pStyle w:val="Compact"/>
            </w:pPr>
            <w:r>
              <w:t xml:space="preserve">84</w:t>
            </w:r>
          </w:p>
        </w:tc>
        <w:tc>
          <w:tcPr/>
          <w:p>
            <w:pPr>
              <w:pStyle w:val="Compact"/>
            </w:pPr>
            <w:r>
              <w:t xml:space="preserve">0.7657</w:t>
            </w:r>
          </w:p>
        </w:tc>
        <w:tc>
          <w:tcPr/>
          <w:p>
            <w:pPr>
              <w:pStyle w:val="Compact"/>
            </w:pPr>
            <w:r>
              <w:t xml:space="preserve">0.5644</w:t>
            </w:r>
          </w:p>
        </w:tc>
        <w:tc>
          <w:tcPr/>
          <w:p>
            <w:pPr>
              <w:pStyle w:val="Compact"/>
            </w:pPr>
            <w:r>
              <w:t xml:space="preserve">0.2014</w:t>
            </w:r>
          </w:p>
        </w:tc>
        <w:tc>
          <w:tcPr/>
          <w:p>
            <w:pPr>
              <w:pStyle w:val="Compact"/>
            </w:pPr>
            <w:r>
              <w:t xml:space="preserve">0.2013</w:t>
            </w:r>
          </w:p>
        </w:tc>
        <w:tc>
          <w:tcPr/>
          <w:p>
            <w:pPr>
              <w:pStyle w:val="Compact"/>
            </w:pPr>
            <w:r>
              <w:t xml:space="preserve">[0.044, 0.357]</w:t>
            </w:r>
          </w:p>
        </w:tc>
        <w:tc>
          <w:tcPr/>
          <w:p>
            <w:pPr>
              <w:pStyle w:val="Compact"/>
            </w:pPr>
            <w:r>
              <w:t xml:space="preserve">0.0051</w:t>
            </w:r>
          </w:p>
        </w:tc>
      </w:tr>
      <w:tr>
        <w:tc>
          <w:tcPr/>
          <w:p>
            <w:pPr>
              <w:pStyle w:val="Compact"/>
            </w:pPr>
            <w:r>
              <w:t xml:space="preserve">Kazakhstan</w:t>
            </w:r>
          </w:p>
        </w:tc>
        <w:tc>
          <w:tcPr/>
          <w:p>
            <w:pPr>
              <w:pStyle w:val="Compact"/>
            </w:pPr>
            <w:r>
              <w:t xml:space="preserve">LGBM</w:t>
            </w:r>
          </w:p>
        </w:tc>
        <w:tc>
          <w:tcPr/>
          <w:p>
            <w:pPr>
              <w:pStyle w:val="Compact"/>
            </w:pPr>
            <w:r>
              <w:t xml:space="preserve">84</w:t>
            </w:r>
          </w:p>
        </w:tc>
        <w:tc>
          <w:tcPr/>
          <w:p>
            <w:pPr>
              <w:pStyle w:val="Compact"/>
            </w:pPr>
            <w:r>
              <w:t xml:space="preserve">0.6943</w:t>
            </w:r>
          </w:p>
        </w:tc>
        <w:tc>
          <w:tcPr/>
          <w:p>
            <w:pPr>
              <w:pStyle w:val="Compact"/>
            </w:pPr>
            <w:r>
              <w:t xml:space="preserve">0.5905</w:t>
            </w:r>
          </w:p>
        </w:tc>
        <w:tc>
          <w:tcPr/>
          <w:p>
            <w:pPr>
              <w:pStyle w:val="Compact"/>
            </w:pPr>
            <w:r>
              <w:t xml:space="preserve">0.1038</w:t>
            </w:r>
          </w:p>
        </w:tc>
        <w:tc>
          <w:tcPr/>
          <w:p>
            <w:pPr>
              <w:pStyle w:val="Compact"/>
            </w:pPr>
            <w:r>
              <w:t xml:space="preserve">0.1038</w:t>
            </w:r>
          </w:p>
        </w:tc>
        <w:tc>
          <w:tcPr/>
          <w:p>
            <w:pPr>
              <w:pStyle w:val="Compact"/>
            </w:pPr>
            <w:r>
              <w:t xml:space="preserve">[−0.049, 0.255]</w:t>
            </w:r>
          </w:p>
        </w:tc>
        <w:tc>
          <w:tcPr/>
          <w:p>
            <w:pPr>
              <w:pStyle w:val="Compact"/>
            </w:pPr>
            <w:r>
              <w:t xml:space="preserve">0.0917</w:t>
            </w:r>
          </w:p>
        </w:tc>
      </w:tr>
    </w:tbl>
    <w:p>
      <w:pPr>
        <w:pStyle w:val="BodyText"/>
      </w:pPr>
      <w:r>
        <w:t xml:space="preserve">Five of eight pairs have a 95% CI excluding zero (Ling 2020 both models, Zhu 2022 both models, Kazakhstan LogReg). Three (Zhuang 2018 both models, Kazakhstan LGBM) show the same-signed delta with a CI that includes zero and are not formally significant at this sample size.</w:t>
      </w:r>
    </w:p>
    <w:p>
      <w:pPr>
        <w:pStyle w:val="BodyText"/>
      </w:pPr>
      <w:r>
        <w:rPr>
          <w:i/>
          <w:iCs/>
        </w:rPr>
        <w:t xml:space="preserve">Source data:</w:t>
      </w:r>
      <w:r>
        <w:t xml:space="preserve"> </w:t>
      </w:r>
      <w:r>
        <w:rPr>
          <w:rStyle w:val="VerbatimChar"/>
        </w:rPr>
        <w:t xml:space="preserve">results/tables/within_vs_loco_auc_difference_bootstrap.csv</w:t>
      </w:r>
      <w:r>
        <w:t xml:space="preserve">,</w:t>
      </w:r>
      <w:r>
        <w:t xml:space="preserve"> </w:t>
      </w:r>
      <w:r>
        <w:rPr>
          <w:rStyle w:val="VerbatimChar"/>
        </w:rPr>
        <w:t xml:space="preserve">results/tables/within_cohort_auc_ci_stratified_bootstrap.csv</w:t>
      </w:r>
      <w:r>
        <w:t xml:space="preserve">,</w:t>
      </w:r>
      <w:r>
        <w:t xml:space="preserve"> </w:t>
      </w:r>
      <w:r>
        <w:rPr>
          <w:rStyle w:val="VerbatimChar"/>
        </w:rPr>
        <w:t xml:space="preserve">results/tables/loco_auc_ci_stratified_bootstrap.csv</w:t>
      </w:r>
      <w:r>
        <w:t xml:space="preserve">.</w:t>
      </w:r>
    </w:p>
    <w:p>
      <w:r>
        <w:pict>
          <v:rect style="width:0;height:1.5pt" o:hralign="center" o:hrstd="t" o:hr="t"/>
        </w:pict>
      </w:r>
    </w:p>
    <w:bookmarkEnd w:id="18"/>
    <w:bookmarkStart w:id="19" w:name="Xe1eb387f1646c1cd516991a1953a20361d57084"/>
    <w:p>
      <w:pPr>
        <w:pStyle w:val="Heading3"/>
      </w:pPr>
      <w:r>
        <w:t xml:space="preserve">Table S11. PERMANOVA Sensitivity: Chinese Paired-End MiSeq Cohorts Only (Zhuang 2018 + Ling 2020 + Zhu 2022)</w:t>
      </w:r>
    </w:p>
    <w:p>
      <w:pPr>
        <w:pStyle w:val="FirstParagraph"/>
      </w:pPr>
      <w:r>
        <w:t xml:space="preserve">Marginal PERMANOVA (Aitchison distance,</w:t>
      </w:r>
      <w:r>
        <w:t xml:space="preserve"> </w:t>
      </w:r>
      <w:r>
        <w:rPr>
          <w:rStyle w:val="VerbatimChar"/>
        </w:rPr>
        <w:t xml:space="preserve">by="margin"</w:t>
      </w:r>
      <w:r>
        <w:t xml:space="preserve">, 9,999 permutations), binary AD/CN only, restricted to the three cohorts that are more technically comparable to one another (same country, same paired-end MiSeq V3–V4 platform; Section 2.6). n=317 (zhuang2018=86, ling2020=171, shanghai2022/Zhu 2022=60).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Df</w:t>
            </w:r>
          </w:p>
        </w:tc>
        <w:tc>
          <w:tcPr/>
          <w:p>
            <w:pPr>
              <w:pStyle w:val="Compact"/>
            </w:pPr>
            <w:r>
              <w:t xml:space="preserve">Sum of Squares</w:t>
            </w:r>
          </w:p>
        </w:tc>
        <w:tc>
          <w:tcPr/>
          <w:p>
            <w:pPr>
              <w:pStyle w:val="Compact"/>
            </w:pPr>
            <w:r>
              <w:t xml:space="preserve">R² (marginal)</w:t>
            </w:r>
          </w:p>
        </w:tc>
        <w:tc>
          <w:tcPr/>
          <w:p>
            <w:pPr>
              <w:pStyle w:val="Compact"/>
            </w:pPr>
            <w:r>
              <w:t xml:space="preserve">F</w:t>
            </w:r>
          </w:p>
        </w:tc>
        <w:tc>
          <w:tcPr/>
          <w:p>
            <w:pPr>
              <w:pStyle w:val="Compact"/>
            </w:pPr>
            <w:r>
              <w:t xml:space="preserve">p-value</w:t>
            </w:r>
          </w:p>
        </w:tc>
      </w:tr>
      <w:tr>
        <w:tc>
          <w:tcPr/>
          <w:p>
            <w:pPr>
              <w:pStyle w:val="Compact"/>
            </w:pPr>
            <w:r>
              <w:t xml:space="preserve">Cohort</w:t>
            </w:r>
          </w:p>
        </w:tc>
        <w:tc>
          <w:tcPr/>
          <w:p>
            <w:pPr>
              <w:pStyle w:val="Compact"/>
            </w:pPr>
            <w:r>
              <w:t xml:space="preserve">2</w:t>
            </w:r>
          </w:p>
        </w:tc>
        <w:tc>
          <w:tcPr/>
          <w:p>
            <w:pPr>
              <w:pStyle w:val="Compact"/>
            </w:pPr>
            <w:r>
              <w:t xml:space="preserve">17,532.9</w:t>
            </w:r>
          </w:p>
        </w:tc>
        <w:tc>
          <w:tcPr/>
          <w:p>
            <w:pPr>
              <w:pStyle w:val="Compact"/>
            </w:pPr>
            <w:r>
              <w:t xml:space="preserve">0.0588</w:t>
            </w:r>
          </w:p>
        </w:tc>
        <w:tc>
          <w:tcPr/>
          <w:p>
            <w:pPr>
              <w:pStyle w:val="Compact"/>
            </w:pPr>
            <w:r>
              <w:t xml:space="preserve">10.05</w:t>
            </w:r>
          </w:p>
        </w:tc>
        <w:tc>
          <w:tcPr/>
          <w:p>
            <w:pPr>
              <w:pStyle w:val="Compact"/>
            </w:pPr>
            <w:r>
              <w:t xml:space="preserve">0.0001</w:t>
            </w:r>
          </w:p>
        </w:tc>
      </w:tr>
      <w:tr>
        <w:tc>
          <w:tcPr/>
          <w:p>
            <w:pPr>
              <w:pStyle w:val="Compact"/>
            </w:pPr>
            <w:r>
              <w:t xml:space="preserve">Diagnosis</w:t>
            </w:r>
          </w:p>
        </w:tc>
        <w:tc>
          <w:tcPr/>
          <w:p>
            <w:pPr>
              <w:pStyle w:val="Compact"/>
            </w:pPr>
            <w:r>
              <w:t xml:space="preserve">1</w:t>
            </w:r>
          </w:p>
        </w:tc>
        <w:tc>
          <w:tcPr/>
          <w:p>
            <w:pPr>
              <w:pStyle w:val="Compact"/>
            </w:pPr>
            <w:r>
              <w:t xml:space="preserve">6,821.2</w:t>
            </w:r>
          </w:p>
        </w:tc>
        <w:tc>
          <w:tcPr/>
          <w:p>
            <w:pPr>
              <w:pStyle w:val="Compact"/>
            </w:pPr>
            <w:r>
              <w:t xml:space="preserve">0.0229</w:t>
            </w:r>
          </w:p>
        </w:tc>
        <w:tc>
          <w:tcPr/>
          <w:p>
            <w:pPr>
              <w:pStyle w:val="Compact"/>
            </w:pPr>
            <w:r>
              <w:t xml:space="preserve">7.83</w:t>
            </w:r>
          </w:p>
        </w:tc>
        <w:tc>
          <w:tcPr/>
          <w:p>
            <w:pPr>
              <w:pStyle w:val="Compact"/>
            </w:pPr>
            <w:r>
              <w:t xml:space="preserve">0.0001</w:t>
            </w:r>
          </w:p>
        </w:tc>
      </w:tr>
    </w:tbl>
    <w:p>
      <w:pPr>
        <w:pStyle w:val="BodyText"/>
      </w:pPr>
      <w:r>
        <w:t xml:space="preserve">Compare to the full four-cohort marginal model (Table S3, Model 2): cohort R²=0.172, diagnosis R²=0.014 (~12-fold disparity). Restricted to this more technically comparable three-cohort subset, the disparity falls to ~2.6-fold (0.0588/0.0229). Beta-dispersion on this subset: F=7.946, p=0.0004 (9,999 permutations); pairwise (Table S12): zhuang2018 vs. ling2020 p=0.0001, zhuang2018 vs. shanghai2022 p=0.026, ling2020 vs. shanghai2022 p=0.343 (not significant).</w:t>
      </w:r>
    </w:p>
    <w:p>
      <w:pPr>
        <w:pStyle w:val="BodyText"/>
      </w:pPr>
      <w:r>
        <w:rPr>
          <w:i/>
          <w:iCs/>
        </w:rPr>
        <w:t xml:space="preserve">Source data:</w:t>
      </w:r>
      <w:r>
        <w:t xml:space="preserve"> </w:t>
      </w:r>
      <w:r>
        <w:rPr>
          <w:rStyle w:val="VerbatimChar"/>
        </w:rPr>
        <w:t xml:space="preserve">results/tables/permanova_chinese_miseq_sensitivity.csv</w:t>
      </w:r>
      <w:r>
        <w:t xml:space="preserve">,</w:t>
      </w:r>
      <w:r>
        <w:t xml:space="preserve"> </w:t>
      </w:r>
      <w:r>
        <w:rPr>
          <w:rStyle w:val="VerbatimChar"/>
        </w:rPr>
        <w:t xml:space="preserve">results/tables/betadisper_chinese_miseq_sensitivity.csv</w:t>
      </w:r>
      <w:r>
        <w:t xml:space="preserve">,</w:t>
      </w:r>
      <w:r>
        <w:t xml:space="preserve"> </w:t>
      </w:r>
      <w:r>
        <w:rPr>
          <w:rStyle w:val="VerbatimChar"/>
        </w:rPr>
        <w:t xml:space="preserve">results/tables/betadisper_chinese_miseq_pairwise.csv</w:t>
      </w:r>
      <w:r>
        <w:t xml:space="preserve">.</w:t>
      </w:r>
    </w:p>
    <w:p>
      <w:r>
        <w:pict>
          <v:rect style="width:0;height:1.5pt" o:hralign="center" o:hrstd="t" o:hr="t"/>
        </w:pict>
      </w:r>
    </w:p>
    <w:bookmarkEnd w:id="19"/>
    <w:bookmarkStart w:id="20" w:name="Xa4bf632d9f7675899723fa3edb562421a648ade"/>
    <w:p>
      <w:pPr>
        <w:pStyle w:val="Heading3"/>
      </w:pPr>
      <w:r>
        <w:t xml:space="preserve">Table S12. Pairwise Beta-Dispersion Post-Hoc Comparisons (All Five Cohorts, Aitchison Distance)</w:t>
      </w:r>
    </w:p>
    <w:p>
      <w:pPr>
        <w:pStyle w:val="FirstParagraph"/>
      </w:pPr>
      <w:r>
        <w:t xml:space="preserve">All 10 pairwise betadisper comparisons among the five cohorts (9,999 permutations per pair), with Holm and Benjamini-Hochberg (BH) multiplicity adjustment across the 10 comparisons (Section 2.6). Sorted by unadjusted 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Comparison</w:t>
            </w:r>
          </w:p>
        </w:tc>
        <w:tc>
          <w:tcPr/>
          <w:p>
            <w:pPr>
              <w:pStyle w:val="Compact"/>
            </w:pPr>
            <w:r>
              <w:t xml:space="preserve">F (observed)</w:t>
            </w:r>
          </w:p>
        </w:tc>
        <w:tc>
          <w:tcPr/>
          <w:p>
            <w:pPr>
              <w:pStyle w:val="Compact"/>
            </w:pPr>
            <w:r>
              <w:t xml:space="preserve">p (unadjusted)</w:t>
            </w:r>
          </w:p>
        </w:tc>
        <w:tc>
          <w:tcPr/>
          <w:p>
            <w:pPr>
              <w:pStyle w:val="Compact"/>
            </w:pPr>
            <w:r>
              <w:t xml:space="preserve">p (Holm)</w:t>
            </w:r>
          </w:p>
        </w:tc>
        <w:tc>
          <w:tcPr/>
          <w:p>
            <w:pPr>
              <w:pStyle w:val="Compact"/>
            </w:pPr>
            <w:r>
              <w:t xml:space="preserve">p (BH)</w:t>
            </w:r>
          </w:p>
        </w:tc>
      </w:tr>
      <w:tr>
        <w:tc>
          <w:tcPr/>
          <w:p>
            <w:pPr>
              <w:pStyle w:val="Compact"/>
            </w:pPr>
            <w:r>
              <w:t xml:space="preserve">kazakhstan2022–ling2020</w:t>
            </w:r>
          </w:p>
        </w:tc>
        <w:tc>
          <w:tcPr/>
          <w:p>
            <w:pPr>
              <w:pStyle w:val="Compact"/>
            </w:pPr>
            <w:r>
              <w:t xml:space="preserve">1.434×10⁻⁸</w:t>
            </w:r>
          </w:p>
        </w:tc>
        <w:tc>
          <w:tcPr/>
          <w:p>
            <w:pPr>
              <w:pStyle w:val="Compact"/>
            </w:pPr>
            <w:r>
              <w:t xml:space="preserve">0.0001</w:t>
            </w:r>
          </w:p>
        </w:tc>
        <w:tc>
          <w:tcPr/>
          <w:p>
            <w:pPr>
              <w:pStyle w:val="Compact"/>
            </w:pPr>
            <w:r>
              <w:t xml:space="preserve">0.0010</w:t>
            </w:r>
          </w:p>
        </w:tc>
        <w:tc>
          <w:tcPr/>
          <w:p>
            <w:pPr>
              <w:pStyle w:val="Compact"/>
            </w:pPr>
            <w:r>
              <w:t xml:space="preserve">0.000333</w:t>
            </w:r>
          </w:p>
        </w:tc>
      </w:tr>
      <w:tr>
        <w:tc>
          <w:tcPr/>
          <w:p>
            <w:pPr>
              <w:pStyle w:val="Compact"/>
            </w:pPr>
            <w:r>
              <w:t xml:space="preserve">kbase2022–ling2020</w:t>
            </w:r>
          </w:p>
        </w:tc>
        <w:tc>
          <w:tcPr/>
          <w:p>
            <w:pPr>
              <w:pStyle w:val="Compact"/>
            </w:pPr>
            <w:r>
              <w:t xml:space="preserve">4.178×10⁻⁹</w:t>
            </w:r>
          </w:p>
        </w:tc>
        <w:tc>
          <w:tcPr/>
          <w:p>
            <w:pPr>
              <w:pStyle w:val="Compact"/>
            </w:pPr>
            <w:r>
              <w:t xml:space="preserve">0.0001</w:t>
            </w:r>
          </w:p>
        </w:tc>
        <w:tc>
          <w:tcPr/>
          <w:p>
            <w:pPr>
              <w:pStyle w:val="Compact"/>
            </w:pPr>
            <w:r>
              <w:t xml:space="preserve">0.0010</w:t>
            </w:r>
          </w:p>
        </w:tc>
        <w:tc>
          <w:tcPr/>
          <w:p>
            <w:pPr>
              <w:pStyle w:val="Compact"/>
            </w:pPr>
            <w:r>
              <w:t xml:space="preserve">0.000333</w:t>
            </w:r>
          </w:p>
        </w:tc>
      </w:tr>
      <w:tr>
        <w:tc>
          <w:tcPr/>
          <w:p>
            <w:pPr>
              <w:pStyle w:val="Compact"/>
            </w:pPr>
            <w:r>
              <w:t xml:space="preserve">ling2020–zhuang2018</w:t>
            </w:r>
          </w:p>
        </w:tc>
        <w:tc>
          <w:tcPr/>
          <w:p>
            <w:pPr>
              <w:pStyle w:val="Compact"/>
            </w:pPr>
            <w:r>
              <w:t xml:space="preserve">5.442×10⁻⁵</w:t>
            </w:r>
          </w:p>
        </w:tc>
        <w:tc>
          <w:tcPr/>
          <w:p>
            <w:pPr>
              <w:pStyle w:val="Compact"/>
            </w:pPr>
            <w:r>
              <w:t xml:space="preserve">0.0001</w:t>
            </w:r>
          </w:p>
        </w:tc>
        <w:tc>
          <w:tcPr/>
          <w:p>
            <w:pPr>
              <w:pStyle w:val="Compact"/>
            </w:pPr>
            <w:r>
              <w:t xml:space="preserve">0.0010</w:t>
            </w:r>
          </w:p>
        </w:tc>
        <w:tc>
          <w:tcPr/>
          <w:p>
            <w:pPr>
              <w:pStyle w:val="Compact"/>
            </w:pPr>
            <w:r>
              <w:t xml:space="preserve">0.000333</w:t>
            </w:r>
          </w:p>
        </w:tc>
      </w:tr>
      <w:tr>
        <w:tc>
          <w:tcPr/>
          <w:p>
            <w:pPr>
              <w:pStyle w:val="Compact"/>
            </w:pPr>
            <w:r>
              <w:t xml:space="preserve">kazakhstan2022–shanghai2022</w:t>
            </w:r>
          </w:p>
        </w:tc>
        <w:tc>
          <w:tcPr/>
          <w:p>
            <w:pPr>
              <w:pStyle w:val="Compact"/>
            </w:pPr>
            <w:r>
              <w:t xml:space="preserve">1.313×10⁻³</w:t>
            </w:r>
          </w:p>
        </w:tc>
        <w:tc>
          <w:tcPr/>
          <w:p>
            <w:pPr>
              <w:pStyle w:val="Compact"/>
            </w:pPr>
            <w:r>
              <w:t xml:space="preserve">0.0009</w:t>
            </w:r>
          </w:p>
        </w:tc>
        <w:tc>
          <w:tcPr/>
          <w:p>
            <w:pPr>
              <w:pStyle w:val="Compact"/>
            </w:pPr>
            <w:r>
              <w:t xml:space="preserve">0.0063</w:t>
            </w:r>
          </w:p>
        </w:tc>
        <w:tc>
          <w:tcPr/>
          <w:p>
            <w:pPr>
              <w:pStyle w:val="Compact"/>
            </w:pPr>
            <w:r>
              <w:t xml:space="preserve">0.00225</w:t>
            </w:r>
          </w:p>
        </w:tc>
      </w:tr>
      <w:tr>
        <w:tc>
          <w:tcPr/>
          <w:p>
            <w:pPr>
              <w:pStyle w:val="Compact"/>
            </w:pPr>
            <w:r>
              <w:t xml:space="preserve">kbase2022–shanghai2022</w:t>
            </w:r>
          </w:p>
        </w:tc>
        <w:tc>
          <w:tcPr/>
          <w:p>
            <w:pPr>
              <w:pStyle w:val="Compact"/>
            </w:pPr>
            <w:r>
              <w:t xml:space="preserve">1.670×10⁻³</w:t>
            </w:r>
          </w:p>
        </w:tc>
        <w:tc>
          <w:tcPr/>
          <w:p>
            <w:pPr>
              <w:pStyle w:val="Compact"/>
            </w:pPr>
            <w:r>
              <w:t xml:space="preserve">0.0018</w:t>
            </w:r>
          </w:p>
        </w:tc>
        <w:tc>
          <w:tcPr/>
          <w:p>
            <w:pPr>
              <w:pStyle w:val="Compact"/>
            </w:pPr>
            <w:r>
              <w:t xml:space="preserve">0.0108</w:t>
            </w:r>
          </w:p>
        </w:tc>
        <w:tc>
          <w:tcPr/>
          <w:p>
            <w:pPr>
              <w:pStyle w:val="Compact"/>
            </w:pPr>
            <w:r>
              <w:t xml:space="preserve">0.0036</w:t>
            </w:r>
          </w:p>
        </w:tc>
      </w:tr>
      <w:tr>
        <w:tc>
          <w:tcPr/>
          <w:p>
            <w:pPr>
              <w:pStyle w:val="Compact"/>
            </w:pPr>
            <w:r>
              <w:t xml:space="preserve">ling2020–shanghai2022</w:t>
            </w:r>
          </w:p>
        </w:tc>
        <w:tc>
          <w:tcPr/>
          <w:p>
            <w:pPr>
              <w:pStyle w:val="Compact"/>
            </w:pPr>
            <w:r>
              <w:t xml:space="preserve">8.277×10⁻³</w:t>
            </w:r>
          </w:p>
        </w:tc>
        <w:tc>
          <w:tcPr/>
          <w:p>
            <w:pPr>
              <w:pStyle w:val="Compact"/>
            </w:pPr>
            <w:r>
              <w:t xml:space="preserve">0.0084</w:t>
            </w:r>
          </w:p>
        </w:tc>
        <w:tc>
          <w:tcPr/>
          <w:p>
            <w:pPr>
              <w:pStyle w:val="Compact"/>
            </w:pPr>
            <w:r>
              <w:t xml:space="preserve">0.0420</w:t>
            </w:r>
          </w:p>
        </w:tc>
        <w:tc>
          <w:tcPr/>
          <w:p>
            <w:pPr>
              <w:pStyle w:val="Compact"/>
            </w:pPr>
            <w:r>
              <w:t xml:space="preserve">0.0140</w:t>
            </w:r>
          </w:p>
        </w:tc>
      </w:tr>
      <w:tr>
        <w:tc>
          <w:tcPr/>
          <w:p>
            <w:pPr>
              <w:pStyle w:val="Compact"/>
            </w:pPr>
            <w:r>
              <w:t xml:space="preserve">kazakhstan2022–zhuang2018</w:t>
            </w:r>
          </w:p>
        </w:tc>
        <w:tc>
          <w:tcPr/>
          <w:p>
            <w:pPr>
              <w:pStyle w:val="Compact"/>
            </w:pPr>
            <w:r>
              <w:t xml:space="preserve">1.047×10⁻²</w:t>
            </w:r>
          </w:p>
        </w:tc>
        <w:tc>
          <w:tcPr/>
          <w:p>
            <w:pPr>
              <w:pStyle w:val="Compact"/>
            </w:pPr>
            <w:r>
              <w:t xml:space="preserve">0.0101</w:t>
            </w:r>
          </w:p>
        </w:tc>
        <w:tc>
          <w:tcPr/>
          <w:p>
            <w:pPr>
              <w:pStyle w:val="Compact"/>
            </w:pPr>
            <w:r>
              <w:t xml:space="preserve">0.0420</w:t>
            </w:r>
          </w:p>
        </w:tc>
        <w:tc>
          <w:tcPr/>
          <w:p>
            <w:pPr>
              <w:pStyle w:val="Compact"/>
            </w:pPr>
            <w:r>
              <w:t xml:space="preserve">0.01443</w:t>
            </w:r>
          </w:p>
        </w:tc>
      </w:tr>
      <w:tr>
        <w:tc>
          <w:tcPr/>
          <w:p>
            <w:pPr>
              <w:pStyle w:val="Compact"/>
            </w:pPr>
            <w:r>
              <w:t xml:space="preserve">kbase2022–zhuang2018</w:t>
            </w:r>
          </w:p>
        </w:tc>
        <w:tc>
          <w:tcPr/>
          <w:p>
            <w:pPr>
              <w:pStyle w:val="Compact"/>
            </w:pPr>
            <w:r>
              <w:t xml:space="preserve">2.507×10⁻²</w:t>
            </w:r>
          </w:p>
        </w:tc>
        <w:tc>
          <w:tcPr/>
          <w:p>
            <w:pPr>
              <w:pStyle w:val="Compact"/>
            </w:pPr>
            <w:r>
              <w:t xml:space="preserve">0.0216</w:t>
            </w:r>
          </w:p>
        </w:tc>
        <w:tc>
          <w:tcPr/>
          <w:p>
            <w:pPr>
              <w:pStyle w:val="Compact"/>
            </w:pPr>
            <w:r>
              <w:t xml:space="preserve">0.0648</w:t>
            </w:r>
          </w:p>
        </w:tc>
        <w:tc>
          <w:tcPr/>
          <w:p>
            <w:pPr>
              <w:pStyle w:val="Compact"/>
            </w:pPr>
            <w:r>
              <w:t xml:space="preserve">0.0270</w:t>
            </w:r>
          </w:p>
        </w:tc>
      </w:tr>
      <w:tr>
        <w:tc>
          <w:tcPr/>
          <w:p>
            <w:pPr>
              <w:pStyle w:val="Compact"/>
            </w:pPr>
            <w:r>
              <w:t xml:space="preserve">shanghai2022–zhuang2018</w:t>
            </w:r>
          </w:p>
        </w:tc>
        <w:tc>
          <w:tcPr/>
          <w:p>
            <w:pPr>
              <w:pStyle w:val="Compact"/>
            </w:pPr>
            <w:r>
              <w:t xml:space="preserve">2.213×10⁻¹</w:t>
            </w:r>
          </w:p>
        </w:tc>
        <w:tc>
          <w:tcPr/>
          <w:p>
            <w:pPr>
              <w:pStyle w:val="Compact"/>
            </w:pPr>
            <w:r>
              <w:t xml:space="preserve">0.2197</w:t>
            </w:r>
          </w:p>
        </w:tc>
        <w:tc>
          <w:tcPr/>
          <w:p>
            <w:pPr>
              <w:pStyle w:val="Compact"/>
            </w:pPr>
            <w:r>
              <w:t xml:space="preserve">0.4394</w:t>
            </w:r>
          </w:p>
        </w:tc>
        <w:tc>
          <w:tcPr/>
          <w:p>
            <w:pPr>
              <w:pStyle w:val="Compact"/>
            </w:pPr>
            <w:r>
              <w:t xml:space="preserve">0.2441</w:t>
            </w:r>
          </w:p>
        </w:tc>
      </w:tr>
      <w:tr>
        <w:tc>
          <w:tcPr/>
          <w:p>
            <w:pPr>
              <w:pStyle w:val="Compact"/>
            </w:pPr>
            <w:r>
              <w:t xml:space="preserve">kazakhstan2022–kbase2022</w:t>
            </w:r>
          </w:p>
        </w:tc>
        <w:tc>
          <w:tcPr/>
          <w:p>
            <w:pPr>
              <w:pStyle w:val="Compact"/>
            </w:pPr>
            <w:r>
              <w:t xml:space="preserve">3.487×10⁻¹</w:t>
            </w:r>
          </w:p>
        </w:tc>
        <w:tc>
          <w:tcPr/>
          <w:p>
            <w:pPr>
              <w:pStyle w:val="Compact"/>
            </w:pPr>
            <w:r>
              <w:t xml:space="preserve">0.3544</w:t>
            </w:r>
          </w:p>
        </w:tc>
        <w:tc>
          <w:tcPr/>
          <w:p>
            <w:pPr>
              <w:pStyle w:val="Compact"/>
            </w:pPr>
            <w:r>
              <w:t xml:space="preserve">0.4394</w:t>
            </w:r>
          </w:p>
        </w:tc>
        <w:tc>
          <w:tcPr/>
          <w:p>
            <w:pPr>
              <w:pStyle w:val="Compact"/>
            </w:pPr>
            <w:r>
              <w:t xml:space="preserve">0.3544</w:t>
            </w:r>
          </w:p>
        </w:tc>
      </w:tr>
    </w:tbl>
    <w:p>
      <w:pPr>
        <w:pStyle w:val="BodyText"/>
      </w:pPr>
      <w:r>
        <w:t xml:space="preserve">Ling 2020 differs significantly in dispersion from every other cohort (all Holm-adjusted p≤0.0063) and is the cohort driving most of the overall significant dispersion difference (Section 3.4). shanghai2022 (Zhu 2022) vs. zhuang2018 and kazakhstan2022 vs. kbase2022 are not significantly different in dispersion after adjustment.</w:t>
      </w:r>
    </w:p>
    <w:p>
      <w:pPr>
        <w:pStyle w:val="BodyText"/>
      </w:pPr>
      <w:r>
        <w:rPr>
          <w:i/>
          <w:iCs/>
        </w:rPr>
        <w:t xml:space="preserve">Source data:</w:t>
      </w:r>
      <w:r>
        <w:t xml:space="preserve"> </w:t>
      </w:r>
      <w:r>
        <w:rPr>
          <w:rStyle w:val="VerbatimChar"/>
        </w:rPr>
        <w:t xml:space="preserve">results/tables/betadisper_pairwise.csv</w:t>
      </w:r>
      <w:r>
        <w:t xml:space="preserve">.</w:t>
      </w:r>
    </w:p>
    <w:p>
      <w:r>
        <w:pict>
          <v:rect style="width:0;height:1.5pt" o:hralign="center" o:hrstd="t" o:hr="t"/>
        </w:pict>
      </w:r>
    </w:p>
    <w:bookmarkEnd w:id="20"/>
    <w:bookmarkStart w:id="21" w:name="X6a3f0f83f9ac9e1ec6868cd2d28ce5b5abc1138"/>
    <w:p>
      <w:pPr>
        <w:pStyle w:val="Heading3"/>
      </w:pPr>
      <w:r>
        <w:t xml:space="preserve">Table S13. Prevalence-Restricted Jaccard Null Sensitivity</w:t>
      </w:r>
    </w:p>
    <w:p>
      <w:pPr>
        <w:pStyle w:val="FirstParagraph"/>
      </w:pPr>
      <w:r>
        <w:t xml:space="preserve">Per-cohort eligible universe = genera reaching ≥20% prevalence within that cohort’s own AD/CN-labeled samples (eligible universe sizes: zhuang2018=131, ling2020=126, shanghai2022=115, kazakhstan2022=356). 100,000 replicates per (model, N) combination (Section 2.8). This supersedes the shared-pool null (Table S7) as the more realistic sensitivity check; the two null models disagree for LightGBM.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Top-N</w:t>
            </w:r>
          </w:p>
        </w:tc>
        <w:tc>
          <w:tcPr/>
          <w:p>
            <w:pPr>
              <w:pStyle w:val="Compact"/>
            </w:pPr>
            <w:r>
              <w:t xml:space="preserve">Observed Mean (6 pairs)</w:t>
            </w:r>
          </w:p>
        </w:tc>
        <w:tc>
          <w:tcPr/>
          <w:p>
            <w:pPr>
              <w:pStyle w:val="Compact"/>
            </w:pPr>
            <w:r>
              <w:t xml:space="preserve">Null Mean</w:t>
            </w:r>
          </w:p>
        </w:tc>
        <w:tc>
          <w:tcPr/>
          <w:p>
            <w:pPr>
              <w:pStyle w:val="Compact"/>
            </w:pPr>
            <w:r>
              <w:t xml:space="preserve">Null 95% CI</w:t>
            </w:r>
          </w:p>
        </w:tc>
        <w:tc>
          <w:tcPr/>
          <w:p>
            <w:pPr>
              <w:pStyle w:val="Compact"/>
            </w:pPr>
            <w:r>
              <w:t xml:space="preserve">Empirical p</w:t>
            </w:r>
          </w:p>
        </w:tc>
      </w:tr>
      <w:tr>
        <w:tc>
          <w:tcPr/>
          <w:p>
            <w:pPr>
              <w:pStyle w:val="Compact"/>
            </w:pPr>
            <w:r>
              <w:t xml:space="preserve">LogReg</w:t>
            </w:r>
          </w:p>
        </w:tc>
        <w:tc>
          <w:tcPr/>
          <w:p>
            <w:pPr>
              <w:pStyle w:val="Compact"/>
            </w:pPr>
            <w:r>
              <w:t xml:space="preserve">10</w:t>
            </w:r>
          </w:p>
        </w:tc>
        <w:tc>
          <w:tcPr/>
          <w:p>
            <w:pPr>
              <w:pStyle w:val="Compact"/>
            </w:pPr>
            <w:r>
              <w:t xml:space="preserve">0.0850</w:t>
            </w:r>
          </w:p>
        </w:tc>
        <w:tc>
          <w:tcPr/>
          <w:p>
            <w:pPr>
              <w:pStyle w:val="Compact"/>
            </w:pPr>
            <w:r>
              <w:t xml:space="preserve">0.0260</w:t>
            </w:r>
          </w:p>
        </w:tc>
        <w:tc>
          <w:tcPr/>
          <w:p>
            <w:pPr>
              <w:pStyle w:val="Compact"/>
            </w:pPr>
            <w:r>
              <w:t xml:space="preserve">[0.0000, 0.0624]</w:t>
            </w:r>
          </w:p>
        </w:tc>
        <w:tc>
          <w:tcPr/>
          <w:p>
            <w:pPr>
              <w:pStyle w:val="Compact"/>
            </w:pPr>
            <w:r>
              <w:t xml:space="preserve">0.001670</w:t>
            </w:r>
          </w:p>
        </w:tc>
      </w:tr>
      <w:tr>
        <w:tc>
          <w:tcPr/>
          <w:p>
            <w:pPr>
              <w:pStyle w:val="Compact"/>
            </w:pPr>
            <w:r>
              <w:t xml:space="preserve">LogReg</w:t>
            </w:r>
          </w:p>
        </w:tc>
        <w:tc>
          <w:tcPr/>
          <w:p>
            <w:pPr>
              <w:pStyle w:val="Compact"/>
            </w:pPr>
            <w:r>
              <w:rPr>
                <w:b/>
                <w:bCs/>
              </w:rPr>
              <w:t xml:space="preserve">20 (primary)</w:t>
            </w:r>
          </w:p>
        </w:tc>
        <w:tc>
          <w:tcPr/>
          <w:p>
            <w:pPr>
              <w:pStyle w:val="Compact"/>
            </w:pPr>
            <w:r>
              <w:rPr>
                <w:b/>
                <w:bCs/>
              </w:rPr>
              <w:t xml:space="preserve">0.1350</w:t>
            </w:r>
          </w:p>
        </w:tc>
        <w:tc>
          <w:tcPr/>
          <w:p>
            <w:pPr>
              <w:pStyle w:val="Compact"/>
            </w:pPr>
            <w:r>
              <w:t xml:space="preserve">0.0522</w:t>
            </w:r>
          </w:p>
        </w:tc>
        <w:tc>
          <w:tcPr/>
          <w:p>
            <w:pPr>
              <w:pStyle w:val="Compact"/>
            </w:pPr>
            <w:r>
              <w:t xml:space="preserve">[0.0261, 0.0841]</w:t>
            </w:r>
          </w:p>
        </w:tc>
        <w:tc>
          <w:tcPr/>
          <w:p>
            <w:pPr>
              <w:pStyle w:val="Compact"/>
            </w:pPr>
            <w:r>
              <w:rPr>
                <w:b/>
                <w:bCs/>
              </w:rPr>
              <w:t xml:space="preserve">0.000030</w:t>
            </w:r>
          </w:p>
        </w:tc>
      </w:tr>
      <w:tr>
        <w:tc>
          <w:tcPr/>
          <w:p>
            <w:pPr>
              <w:pStyle w:val="Compact"/>
            </w:pPr>
            <w:r>
              <w:t xml:space="preserve">LogReg</w:t>
            </w:r>
          </w:p>
        </w:tc>
        <w:tc>
          <w:tcPr/>
          <w:p>
            <w:pPr>
              <w:pStyle w:val="Compact"/>
            </w:pPr>
            <w:r>
              <w:t xml:space="preserve">50</w:t>
            </w:r>
          </w:p>
        </w:tc>
        <w:tc>
          <w:tcPr/>
          <w:p>
            <w:pPr>
              <w:pStyle w:val="Compact"/>
            </w:pPr>
            <w:r>
              <w:t xml:space="preserve">0.2308</w:t>
            </w:r>
          </w:p>
        </w:tc>
        <w:tc>
          <w:tcPr/>
          <w:p>
            <w:pPr>
              <w:pStyle w:val="Compact"/>
            </w:pPr>
            <w:r>
              <w:t xml:space="preserve">0.1422</w:t>
            </w:r>
          </w:p>
        </w:tc>
        <w:tc>
          <w:tcPr/>
          <w:p>
            <w:pPr>
              <w:pStyle w:val="Compact"/>
            </w:pPr>
            <w:r>
              <w:t xml:space="preserve">[0.1140, 0.1737]</w:t>
            </w:r>
          </w:p>
        </w:tc>
        <w:tc>
          <w:tcPr/>
          <w:p>
            <w:pPr>
              <w:pStyle w:val="Compact"/>
            </w:pPr>
            <w:r>
              <w:t xml:space="preserve">0.000010</w:t>
            </w:r>
          </w:p>
        </w:tc>
      </w:tr>
      <w:tr>
        <w:tc>
          <w:tcPr/>
          <w:p>
            <w:pPr>
              <w:pStyle w:val="Compact"/>
            </w:pPr>
            <w:r>
              <w:t xml:space="preserve">LightGBM</w:t>
            </w:r>
          </w:p>
        </w:tc>
        <w:tc>
          <w:tcPr/>
          <w:p>
            <w:pPr>
              <w:pStyle w:val="Compact"/>
            </w:pPr>
            <w:r>
              <w:t xml:space="preserve">10</w:t>
            </w:r>
          </w:p>
        </w:tc>
        <w:tc>
          <w:tcPr/>
          <w:p>
            <w:pPr>
              <w:pStyle w:val="Compact"/>
            </w:pPr>
            <w:r>
              <w:t xml:space="preserve">0.0175</w:t>
            </w:r>
          </w:p>
        </w:tc>
        <w:tc>
          <w:tcPr/>
          <w:p>
            <w:pPr>
              <w:pStyle w:val="Compact"/>
            </w:pPr>
            <w:r>
              <w:t xml:space="preserve">0.0260</w:t>
            </w:r>
          </w:p>
        </w:tc>
        <w:tc>
          <w:tcPr/>
          <w:p>
            <w:pPr>
              <w:pStyle w:val="Compact"/>
            </w:pPr>
            <w:r>
              <w:t xml:space="preserve">[0.0000, 0.0624]</w:t>
            </w:r>
          </w:p>
        </w:tc>
        <w:tc>
          <w:tcPr/>
          <w:p>
            <w:pPr>
              <w:pStyle w:val="Compact"/>
            </w:pPr>
            <w:r>
              <w:t xml:space="preserve">0.799592 (not significant)</w:t>
            </w:r>
          </w:p>
        </w:tc>
      </w:tr>
      <w:tr>
        <w:tc>
          <w:tcPr/>
          <w:p>
            <w:pPr>
              <w:pStyle w:val="Compact"/>
            </w:pPr>
            <w:r>
              <w:t xml:space="preserve">LightGBM</w:t>
            </w:r>
          </w:p>
        </w:tc>
        <w:tc>
          <w:tcPr/>
          <w:p>
            <w:pPr>
              <w:pStyle w:val="Compact"/>
            </w:pPr>
            <w:r>
              <w:rPr>
                <w:b/>
                <w:bCs/>
              </w:rPr>
              <w:t xml:space="preserve">20 (primary)</w:t>
            </w:r>
          </w:p>
        </w:tc>
        <w:tc>
          <w:tcPr/>
          <w:p>
            <w:pPr>
              <w:pStyle w:val="Compact"/>
            </w:pPr>
            <w:r>
              <w:rPr>
                <w:b/>
                <w:bCs/>
              </w:rPr>
              <w:t xml:space="preserve">0.0629</w:t>
            </w:r>
          </w:p>
        </w:tc>
        <w:tc>
          <w:tcPr/>
          <w:p>
            <w:pPr>
              <w:pStyle w:val="Compact"/>
            </w:pPr>
            <w:r>
              <w:t xml:space="preserve">0.0522</w:t>
            </w:r>
          </w:p>
        </w:tc>
        <w:tc>
          <w:tcPr/>
          <w:p>
            <w:pPr>
              <w:pStyle w:val="Compact"/>
            </w:pPr>
            <w:r>
              <w:t xml:space="preserve">[0.0261, 0.0841]</w:t>
            </w:r>
          </w:p>
        </w:tc>
        <w:tc>
          <w:tcPr/>
          <w:p>
            <w:pPr>
              <w:pStyle w:val="Compact"/>
            </w:pPr>
            <w:r>
              <w:t xml:space="preserve">0.240838 (not significant)</w:t>
            </w:r>
          </w:p>
        </w:tc>
      </w:tr>
      <w:tr>
        <w:tc>
          <w:tcPr/>
          <w:p>
            <w:pPr>
              <w:pStyle w:val="Compact"/>
            </w:pPr>
            <w:r>
              <w:t xml:space="preserve">LightGBM</w:t>
            </w:r>
          </w:p>
        </w:tc>
        <w:tc>
          <w:tcPr/>
          <w:p>
            <w:pPr>
              <w:pStyle w:val="Compact"/>
            </w:pPr>
            <w:r>
              <w:t xml:space="preserve">50</w:t>
            </w:r>
          </w:p>
        </w:tc>
        <w:tc>
          <w:tcPr/>
          <w:p>
            <w:pPr>
              <w:pStyle w:val="Compact"/>
            </w:pPr>
            <w:r>
              <w:t xml:space="preserve">0.1665</w:t>
            </w:r>
          </w:p>
        </w:tc>
        <w:tc>
          <w:tcPr/>
          <w:p>
            <w:pPr>
              <w:pStyle w:val="Compact"/>
            </w:pPr>
            <w:r>
              <w:t xml:space="preserve">0.1422</w:t>
            </w:r>
          </w:p>
        </w:tc>
        <w:tc>
          <w:tcPr/>
          <w:p>
            <w:pPr>
              <w:pStyle w:val="Compact"/>
            </w:pPr>
            <w:r>
              <w:t xml:space="preserve">[0.1140, 0.1737]</w:t>
            </w:r>
          </w:p>
        </w:tc>
        <w:tc>
          <w:tcPr/>
          <w:p>
            <w:pPr>
              <w:pStyle w:val="Compact"/>
            </w:pPr>
            <w:r>
              <w:t xml:space="preserve">0.061309 (not significant)</w:t>
            </w:r>
          </w:p>
        </w:tc>
      </w:tr>
    </w:tbl>
    <w:p>
      <w:pPr>
        <w:pStyle w:val="BodyText"/>
      </w:pPr>
      <w:r>
        <w:t xml:space="preserve">Logistic regression remains significant at all three thresholds under this more realistic null. LightGBM is not significant at any of N=10/20/50 under this null, reversing the shared-pool-null result at N=20/50 (Table S7). We report this reversal directly: LightGBM’s apparent cross-cohort top-predictor overlap is not distinguishable from chance once the null model accounts for each cohort’s own genus-prevalence structure.</w:t>
      </w:r>
    </w:p>
    <w:p>
      <w:pPr>
        <w:pStyle w:val="BodyText"/>
      </w:pPr>
      <w:r>
        <w:rPr>
          <w:i/>
          <w:iCs/>
        </w:rPr>
        <w:t xml:space="preserve">Source data:</w:t>
      </w:r>
      <w:r>
        <w:t xml:space="preserve"> </w:t>
      </w:r>
      <w:r>
        <w:rPr>
          <w:rStyle w:val="VerbatimChar"/>
        </w:rPr>
        <w:t xml:space="preserve">results/tables/jaccard_prevalence_restricted_null.csv</w:t>
      </w:r>
      <w:r>
        <w:t xml:space="preserve">.</w:t>
      </w:r>
    </w:p>
    <w:p>
      <w:r>
        <w:pict>
          <v:rect style="width:0;height:1.5pt" o:hralign="center" o:hrstd="t" o:hr="t"/>
        </w:pict>
      </w:r>
    </w:p>
    <w:bookmarkEnd w:id="21"/>
    <w:bookmarkEnd w:id="22"/>
    <w:bookmarkStart w:id="43" w:name="supplementary-figures"/>
    <w:p>
      <w:pPr>
        <w:pStyle w:val="Heading2"/>
      </w:pPr>
      <w:r>
        <w:t xml:space="preserve">Supplementary Figures</w:t>
      </w:r>
    </w:p>
    <w:bookmarkStart w:id="26" w:name="Xa8f402e2b6d4b37ecfbe0e3fe1af4eed207c1c5"/>
    <w:p>
      <w:pPr>
        <w:pStyle w:val="Heading3"/>
      </w:pPr>
      <w:r>
        <w:t xml:space="preserve">Figure S1. Zhu 2022: Fecal-Only Within-Cohort AUC</w:t>
      </w:r>
    </w:p>
    <w:p>
      <w:pPr>
        <w:pStyle w:val="FirstParagraph"/>
      </w:pPr>
      <w:r>
        <w:rPr>
          <w:b/>
          <w:bCs/>
        </w:rPr>
        <w:t xml:space="preserve">Caption:</w:t>
      </w:r>
      <w:r>
        <w:t xml:space="preserve"> </w:t>
      </w:r>
      <w:r>
        <w:t xml:space="preserve">Within-cohort AUC-ROC for Zhu 2022 fecal samples only (n=60 binary: 30 AD + 30 CN), estimated using standard StratifiedKFold 10-fold nested cross-validation. Blood microbiome (B_*) samples were excluded from all analyses; each participant appears exactly once in the fecal-only dataset, making standard StratifiedKFold appropriate. Logistic regression achieves AUC=0.998 [0.99–1.00] and LightGBM achieves AUC=0.979 [0.94–1.00]. The near-perfect within-cohort AUC should be interpreted cautiously given the small sample size (30 per class); see Section 3.2 and Section 4.3 for discussion. Error bars = 95% CI from the diagnosis-stratified, participant-level bootstrap (10,000 replicates; Section 2.5.2), matching Table 2.</w:t>
      </w:r>
    </w:p>
    <w:p>
      <w:pPr>
        <w:pStyle w:val="BodyText"/>
      </w:pPr>
      <w:r>
        <w:rPr>
          <w:i/>
          <w:iCs/>
        </w:rPr>
        <w:t xml:space="preserve">Source data:</w:t>
      </w:r>
      <w:r>
        <w:t xml:space="preserve"> </w:t>
      </w:r>
      <w:r>
        <w:t xml:space="preserve">results/model_outputs/within_cohort_cv/shanghai2022_*.csv</w:t>
      </w:r>
      <w:r>
        <w:t xml:space="preserve"> </w:t>
      </w:r>
      <w:r>
        <w:drawing>
          <wp:inline>
            <wp:extent cx="3002280" cy="3425952"/>
            <wp:effectExtent b="0" l="0" r="0" t="0"/>
            <wp:docPr descr="Figure S1" title="" id="24" name="Picture"/>
            <a:graphic>
              <a:graphicData uri="http://schemas.openxmlformats.org/drawingml/2006/picture">
                <pic:pic>
                  <pic:nvPicPr>
                    <pic:cNvPr descr="/Users/arhan/Desktop/microbiome-ad-generalization/results/figures/final_supplementary/Figure_S1.jpg" id="25" name="Picture"/>
                    <pic:cNvPicPr>
                      <a:picLocks noChangeArrowheads="1" noChangeAspect="1"/>
                    </pic:cNvPicPr>
                  </pic:nvPicPr>
                  <pic:blipFill>
                    <a:blip r:embed="rId23"/>
                    <a:stretch>
                      <a:fillRect/>
                    </a:stretch>
                  </pic:blipFill>
                  <pic:spPr bwMode="auto">
                    <a:xfrm>
                      <a:off x="0" y="0"/>
                      <a:ext cx="3002280" cy="3425952"/>
                    </a:xfrm>
                    <a:prstGeom prst="rect">
                      <a:avLst/>
                    </a:prstGeom>
                    <a:noFill/>
                    <a:ln w="9525">
                      <a:noFill/>
                      <a:headEnd/>
                      <a:tailEnd/>
                    </a:ln>
                  </pic:spPr>
                </pic:pic>
              </a:graphicData>
            </a:graphic>
          </wp:inline>
        </w:drawing>
      </w:r>
    </w:p>
    <w:p>
      <w:pPr>
        <w:pStyle w:val="BodyText"/>
      </w:pPr>
      <w:r>
        <w:rPr>
          <w:i/>
          <w:iCs/>
        </w:rPr>
        <w:t xml:space="preserve">Source figure:</w:t>
      </w:r>
      <w:r>
        <w:t xml:space="preserve"> </w:t>
      </w:r>
      <w:r>
        <w:rPr>
          <w:rStyle w:val="VerbatimChar"/>
        </w:rPr>
        <w:t xml:space="preserve">results/figures/final_supplementary/Figure_S1.jpg</w:t>
      </w:r>
    </w:p>
    <w:p>
      <w:r>
        <w:pict>
          <v:rect style="width:0;height:1.5pt" o:hralign="center" o:hrstd="t" o:hr="t"/>
        </w:pict>
      </w:r>
    </w:p>
    <w:bookmarkEnd w:id="26"/>
    <w:bookmarkStart w:id="30" w:name="X5a300ab727c16619eb908e32fef63071f9d261b"/>
    <w:p>
      <w:pPr>
        <w:pStyle w:val="Heading3"/>
      </w:pPr>
      <w:r>
        <w:t xml:space="preserve">Figure S2. Top-15 SHAP Taxa Per Cohort (LightGBM, Out-of-Fold)</w:t>
      </w:r>
    </w:p>
    <w:p>
      <w:pPr>
        <w:pStyle w:val="FirstParagraph"/>
      </w:pPr>
      <w:r>
        <w:rPr>
          <w:b/>
          <w:bCs/>
        </w:rPr>
        <w:t xml:space="preserve">Caption:</w:t>
      </w:r>
      <w:r>
        <w:t xml:space="preserve"> </w:t>
      </w:r>
      <w:r>
        <w:t xml:space="preserve">Horizontal bar charts showing mean |SHAP| value (CLR units) for the top-15 genera by importance in each of the four labeled cohorts under out-of-fold LightGBM evaluation. Bars are a single neutral color and show feature-importance magnitude only —</w:t>
      </w:r>
      <w:r>
        <w:t xml:space="preserve"> </w:t>
      </w:r>
      <w:r>
        <w:rPr>
          <w:b/>
          <w:bCs/>
        </w:rPr>
        <w:t xml:space="preserve">no AD/CN direction is assigned</w:t>
      </w:r>
      <w:r>
        <w:t xml:space="preserve">, because a tree ensemble has no single coefficient-like global direction and LightGBM’s SHAP-feature relationships may be nonlinear or non-monotonic (Section 2.8). Top taxon per cohort (by |SHAP| magnitude only): Lachnoclostridium (Zhuang 2018, |SHAP|=0.560), Akkermansia (Ling 2020, |SHAP|=0.947), Bacteroides (Zhu 2022, |SHAP|=1.243), Castellaniella (Kazakhstan, |SHAP|=0.614). Mean pairwise Jaccard similarity at top-20: 0.058, significant against the shared-pool null (p=0.0048 at N=20; not significant at N=10, p=0.45; Table S7) but not significant at any N against the prevalence-restricted null (Table S13).</w:t>
      </w:r>
      <w:r>
        <w:t xml:space="preserve"> </w:t>
      </w:r>
      <w:r>
        <w:rPr>
          <w:b/>
          <w:bCs/>
        </w:rPr>
        <w:t xml:space="preserve">No LightGBM directional-flip claim is made anywhere in this paper</w:t>
      </w:r>
      <w:r>
        <w:t xml:space="preserve">, because a tree ensemble has no single coefficient-like global direction (Section 2.8).</w:t>
      </w:r>
    </w:p>
    <w:p>
      <w:pPr>
        <w:pStyle w:val="CaptionedFigure"/>
      </w:pPr>
      <w:r>
        <w:drawing>
          <wp:inline>
            <wp:extent cx="5334000" cy="4957182"/>
            <wp:effectExtent b="0" l="0" r="0" t="0"/>
            <wp:docPr descr="Figure S2" title="" id="28" name="Picture"/>
            <a:graphic>
              <a:graphicData uri="http://schemas.openxmlformats.org/drawingml/2006/picture">
                <pic:pic>
                  <pic:nvPicPr>
                    <pic:cNvPr descr="/Users/arhan/Desktop/microbiome-ad-generalization/results/figures/final_supplementary/Figure_S2.jpg" id="29" name="Picture"/>
                    <pic:cNvPicPr>
                      <a:picLocks noChangeArrowheads="1" noChangeAspect="1"/>
                    </pic:cNvPicPr>
                  </pic:nvPicPr>
                  <pic:blipFill>
                    <a:blip r:embed="rId27"/>
                    <a:stretch>
                      <a:fillRect/>
                    </a:stretch>
                  </pic:blipFill>
                  <pic:spPr bwMode="auto">
                    <a:xfrm>
                      <a:off x="0" y="0"/>
                      <a:ext cx="5334000" cy="4957182"/>
                    </a:xfrm>
                    <a:prstGeom prst="rect">
                      <a:avLst/>
                    </a:prstGeom>
                    <a:noFill/>
                    <a:ln w="9525">
                      <a:noFill/>
                      <a:headEnd/>
                      <a:tailEnd/>
                    </a:ln>
                  </pic:spPr>
                </pic:pic>
              </a:graphicData>
            </a:graphic>
          </wp:inline>
        </w:drawing>
      </w:r>
    </w:p>
    <w:p>
      <w:pPr>
        <w:pStyle w:val="ImageCaption"/>
      </w:pPr>
      <w:r>
        <w:t xml:space="preserve">Figure S2</w:t>
      </w:r>
    </w:p>
    <w:p>
      <w:pPr>
        <w:pStyle w:val="BodyText"/>
      </w:pPr>
      <w:r>
        <w:rPr>
          <w:i/>
          <w:iCs/>
        </w:rPr>
        <w:t xml:space="preserve">Source figure:</w:t>
      </w:r>
      <w:r>
        <w:t xml:space="preserve"> </w:t>
      </w:r>
      <w:r>
        <w:rPr>
          <w:rStyle w:val="VerbatimChar"/>
        </w:rPr>
        <w:t xml:space="preserve">results/figures/final_supplementary/Figure_S2.jpg</w:t>
      </w:r>
    </w:p>
    <w:p>
      <w:r>
        <w:pict>
          <v:rect style="width:0;height:1.5pt" o:hralign="center" o:hrstd="t" o:hr="t"/>
        </w:pict>
      </w:r>
    </w:p>
    <w:bookmarkEnd w:id="30"/>
    <w:bookmarkStart w:id="34" w:name="X6fecba5033db8f27bce96d13754301a47ae5629"/>
    <w:p>
      <w:pPr>
        <w:pStyle w:val="Heading3"/>
      </w:pPr>
      <w:r>
        <w:t xml:space="preserve">Figure S3. Sensitivity Analysis: LOCO AUC Under Cohort Exclusion</w:t>
      </w:r>
    </w:p>
    <w:p>
      <w:pPr>
        <w:pStyle w:val="FirstParagraph"/>
      </w:pPr>
      <w:r>
        <w:rPr>
          <w:b/>
          <w:bCs/>
        </w:rPr>
        <w:t xml:space="preserve">Caption:</w:t>
      </w:r>
      <w:r>
        <w:t xml:space="preserve"> </w:t>
      </w:r>
      <w:r>
        <w:t xml:space="preserve">Sensitivity analysis: LOCO AUC under three cohort exclusion configurations. Each panel shows the 3-cohort LOCO experiment with one cohort excluded from the full analysis. Left: excluding Kazakhstan (Zhuang+Ling+Zhu trained, each held out in turn). Center: excluding Zhuang 2018. Right: excluding Ling 2020. Error bars = 95% bootstrap CI (1,000 resamples on the test-set predictions; the non-stratified procedure described in Section 2.5, not the diagnosis-stratified 10,000-replicate procedure used for the main four-cohort LOCO results). Generalization degradation persisted across all three prespecified cohort-exclusion configurations.</w:t>
      </w:r>
    </w:p>
    <w:p>
      <w:pPr>
        <w:pStyle w:val="BodyText"/>
      </w:pPr>
      <w:r>
        <w:rPr>
          <w:i/>
          <w:iCs/>
        </w:rPr>
        <w:t xml:space="preserve">Source data:</w:t>
      </w:r>
      <w:r>
        <w:t xml:space="preserve"> </w:t>
      </w:r>
      <w:r>
        <w:rPr>
          <w:rStyle w:val="VerbatimChar"/>
        </w:rPr>
        <w:t xml:space="preserve">results/tables/sensitivity_loco.csv</w:t>
      </w:r>
      <w:r>
        <w:t xml:space="preserve"> </w:t>
      </w:r>
      <w:r>
        <w:drawing>
          <wp:inline>
            <wp:extent cx="5334000" cy="1861530"/>
            <wp:effectExtent b="0" l="0" r="0" t="0"/>
            <wp:docPr descr="Figure S3" title="" id="32" name="Picture"/>
            <a:graphic>
              <a:graphicData uri="http://schemas.openxmlformats.org/drawingml/2006/picture">
                <pic:pic>
                  <pic:nvPicPr>
                    <pic:cNvPr descr="/Users/arhan/Desktop/microbiome-ad-generalization/results/figures/final_supplementary/Figure_S3.jpg" id="33" name="Picture"/>
                    <pic:cNvPicPr>
                      <a:picLocks noChangeArrowheads="1" noChangeAspect="1"/>
                    </pic:cNvPicPr>
                  </pic:nvPicPr>
                  <pic:blipFill>
                    <a:blip r:embed="rId31"/>
                    <a:stretch>
                      <a:fillRect/>
                    </a:stretch>
                  </pic:blipFill>
                  <pic:spPr bwMode="auto">
                    <a:xfrm>
                      <a:off x="0" y="0"/>
                      <a:ext cx="5334000" cy="1861530"/>
                    </a:xfrm>
                    <a:prstGeom prst="rect">
                      <a:avLst/>
                    </a:prstGeom>
                    <a:noFill/>
                    <a:ln w="9525">
                      <a:noFill/>
                      <a:headEnd/>
                      <a:tailEnd/>
                    </a:ln>
                  </pic:spPr>
                </pic:pic>
              </a:graphicData>
            </a:graphic>
          </wp:inline>
        </w:drawing>
      </w:r>
    </w:p>
    <w:p>
      <w:pPr>
        <w:pStyle w:val="BodyText"/>
      </w:pPr>
      <w:r>
        <w:rPr>
          <w:i/>
          <w:iCs/>
        </w:rPr>
        <w:t xml:space="preserve">Source figure:</w:t>
      </w:r>
      <w:r>
        <w:t xml:space="preserve"> </w:t>
      </w:r>
      <w:r>
        <w:rPr>
          <w:rStyle w:val="VerbatimChar"/>
        </w:rPr>
        <w:t xml:space="preserve">results/figures/final_supplementary/Figure_S3.jpg</w:t>
      </w:r>
    </w:p>
    <w:p>
      <w:r>
        <w:pict>
          <v:rect style="width:0;height:1.5pt" o:hralign="center" o:hrstd="t" o:hr="t"/>
        </w:pict>
      </w:r>
    </w:p>
    <w:bookmarkEnd w:id="34"/>
    <w:bookmarkStart w:id="38" w:name="X64724aa74fe76fb874af47707bf13caf78cbcee"/>
    <w:p>
      <w:pPr>
        <w:pStyle w:val="Heading3"/>
      </w:pPr>
      <w:r>
        <w:t xml:space="preserve">Figure S4. Batch Correction, Label-Informed Design (Exploratory Sensitivity)</w:t>
      </w:r>
    </w:p>
    <w:p>
      <w:pPr>
        <w:pStyle w:val="FirstParagraph"/>
      </w:pPr>
      <w:r>
        <w:rPr>
          <w:b/>
          <w:bCs/>
        </w:rPr>
        <w:t xml:space="preserve">Caption:</w:t>
      </w:r>
      <w:r>
        <w:t xml:space="preserve"> </w:t>
      </w:r>
      <w:r>
        <w:t xml:space="preserve">LOCO AUC-ROC under the label-informed transductive batch-correction design (ComBat-seq/MMUPHin fit using every sample’s own true diagnosis label; Section 2.7), shown for (</w:t>
      </w:r>
      <w:r>
        <w:rPr>
          <w:b/>
          <w:bCs/>
        </w:rPr>
        <w:t xml:space="preserve">A</w:t>
      </w:r>
      <w:r>
        <w:t xml:space="preserve">) logistic regression and (</w:t>
      </w:r>
      <w:r>
        <w:rPr>
          <w:b/>
          <w:bCs/>
        </w:rPr>
        <w:t xml:space="preserve">B</w:t>
      </w:r>
      <w:r>
        <w:t xml:space="preserve">) LightGBM. Error bars = 95% bootstrap CI (1,000 resamples on the test-set predictions, the same non-stratified procedure used for Table 4/Figure 5; not part of the diagnosis-stratified 10,000-replicate regeneration in Section 2.5.2). This design is retained as an</w:t>
      </w:r>
      <w:r>
        <w:t xml:space="preserve"> </w:t>
      </w:r>
      <w:r>
        <w:rPr>
          <w:b/>
          <w:bCs/>
        </w:rPr>
        <w:t xml:space="preserve">explicitly-labeled exploratory sensitivity analysis only</w:t>
      </w:r>
      <w:r>
        <w:t xml:space="preserve">, because a correction step that is fit using every sample’s own true diagnosis label cannot estimate prospective external-validation performance, and because the resulting within-cohort AUC on corrected data cannot be used as evidence that genuine, correction-independent biological signal survived (Section 3.5). The main-text Figure 5 shows the label-blind design (no diagnosis information used during correction), which is the paper’s primary batch-correction result. Note the severe, cohort-specific degradation visible here (e.g., Kazakhstan logistic regression LOCO AUC=0.308) that is</w:t>
      </w:r>
      <w:r>
        <w:t xml:space="preserve"> </w:t>
      </w:r>
      <w:r>
        <w:rPr>
          <w:b/>
          <w:bCs/>
        </w:rPr>
        <w:t xml:space="preserve">not</w:t>
      </w:r>
      <w:r>
        <w:t xml:space="preserve"> </w:t>
      </w:r>
      <w:r>
        <w:t xml:space="preserve">reproduced under the label-blind design (Kazakhstan label-blind LOCO AUC=0.560, closely matching the uncorrected value of 0.564) — indicating this degradation was driven substantially by the label-informed design itself.</w:t>
      </w:r>
    </w:p>
    <w:p>
      <w:pPr>
        <w:pStyle w:val="BodyText"/>
      </w:pPr>
      <w:r>
        <w:rPr>
          <w:i/>
          <w:iCs/>
        </w:rPr>
        <w:t xml:space="preserve">Source data:</w:t>
      </w:r>
      <w:r>
        <w:t xml:space="preserve"> </w:t>
      </w:r>
      <w:r>
        <w:rPr>
          <w:rStyle w:val="VerbatimChar"/>
        </w:rPr>
        <w:t xml:space="preserve">results/tables/auc_comparison_table.csv</w:t>
      </w:r>
      <w:r>
        <w:t xml:space="preserve">,</w:t>
      </w:r>
      <w:r>
        <w:t xml:space="preserve"> </w:t>
      </w:r>
      <w:r>
        <w:rPr>
          <w:rStyle w:val="VerbatimChar"/>
        </w:rPr>
        <w:t xml:space="preserve">results/tables/loco_auc_corrected.csv</w:t>
      </w:r>
      <w:r>
        <w:t xml:space="preserve"> </w:t>
      </w:r>
      <w:r>
        <w:drawing>
          <wp:inline>
            <wp:extent cx="5334000" cy="2230668"/>
            <wp:effectExtent b="0" l="0" r="0" t="0"/>
            <wp:docPr descr="Figure S4" title="" id="36" name="Picture"/>
            <a:graphic>
              <a:graphicData uri="http://schemas.openxmlformats.org/drawingml/2006/picture">
                <pic:pic>
                  <pic:nvPicPr>
                    <pic:cNvPr descr="/Users/arhan/Desktop/microbiome-ad-generalization/results/figures/final_supplementary/Figure_S4.jpg" id="37" name="Picture"/>
                    <pic:cNvPicPr>
                      <a:picLocks noChangeArrowheads="1" noChangeAspect="1"/>
                    </pic:cNvPicPr>
                  </pic:nvPicPr>
                  <pic:blipFill>
                    <a:blip r:embed="rId35"/>
                    <a:stretch>
                      <a:fillRect/>
                    </a:stretch>
                  </pic:blipFill>
                  <pic:spPr bwMode="auto">
                    <a:xfrm>
                      <a:off x="0" y="0"/>
                      <a:ext cx="5334000" cy="2230668"/>
                    </a:xfrm>
                    <a:prstGeom prst="rect">
                      <a:avLst/>
                    </a:prstGeom>
                    <a:noFill/>
                    <a:ln w="9525">
                      <a:noFill/>
                      <a:headEnd/>
                      <a:tailEnd/>
                    </a:ln>
                  </pic:spPr>
                </pic:pic>
              </a:graphicData>
            </a:graphic>
          </wp:inline>
        </w:drawing>
      </w:r>
    </w:p>
    <w:p>
      <w:pPr>
        <w:pStyle w:val="BodyText"/>
      </w:pPr>
      <w:r>
        <w:rPr>
          <w:i/>
          <w:iCs/>
        </w:rPr>
        <w:t xml:space="preserve">Source figure:</w:t>
      </w:r>
      <w:r>
        <w:t xml:space="preserve"> </w:t>
      </w:r>
      <w:r>
        <w:rPr>
          <w:rStyle w:val="VerbatimChar"/>
        </w:rPr>
        <w:t xml:space="preserve">results/figures/final_supplementary/Figure_S4.jpg</w:t>
      </w:r>
    </w:p>
    <w:p>
      <w:r>
        <w:pict>
          <v:rect style="width:0;height:1.5pt" o:hralign="center" o:hrstd="t" o:hr="t"/>
        </w:pict>
      </w:r>
    </w:p>
    <w:bookmarkEnd w:id="38"/>
    <w:bookmarkStart w:id="42" w:name="X19c9ed2781c446d999505ad52bd6760e3bfff58"/>
    <w:p>
      <w:pPr>
        <w:pStyle w:val="Heading3"/>
      </w:pPr>
      <w:r>
        <w:t xml:space="preserve">Figure S5. Zhu 2022 Robustness: Repeated Cross-Validation and Label Permutation</w:t>
      </w:r>
    </w:p>
    <w:p>
      <w:pPr>
        <w:pStyle w:val="FirstParagraph"/>
      </w:pPr>
      <w:r>
        <w:rPr>
          <w:b/>
          <w:bCs/>
        </w:rPr>
        <w:t xml:space="preserve">Caption:</w:t>
      </w:r>
      <w:r>
        <w:t xml:space="preserve"> </w:t>
      </w:r>
      <w:r>
        <w:t xml:space="preserve">Robustness analyses for Zhu 2022’s near-perfect within-cohort AUC (Section 2.4.1, Section 3.2), both run under the strict training-only feature-selection pipeline. Top row: distribution of pooled-OOF AUC across 50 repetitions of the nested-CV partition (different pre-specified seed per repetition) for logistic regression (left) and LightGBM (right), with the single-partition training-only AUC marked. Bottom row: null distribution of pooled-OOF AUC under label permutation (labels shuffled, class balance preserved, entire training-only pipeline re-run inside every outer fold for each permutation), with the observed single-partition AUC marked and the empirical p-value shown in the panel title. The repeated-CV panels quantify sensitivity to fold assignment on the same 60 participants (not independent replication); the permutation panels are the formal test of whether the observed AUC exceeds a chance-label null.</w:t>
      </w:r>
    </w:p>
    <w:p>
      <w:pPr>
        <w:pStyle w:val="BodyText"/>
      </w:pPr>
      <w:r>
        <w:rPr>
          <w:i/>
          <w:iCs/>
        </w:rPr>
        <w:t xml:space="preserve">Source data:</w:t>
      </w:r>
      <w:r>
        <w:t xml:space="preserve"> </w:t>
      </w:r>
      <w:r>
        <w:rPr>
          <w:rStyle w:val="VerbatimChar"/>
        </w:rPr>
        <w:t xml:space="preserve">results/tables/zhu_repeated_nested_cv.csv</w:t>
      </w:r>
      <w:r>
        <w:t xml:space="preserve">,</w:t>
      </w:r>
      <w:r>
        <w:t xml:space="preserve"> </w:t>
      </w:r>
      <w:r>
        <w:rPr>
          <w:rStyle w:val="VerbatimChar"/>
        </w:rPr>
        <w:t xml:space="preserve">results/tables/zhu_label_permutation.csv</w:t>
      </w:r>
      <w:r>
        <w:t xml:space="preserve">.</w:t>
      </w:r>
      <w:r>
        <w:t xml:space="preserve"> </w:t>
      </w:r>
      <w:r>
        <w:drawing>
          <wp:inline>
            <wp:extent cx="4800600" cy="3593166"/>
            <wp:effectExtent b="0" l="0" r="0" t="0"/>
            <wp:docPr descr="Figure S5" title="" id="40" name="Picture"/>
            <a:graphic>
              <a:graphicData uri="http://schemas.openxmlformats.org/drawingml/2006/picture">
                <pic:pic>
                  <pic:nvPicPr>
                    <pic:cNvPr descr="/Users/arhan/Desktop/microbiome-ad-generalization/results/figures/final_supplementary/Figure_S5.png" id="41" name="Picture"/>
                    <pic:cNvPicPr>
                      <a:picLocks noChangeArrowheads="1" noChangeAspect="1"/>
                    </pic:cNvPicPr>
                  </pic:nvPicPr>
                  <pic:blipFill>
                    <a:blip r:embed="rId39"/>
                    <a:stretch>
                      <a:fillRect/>
                    </a:stretch>
                  </pic:blipFill>
                  <pic:spPr bwMode="auto">
                    <a:xfrm>
                      <a:off x="0" y="0"/>
                      <a:ext cx="4800600" cy="3593166"/>
                    </a:xfrm>
                    <a:prstGeom prst="rect">
                      <a:avLst/>
                    </a:prstGeom>
                    <a:noFill/>
                    <a:ln w="9525">
                      <a:noFill/>
                      <a:headEnd/>
                      <a:tailEnd/>
                    </a:ln>
                  </pic:spPr>
                </pic:pic>
              </a:graphicData>
            </a:graphic>
          </wp:inline>
        </w:drawing>
      </w:r>
    </w:p>
    <w:p>
      <w:pPr>
        <w:pStyle w:val="BodyText"/>
      </w:pPr>
      <w:r>
        <w:rPr>
          <w:i/>
          <w:iCs/>
        </w:rPr>
        <w:t xml:space="preserve">Source figure:</w:t>
      </w:r>
      <w:r>
        <w:t xml:space="preserve"> </w:t>
      </w:r>
      <w:r>
        <w:rPr>
          <w:rStyle w:val="VerbatimChar"/>
        </w:rPr>
        <w:t xml:space="preserve">results/figures/final_supplementary/Figure_S5.png</w:t>
      </w:r>
    </w:p>
    <w:p>
      <w:r>
        <w:pict>
          <v:rect style="width:0;height:1.5pt" o:hralign="center" o:hrstd="t" o:hr="t"/>
        </w:pict>
      </w:r>
    </w:p>
    <w:bookmarkEnd w:id="42"/>
    <w:bookmarkEnd w:id="43"/>
    <w:bookmarkStart w:id="47" w:name="supplementary-notes"/>
    <w:p>
      <w:pPr>
        <w:pStyle w:val="Heading2"/>
      </w:pPr>
      <w:r>
        <w:t xml:space="preserve">Supplementary Notes</w:t>
      </w:r>
    </w:p>
    <w:bookmarkStart w:id="44" w:name="Xf30417885a753a5d62d3d903cd8a18631c3b324"/>
    <w:p>
      <w:pPr>
        <w:pStyle w:val="Heading3"/>
      </w:pPr>
      <w:r>
        <w:t xml:space="preserve">Note S1. Kim/KBASE 2022 (PRJEB50447) — IRB Restriction on Per-Sample Diagnosis Labels</w:t>
      </w:r>
    </w:p>
    <w:p>
      <w:pPr>
        <w:pStyle w:val="FirstParagraph"/>
      </w:pPr>
      <w:r>
        <w:rPr>
          <w:b/>
          <w:bCs/>
        </w:rPr>
        <w:t xml:space="preserve">Summary:</w:t>
      </w:r>
      <w:r>
        <w:t xml:space="preserve"> </w:t>
      </w:r>
      <w:r>
        <w:t xml:space="preserve">The Kim/KBASE 2022 cohort (78 participants; South Korea; 18 amyloid-PET positive preclinical AD, 60 cognitively normal) was excluded from all supervised classifier analyses because per-sample amyloid-PET status and group labels are not publicly deposited in any data archive.</w:t>
      </w:r>
    </w:p>
    <w:p>
      <w:pPr>
        <w:pStyle w:val="BodyText"/>
      </w:pPr>
      <w:r>
        <w:rPr>
          <w:b/>
          <w:bCs/>
        </w:rPr>
        <w:t xml:space="preserve">Documentation of exhaustive metadata search conducted 2026-06-20:</w:t>
      </w:r>
    </w:p>
    <w:p>
      <w:pPr>
        <w:pStyle w:val="BodyText"/>
      </w:pPr>
      <w:r>
        <w:t xml:space="preserve">The following metadata sources were queried for per-sample diagnosis labels:</w:t>
      </w:r>
    </w:p>
    <w:p>
      <w:pPr>
        <w:numPr>
          <w:ilvl w:val="0"/>
          <w:numId w:val="1001"/>
        </w:numPr>
      </w:pPr>
      <w:r>
        <w:rPr>
          <w:b/>
          <w:bCs/>
        </w:rPr>
        <w:t xml:space="preserve">ENA Portal filereport</w:t>
      </w:r>
      <w:r>
        <w:t xml:space="preserve"> </w:t>
      </w:r>
      <w:r>
        <w:t xml:space="preserve">(https://www.ebi.ac.uk/ena/portal/api/filereport?accession=PRJEB50447&amp;result=read_run&amp;fields=all): All sample fields including</w:t>
      </w:r>
      <w:r>
        <w:t xml:space="preserve"> </w:t>
      </w:r>
      <w:r>
        <w:rPr>
          <w:rStyle w:val="VerbatimChar"/>
        </w:rPr>
        <w:t xml:space="preserve">sample_alias</w:t>
      </w:r>
      <w:r>
        <w:t xml:space="preserve">,</w:t>
      </w:r>
      <w:r>
        <w:t xml:space="preserve"> </w:t>
      </w:r>
      <w:r>
        <w:rPr>
          <w:rStyle w:val="VerbatimChar"/>
        </w:rPr>
        <w:t xml:space="preserve">sample_title</w:t>
      </w:r>
      <w:r>
        <w:t xml:space="preserve">,</w:t>
      </w:r>
      <w:r>
        <w:t xml:space="preserve"> </w:t>
      </w:r>
      <w:r>
        <w:rPr>
          <w:rStyle w:val="VerbatimChar"/>
        </w:rPr>
        <w:t xml:space="preserve">scientific_name</w:t>
      </w:r>
      <w:r>
        <w:t xml:space="preserve">,</w:t>
      </w:r>
      <w:r>
        <w:t xml:space="preserve"> </w:t>
      </w:r>
      <w:r>
        <w:rPr>
          <w:rStyle w:val="VerbatimChar"/>
        </w:rPr>
        <w:t xml:space="preserve">sample_description</w:t>
      </w:r>
      <w:r>
        <w:t xml:space="preserve"> </w:t>
      </w:r>
      <w:r>
        <w:t xml:space="preserve">— no diagnostic labels present. Fields contain sequencing run identifiers only.</w:t>
      </w:r>
    </w:p>
    <w:p>
      <w:pPr>
        <w:numPr>
          <w:ilvl w:val="0"/>
          <w:numId w:val="1001"/>
        </w:numPr>
      </w:pPr>
      <w:r>
        <w:rPr>
          <w:b/>
          <w:bCs/>
        </w:rPr>
        <w:t xml:space="preserve">ENA BioSample XML</w:t>
      </w:r>
      <w:r>
        <w:t xml:space="preserve">: Retrieved individual BioSample records via ENA Browser. Attributes present: collection date, geographic location, library strategy/layout — no diagnosis, amyloid status, or clinical phenotype fields.</w:t>
      </w:r>
    </w:p>
    <w:p>
      <w:pPr>
        <w:numPr>
          <w:ilvl w:val="0"/>
          <w:numId w:val="1001"/>
        </w:numPr>
      </w:pPr>
      <w:r>
        <w:rPr>
          <w:b/>
          <w:bCs/>
        </w:rPr>
        <w:t xml:space="preserve">NCBI SRA runinfo</w:t>
      </w:r>
      <w:r>
        <w:t xml:space="preserve"> </w:t>
      </w:r>
      <w:r>
        <w:t xml:space="preserve">(via</w:t>
      </w:r>
      <w:r>
        <w:t xml:space="preserve"> </w:t>
      </w:r>
      <w:r>
        <w:rPr>
          <w:rStyle w:val="VerbatimChar"/>
        </w:rPr>
        <w:t xml:space="preserve">esearch -db sra -query "PRJEB50447" | efetch -format runinfo</w:t>
      </w:r>
      <w:r>
        <w:t xml:space="preserve">): Confirmed SRA runinfo does not contain phenotype data beyond SRA-standard fields. Disease column is empty for all runs.</w:t>
      </w:r>
    </w:p>
    <w:p>
      <w:pPr>
        <w:numPr>
          <w:ilvl w:val="0"/>
          <w:numId w:val="1001"/>
        </w:numPr>
      </w:pPr>
      <w:r>
        <w:rPr>
          <w:b/>
          <w:bCs/>
        </w:rPr>
        <w:t xml:space="preserve">Sample alias and title fields</w:t>
      </w:r>
      <w:r>
        <w:t xml:space="preserve">:</w:t>
      </w:r>
      <w:r>
        <w:t xml:space="preserve"> </w:t>
      </w:r>
      <w:r>
        <w:rPr>
          <w:rStyle w:val="VerbatimChar"/>
        </w:rPr>
        <w:t xml:space="preserve">sample_alias</w:t>
      </w:r>
      <w:r>
        <w:t xml:space="preserve"> </w:t>
      </w:r>
      <w:r>
        <w:t xml:space="preserve">values are coded identifiers (e.g.,</w:t>
      </w:r>
      <w:r>
        <w:t xml:space="preserve"> </w:t>
      </w:r>
      <w:r>
        <w:t xml:space="preserve">“KBASE-CN-001”</w:t>
      </w:r>
      <w:r>
        <w:t xml:space="preserve">) without diagnostic information inferrable from the coding scheme.</w:t>
      </w:r>
    </w:p>
    <w:p>
      <w:pPr>
        <w:pStyle w:val="FirstParagraph"/>
      </w:pPr>
      <w:r>
        <w:rPr>
          <w:b/>
          <w:bCs/>
        </w:rPr>
        <w:t xml:space="preserve">Published paper finding:</w:t>
      </w:r>
      <w:r>
        <w:t xml:space="preserve"> </w:t>
      </w:r>
      <w:r>
        <w:t xml:space="preserve">The corresponding publication (Kim et al., 2022; PRJEB50447) reports group-level counts (18 amyloid-positive preclinical AD; 60 cognitively normal) and notes that per-sample data are withheld under institutional IRB protocol. The amyloid-PET classifications are considered clinical data and are protected. The published paper does not provide a supplementary file with per-sample labels.</w:t>
      </w:r>
    </w:p>
    <w:p>
      <w:pPr>
        <w:pStyle w:val="BodyText"/>
      </w:pPr>
      <w:r>
        <w:rPr>
          <w:b/>
          <w:bCs/>
        </w:rPr>
        <w:t xml:space="preserve">Consequence for analysis:</w:t>
      </w:r>
      <w:r>
        <w:t xml:space="preserve"> </w:t>
      </w:r>
      <w:r>
        <w:t xml:space="preserve">kbase2022 was included only in PERMANOVA variance decomposition (Phase 4), where cohort identity — not per-sample diagnosis — is the grouping variable of interest. All supervised classifier training, evaluation, batch correction, and SHAP analyses were restricted to the four labeled cohorts (Zhuang 2018, Ling 2020, Zhu 2022, Kazakhstan).</w:t>
      </w:r>
    </w:p>
    <w:p>
      <w:pPr>
        <w:pStyle w:val="BodyText"/>
      </w:pPr>
      <w:r>
        <w:rPr>
          <w:b/>
          <w:bCs/>
        </w:rPr>
        <w:t xml:space="preserve">Additional caveat:</w:t>
      </w:r>
      <w:r>
        <w:t xml:space="preserve"> </w:t>
      </w:r>
      <w:r>
        <w:t xml:space="preserve">Even if per-sample labels were available, direct comparison with the other four cohorts would require caution. Kim/KBASE 2022 uses amyloid-PET positivity as the case definition (preclinical AD — cognitively normal by neuropsychological testing but amyloid-positive), while the other four cohorts use clinical AD diagnosis (cognitive impairment criterion). These phenotype definitions are not equivalent.</w:t>
      </w:r>
    </w:p>
    <w:p>
      <w:pPr>
        <w:pStyle w:val="BodyText"/>
      </w:pPr>
      <w:r>
        <w:rPr>
          <w:b/>
          <w:bCs/>
        </w:rPr>
        <w:t xml:space="preserve">Recommendation for future analyses:</w:t>
      </w:r>
      <w:r>
        <w:t xml:space="preserve"> </w:t>
      </w:r>
      <w:r>
        <w:t xml:space="preserve">Researchers wishing to include Kim/KBASE 2022 in supervised analyses should contact the study team (KBASE Consortium / corresponding author of Kim et al., 2022) to request a data use agreement for per-sample amyloid-PET status.</w:t>
      </w:r>
    </w:p>
    <w:p>
      <w:pPr>
        <w:pStyle w:val="BodyText"/>
      </w:pPr>
      <w:r>
        <w:rPr>
          <w:b/>
          <w:bCs/>
        </w:rPr>
        <w:t xml:space="preserve">Cohort search strategy and full inclusion/exclusion record:</w:t>
      </w:r>
      <w:r>
        <w:t xml:space="preserve"> </w:t>
      </w:r>
      <w:r>
        <w:t xml:space="preserve">The cohort identification search (Section 2.1) queried NCBI SRA and EBI-ENA for studies deposited before January 2025, using the following search string in the SRA search interface:</w:t>
      </w:r>
      <w:r>
        <w:t xml:space="preserve"> </w:t>
      </w:r>
      <w:r>
        <w:rPr>
          <w:rStyle w:val="VerbatimChar"/>
        </w:rPr>
        <w:t xml:space="preserve">("Alzheimer's disease" OR "Alzheimer disease" OR "mild cognitive impairment" OR "MCI" OR "dementia") AND ("gut microbiome" OR "gut microbiota" OR "intestinal microbiome" OR "16S rRNA") AND ("Homo sapiens")</w:t>
      </w:r>
      <w:r>
        <w:t xml:space="preserve">. For supervised analyses, inclusion required: (1) per-sample diagnosis labels (AD, MCI, or CN) accessible in public metadata; (2) raw FASTQ files or quality-filtered reads deposited in a public archive; (3) a minimum of 40 participants per cohort. Studies were excluded from supervised analyses if per-sample labels were IRB-restricted, if data had not been publicly released at the time of analysis, or if samples represented a tissue compartment other than fecal microbiome as the primary analyte; shotgun metagenomic cohorts meeting all other criteria were identified but excluded to avoid mixing amplicon and whole-genome sequencing platforms within the same analysis. Beyond the Kim/KBASE 2022 IRB restriction documented above, one further identified cohort was excluded on public-availability grounds:</w:t>
      </w:r>
      <w:r>
        <w:t xml:space="preserve"> </w:t>
      </w:r>
      <w:r>
        <w:rPr>
          <w:b/>
          <w:bCs/>
        </w:rPr>
        <w:t xml:space="preserve">ALBION 2025</w:t>
      </w:r>
      <w:r>
        <w:t xml:space="preserve"> </w:t>
      </w:r>
      <w:r>
        <w:t xml:space="preserve">(Maraki et al.,</w:t>
      </w:r>
      <w:r>
        <w:t xml:space="preserve"> </w:t>
      </w:r>
      <w:r>
        <w:rPr>
          <w:i/>
          <w:iCs/>
        </w:rPr>
        <w:t xml:space="preserve">Journal of Alzheimer’s Disease</w:t>
      </w:r>
      <w:r>
        <w:t xml:space="preserve">, 2025; PRJNA1297934), a Greek cohort of 99 participants (50 MCI, 49 CN; V3–V4) — the only European 16S cohort identified in the search — was confirmed as the correct accession from the published paper, but NCBI BioProject reported the deposit as not yet publicly released as of the search date. ALBION was therefore excluded from the active cohort set; it remains the most direct candidate for a future sixth cohort should the data be released.</w:t>
      </w:r>
    </w:p>
    <w:p>
      <w:r>
        <w:pict>
          <v:rect style="width:0;height:1.5pt" o:hralign="center" o:hrstd="t" o:hr="t"/>
        </w:pict>
      </w:r>
    </w:p>
    <w:bookmarkEnd w:id="44"/>
    <w:bookmarkStart w:id="45" w:name="X5f8880229675ab4ceb5fff82fb9beaf6bb2b049"/>
    <w:p>
      <w:pPr>
        <w:pStyle w:val="Heading3"/>
      </w:pPr>
      <w:r>
        <w:t xml:space="preserve">Note S2. Kazakhstan Single-End Processing Rationale</w:t>
      </w:r>
    </w:p>
    <w:p>
      <w:pPr>
        <w:pStyle w:val="FirstParagraph"/>
      </w:pPr>
      <w:r>
        <w:rPr>
          <w:b/>
          <w:bCs/>
        </w:rPr>
        <w:t xml:space="preserve">Summary:</w:t>
      </w:r>
      <w:r>
        <w:t xml:space="preserve"> </w:t>
      </w:r>
      <w:r>
        <w:t xml:space="preserve">The Kazakhstan cohort (PRJNA811324; Kaiyrlykyzy et al., 2022) was confirmed as single-end sequencing and processed using the DADA2 single-end workflow. This document explains the processing decisions made.</w:t>
      </w:r>
    </w:p>
    <w:p>
      <w:pPr>
        <w:pStyle w:val="BodyText"/>
      </w:pPr>
      <w:r>
        <w:rPr>
          <w:b/>
          <w:bCs/>
        </w:rPr>
        <w:t xml:space="preserve">Confirmation of single-end format:</w:t>
      </w:r>
      <w:r>
        <w:t xml:space="preserve"> </w:t>
      </w:r>
      <w:r>
        <w:t xml:space="preserve">After downloading all 84 samples with</w:t>
      </w:r>
      <w:r>
        <w:t xml:space="preserve"> </w:t>
      </w:r>
      <w:r>
        <w:rPr>
          <w:rStyle w:val="VerbatimChar"/>
        </w:rPr>
        <w:t xml:space="preserve">fasterq-dump</w:t>
      </w:r>
      <w:r>
        <w:t xml:space="preserve">, output files were</w:t>
      </w:r>
      <w:r>
        <w:t xml:space="preserve"> </w:t>
      </w:r>
      <w:r>
        <w:rPr>
          <w:rStyle w:val="VerbatimChar"/>
        </w:rPr>
        <w:t xml:space="preserve">SRR*_1.fastq</w:t>
      </w:r>
      <w:r>
        <w:t xml:space="preserve"> </w:t>
      </w:r>
      <w:r>
        <w:t xml:space="preserve">only (no</w:t>
      </w:r>
      <w:r>
        <w:t xml:space="preserve"> </w:t>
      </w:r>
      <w:r>
        <w:rPr>
          <w:rStyle w:val="VerbatimChar"/>
        </w:rPr>
        <w:t xml:space="preserve">SRR*_2.fastq</w:t>
      </w:r>
      <w:r>
        <w:t xml:space="preserve"> </w:t>
      </w:r>
      <w:r>
        <w:t xml:space="preserve">files). This was independently confirmed by inspecting SRA metadata (LibraryLayout=SINGLE). The original publication describes NovaSeq sequencing of V3–V4 amplicons.</w:t>
      </w:r>
    </w:p>
    <w:p>
      <w:pPr>
        <w:pStyle w:val="BodyText"/>
      </w:pPr>
      <w:r>
        <w:rPr>
          <w:b/>
          <w:bCs/>
        </w:rPr>
        <w:t xml:space="preserve">Truncation length decision (250 bp):</w:t>
      </w:r>
      <w:r>
        <w:t xml:space="preserve"> </w:t>
      </w:r>
      <w:r>
        <w:t xml:space="preserve">Quality profile inspection of Kazakhstan reads showed a characteristic NovaSeq quality pattern: high-quality bases through approximately position 250 bp, with rapid quality decline thereafter. MiSeq 2×300 bp paired-end reads for V3–V4 have effective merged read lengths of approximately 400–450 bp; single-end NovaSeq reads truncated at 250 bp cover a shorter portion of the amplicon. The truncLen parameter was set to 250 bp after visual inspection of perposition quality score profiles across 10 representative samples.</w:t>
      </w:r>
    </w:p>
    <w:p>
      <w:pPr>
        <w:pStyle w:val="BodyText"/>
      </w:pPr>
      <w:r>
        <w:rPr>
          <w:b/>
          <w:bCs/>
        </w:rPr>
        <w:t xml:space="preserve">Implications for taxonomic resolution:</w:t>
      </w:r>
      <w:r>
        <w:t xml:space="preserve"> </w:t>
      </w:r>
      <w:r>
        <w:t xml:space="preserve">Single-end reads provide lower taxonomic resolution than paired-end merged reads for the same amplicon region, because the additional bases from the reverse read improve amplicon coverage and reduce ambiguous taxonomic assignments. This means genus-level assignments for Kazakhstan may be slightly less accurate than for the four paired-end cohorts, and species-level analysis would be more affected than genus-level. We acknowledge this as a limitation of the mixed-library-design dataset.</w:t>
      </w:r>
    </w:p>
    <w:p>
      <w:pPr>
        <w:pStyle w:val="BodyText"/>
      </w:pPr>
      <w:r>
        <w:rPr>
          <w:b/>
          <w:bCs/>
        </w:rPr>
        <w:t xml:space="preserve">DADA2 workflow difference:</w:t>
      </w:r>
      <w:r>
        <w:t xml:space="preserve"> </w:t>
      </w:r>
      <w:r>
        <w:t xml:space="preserve">The single-end workflow did not include</w:t>
      </w:r>
      <w:r>
        <w:t xml:space="preserve"> </w:t>
      </w:r>
      <w:r>
        <w:rPr>
          <w:rStyle w:val="VerbatimChar"/>
        </w:rPr>
        <w:t xml:space="preserve">mergePairs()</w:t>
      </w:r>
      <w:r>
        <w:t xml:space="preserve">. The full single-end DADA2 pipeline applied:</w:t>
      </w:r>
      <w:r>
        <w:t xml:space="preserve"> </w:t>
      </w:r>
      <w:r>
        <w:rPr>
          <w:rStyle w:val="VerbatimChar"/>
        </w:rPr>
        <w:t xml:space="preserve">filterAndTrim()</w:t>
      </w:r>
      <w:r>
        <w:t xml:space="preserve"> </w:t>
      </w:r>
      <w:r>
        <w:t xml:space="preserve">→</w:t>
      </w:r>
      <w:r>
        <w:t xml:space="preserve"> </w:t>
      </w:r>
      <w:r>
        <w:rPr>
          <w:rStyle w:val="VerbatimChar"/>
        </w:rPr>
        <w:t xml:space="preserve">learnErrors()</w:t>
      </w:r>
      <w:r>
        <w:t xml:space="preserve"> </w:t>
      </w:r>
      <w:r>
        <w:t xml:space="preserve">→</w:t>
      </w:r>
      <w:r>
        <w:t xml:space="preserve"> </w:t>
      </w:r>
      <w:r>
        <w:rPr>
          <w:rStyle w:val="VerbatimChar"/>
        </w:rPr>
        <w:t xml:space="preserve">dada()</w:t>
      </w:r>
      <w:r>
        <w:t xml:space="preserve"> </w:t>
      </w:r>
      <w:r>
        <w:t xml:space="preserve">→</w:t>
      </w:r>
      <w:r>
        <w:t xml:space="preserve"> </w:t>
      </w:r>
      <w:r>
        <w:rPr>
          <w:rStyle w:val="VerbatimChar"/>
        </w:rPr>
        <w:t xml:space="preserve">makeSequenceTable()</w:t>
      </w:r>
      <w:r>
        <w:t xml:space="preserve"> </w:t>
      </w:r>
      <w:r>
        <w:t xml:space="preserve">→</w:t>
      </w:r>
      <w:r>
        <w:t xml:space="preserve"> </w:t>
      </w:r>
      <w:r>
        <w:rPr>
          <w:rStyle w:val="VerbatimChar"/>
        </w:rPr>
        <w:t xml:space="preserve">removeBimeraDenovo()</w:t>
      </w:r>
      <w:r>
        <w:t xml:space="preserve">. Error learning was performed independently on Kazakhstan samples; sharing error models across cohorts would be inappropriate because error profiles differ by sequencer and run.</w:t>
      </w:r>
    </w:p>
    <w:p>
      <w:pPr>
        <w:pStyle w:val="BodyText"/>
      </w:pPr>
      <w:r>
        <w:rPr>
          <w:b/>
          <w:bCs/>
        </w:rPr>
        <w:t xml:space="preserve">Interaction with batch correction:</w:t>
      </w:r>
      <w:r>
        <w:t xml:space="preserve"> </w:t>
      </w:r>
      <w:r>
        <w:t xml:space="preserve">The single-end/paired-end asymmetry is an additional source of between-cohort technical heterogeneity that batch correction methods cannot fully address, because the fundamental difference in read length and sequencing chemistry affects all genera’ abundance estimates rather than a subset. This is a study limitation that applies to any analysis including Kazakhstan and should be acknowledged in the Methods section of any manuscript using this dataset.</w:t>
      </w:r>
    </w:p>
    <w:p>
      <w:r>
        <w:pict>
          <v:rect style="width:0;height:1.5pt" o:hralign="center" o:hrstd="t" o:hr="t"/>
        </w:pict>
      </w:r>
    </w:p>
    <w:bookmarkEnd w:id="45"/>
    <w:bookmarkStart w:id="46" w:name="Xb88876057350b14810a83397db7797e14021c36"/>
    <w:p>
      <w:pPr>
        <w:pStyle w:val="Heading3"/>
      </w:pPr>
      <w:r>
        <w:t xml:space="preserve">Note S3. LOCO SHAP Direction Not Reported</w:t>
      </w:r>
    </w:p>
    <w:p>
      <w:pPr>
        <w:pStyle w:val="FirstParagraph"/>
      </w:pPr>
      <w:r>
        <w:rPr>
          <w:b/>
          <w:bCs/>
        </w:rPr>
        <w:t xml:space="preserve">No figure or table showing a signed AD/CN direction for LOCO SHAP values is included in this paper.</w:t>
      </w:r>
      <w:r>
        <w:t xml:space="preserve"> </w:t>
      </w:r>
      <w:r>
        <w:t xml:space="preserve">Mean signed SHAP is not a valid direction statistic in general (Section 2.8), and this is especially severe for LOCO SHAP specifically: the SHAP background (the three pooled training cohorts) and the evaluation set (the held-out cohort) are drawn from systematically different populations by construction, so the sign of a LOCO mean SHAP value is confounded with the raw cross-cohort compositional difference quantified by PERMANOVA (Section 3.4), independent of anything the model learned. No coefficient-based replacement direction is offered for LOCO SHAP either, because LOCO models are refit on pooled multi-cohort training data each time and a single stable-fold coefficient analysis analogous to Section 2.8’s within-cohort procedure is not part of this design.</w:t>
      </w:r>
    </w:p>
    <w:p>
      <w:pPr>
        <w:pStyle w:val="BodyText"/>
      </w:pPr>
      <w:r>
        <w:t xml:space="preserve">LOCO SHAP</w:t>
      </w:r>
      <w:r>
        <w:t xml:space="preserve"> </w:t>
      </w:r>
      <w:r>
        <w:rPr>
          <w:b/>
          <w:bCs/>
        </w:rPr>
        <w:t xml:space="preserve">feature importance</w:t>
      </w:r>
      <w:r>
        <w:t xml:space="preserve"> </w:t>
      </w:r>
      <w:r>
        <w:t xml:space="preserve">(mean |SHAP|, magnitude only, no direction) remains available and is unaffected by this issue: see</w:t>
      </w:r>
      <w:r>
        <w:t xml:space="preserve"> </w:t>
      </w:r>
      <w:r>
        <w:rPr>
          <w:rStyle w:val="VerbatimChar"/>
        </w:rPr>
        <w:t xml:space="preserve">results/tables/shap_loco_importance.csv</w:t>
      </w:r>
      <w:r>
        <w:t xml:space="preserve">. For reference, the top-importance genus per held-out cohort is: Zhuang 2018 —</w:t>
      </w:r>
      <w:r>
        <w:t xml:space="preserve"> </w:t>
      </w:r>
      <w:r>
        <w:rPr>
          <w:i/>
          <w:iCs/>
        </w:rPr>
        <w:t xml:space="preserve">Akkermansia</w:t>
      </w:r>
      <w:r>
        <w:t xml:space="preserve"> </w:t>
      </w:r>
      <w:r>
        <w:t xml:space="preserve">(logistic regression |SHAP|=0.470); Ling 2020 —</w:t>
      </w:r>
      <w:r>
        <w:t xml:space="preserve"> </w:t>
      </w:r>
      <w:r>
        <w:rPr>
          <w:i/>
          <w:iCs/>
        </w:rPr>
        <w:t xml:space="preserve">Subdoligranulum</w:t>
      </w:r>
      <w:r>
        <w:t xml:space="preserve"> </w:t>
      </w:r>
      <w:r>
        <w:t xml:space="preserve">(|SHAP|=0.269); Zhu 2022 —</w:t>
      </w:r>
      <w:r>
        <w:t xml:space="preserve"> </w:t>
      </w:r>
      <w:r>
        <w:rPr>
          <w:i/>
          <w:iCs/>
        </w:rPr>
        <w:t xml:space="preserve">Akkermansia</w:t>
      </w:r>
      <w:r>
        <w:t xml:space="preserve"> </w:t>
      </w:r>
      <w:r>
        <w:t xml:space="preserve">(|SHAP|=0.372); Kazakhstan —</w:t>
      </w:r>
      <w:r>
        <w:t xml:space="preserve"> </w:t>
      </w:r>
      <w:r>
        <w:rPr>
          <w:i/>
          <w:iCs/>
        </w:rPr>
        <w:t xml:space="preserve">Christensenellaceae R-7 group</w:t>
      </w:r>
      <w:r>
        <w:t xml:space="preserve"> </w:t>
      </w:r>
      <w:r>
        <w:t xml:space="preserve">(|SHAP|=0.368); no genus ranked first across all four held-out conditions for either model (Section 3.6).</w:t>
      </w:r>
    </w:p>
    <w:p>
      <w:r>
        <w:pict>
          <v:rect style="width:0;height:1.5pt" o:hralign="center" o:hrstd="t" o:hr="t"/>
        </w:pict>
      </w:r>
    </w:p>
    <w:p>
      <w:pPr>
        <w:pStyle w:val="FirstParagraph"/>
      </w:pPr>
      <w:r>
        <w:rPr>
          <w:i/>
          <w:iCs/>
        </w:rPr>
        <w:t xml:space="preserve">End of Supplementary Materials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2026-09-14T21:50:04Z</dcterms:created>
  <dcterms:modified xsi:type="dcterms:W3CDTF">2026-09-14T21:50:04Z</dcterms:modified>
</cp:coreProperties>
</file>

<file path=docProps/custom.xml><?xml version="1.0" encoding="utf-8"?>
<Properties xmlns="http://schemas.openxmlformats.org/officeDocument/2006/custom-properties" xmlns:vt="http://schemas.openxmlformats.org/officeDocument/2006/docPropsVTypes"/>
</file>