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 United States</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most common cause of dementia, accounting for an estimated 60–70% of cases; approximately 57 million people worldwide were living with dementia in 2021 (World Health Organization, 2026).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because it can represent a preclinical or prodromal stage of AD, though not all MCI progresses to AD, and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the two evaluated batch-adjustment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5"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using the following SRA search terms: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in public metadata, (2) raw FASTQ files or quality-filtered reads in a public archive, and (3) minimum sample sizes of 40 participants per cohort. We restricted this analysis to 16S rRNA studies; shotgun metagenomic cohorts were identified but excluded to avoid the additional platform confound of mixing amplicon and whole-genome sequencing data. Cohorts were excluded if per-sample labels were IRB-restricted (for supervised analyses), data had not been publicly released at the time of analysis, or samples represented a tissue compartment other than fecal microbiome. A complete record of the search procedure, identified cohorts, and exclusion rationale is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ascertainment differed across cohorts: Zhuang 2018, Ling 2020, and Zhu 2022 used clinical AD diagnosis; Kazakhstan used NINCDS-ADRDA criteria (confirmed by neurologists); and Kim/KBASE 2022 used amyloid-PET positivity for preclinical AD.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implications for read length and taxonomic resolution are discussed in Section 2.2 and Limitations.</w:t>
      </w:r>
    </w:p>
    <w:p>
      <w:pPr>
        <w:pStyle w:val="BodyText"/>
      </w:pPr>
      <w:r>
        <w:t xml:space="preserve">The Kim/KBASE 2022 cohort (Jung et al., 2022; PRJEB50447; 78 participants; 18 preclinical AD by amyloid-PET, 60 CN) was included in PERMANOVA analyses (Phase 4) only and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study if it reached ≥20% prevalence (nonzero count in ≥20% of samples) in at least one of the five cohorts; this threshold was computed per cohort and the union of genera passing in any cohort was taken across all five,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it is identified transparently as a global, all-cohort feature-selection step, and its effect on the paper’s conclusions is evaluated directly by a strict training-only sensitivity analysis (Section 2.5.1) rather than assumed negligible.</w:t>
      </w:r>
    </w:p>
    <w:p>
      <w:pPr>
        <w:pStyle w:val="BodyText"/>
      </w:pPr>
      <w:r>
        <w:rPr>
          <w:b/>
          <w:bCs/>
        </w:rPr>
        <w:t xml:space="preserve">Leakage status of every preprocessing step, stated explicitly.</w:t>
      </w:r>
      <w:r>
        <w:t xml:space="preserve"> </w:t>
      </w:r>
      <w:r>
        <w:t xml:space="preserve">(1)</w:t>
      </w:r>
      <w:r>
        <w:t xml:space="preserve"> </w:t>
      </w:r>
      <w:r>
        <w:rPr>
          <w:i/>
          <w:iCs/>
        </w:rPr>
        <w:t xml:space="preserve">DADA2 ASV inference and error-model estimation</w:t>
      </w:r>
      <w:r>
        <w:t xml:space="preserve"> </w:t>
      </w:r>
      <w:r>
        <w:t xml:space="preserve">(this section) were performed once independently within each cohort using that cohort’s full read set, with no diagnosis labels and no samples from other cohorts, and were not re-estimated within outer-CV folds. Thus, this raw-read stage does not introduce diagnosis-label leakage or cross-cohort pooling, although within-cohort performance is not fully fold-isolated at the denoising stage because error-model estimation used the cohort’s full read set. The strict training-only sensitivity below re-derives genus selection and downstream supervised preprocessing/model fitting, not DADA2.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 a genuine, acknowledged limitation bounded by the training-only sensitivity in Section 2.5.1, which re-derives the feature set from training-side samples only and finds the qualitative conclusion unchanged. (3)</w:t>
      </w:r>
      <w:r>
        <w:t xml:space="preserve"> </w:t>
      </w:r>
      <w:r>
        <w:rPr>
          <w:i/>
          <w:iCs/>
        </w:rPr>
        <w:t xml:space="preserve">Zero-replacement and CLR transformation</w:t>
      </w:r>
      <w:r>
        <w:t xml:space="preserve"> </w:t>
      </w:r>
      <w:r>
        <w:t xml:space="preserve">(Section 2.3) are deterministic functions of each sample’s own count vector, using no information from any other sample, cohort, or diagnosis label. (4)</w:t>
      </w:r>
      <w:r>
        <w:t xml:space="preserve"> </w:t>
      </w:r>
      <w:r>
        <w:rPr>
          <w:i/>
          <w:iCs/>
        </w:rPr>
        <w:t xml:space="preserve">Model tuning and fitting</w:t>
      </w:r>
      <w:r>
        <w:t xml:space="preserve"> </w:t>
      </w:r>
      <w:r>
        <w:t xml:space="preserve">(Sections 2.4–2.5) use only the training-side samples of each split, with test-side samples never used for tuning, fitting, or standardization. (5) The</w:t>
      </w:r>
      <w:r>
        <w:t xml:space="preserve"> </w:t>
      </w:r>
      <w:r>
        <w:rPr>
          <w:i/>
          <w:iCs/>
        </w:rPr>
        <w:t xml:space="preserve">strict training-only sensitivity</w:t>
      </w:r>
      <w:r>
        <w:t xml:space="preserve"> </w:t>
      </w:r>
      <w:r>
        <w:t xml:space="preserve">(Section 2.5.1) additionally re-derives genus selection from training-side samples only, closing the pathway identified in (2) for that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for each of exactly 1,000 permutations, AD/CN labels were shuffled across the 60 participants while preserving the 30/30 class balance. Within every outer fold, all label-dependent model fitting and hyperparameter tuning were rerun using the permuted training labels. Fold-specific genus selection, zero replacement, and CLR construction depend only on fold membership and feature counts rather than diagnosis labels; these components were therefore precomputed once for the fixed partition and reused across permutations. This is an implementation optimization and does not alter the permutation null because the classifier is refit on the permuted labels in every replicate.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using the training-only single-partition AUC as the observed value; the minimum attainable p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it.</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then evaluated on the held-out cohort, producing four LOCO AUC estimates per model type. We report the LOCO AUC drop as the difference between within-cohort (nested CV) AUC and LOCO AUC. Uncorrected LOCO 95% CIs (Table 3, Figure 3A) use the diagnosis-stratified, participant-level bootstrap of Section 2.5.2 (10,000 replicates); CIs on batch-corrected LOCO AUC (Table 4, Figure 5, Supplementary Figure S4) use the non-stratified 1,000-resample bootstrap described below. Non-overlap of two independently computed CIs is not a formal statistical test of whether their difference is nonzero and is not used as one anywhere in this paper; the AUC drop is instead evaluated with the paired bootstrap procedure in Section 2.5.2.</w:t>
      </w:r>
    </w:p>
    <w:p>
      <w:pPr>
        <w:pStyle w:val="BodyText"/>
      </w:pPr>
      <w:r>
        <w:rPr>
          <w:b/>
          <w:bCs/>
        </w:rPr>
        <w:t xml:space="preserve">Pairwise transfer:</w:t>
      </w:r>
      <w:r>
        <w:t xml:space="preserve"> </w:t>
      </w:r>
      <w:r>
        <w:t xml:space="preserve">A classifier was trained on one cohort and tested on each of the other three individually, yielding a 4×4 matrix (diagonal excluded) of cross-cohort AUC per model type — more stringent than LOCO and able to isolate specific directional failures. Pairwise AUC 95% CIs (Supplementary Table S1) use the non-stratified 1,000-resample bootstrap on test-set predictions, not the diagnosis-stratified regeneration of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LOCO under three additional configurations: (A) excluding Kazakhstan entirely, LOCO evaluated on the remaining three; (B) excluding Zhuang 2018; (C) excluding Ling 2020. Results are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test whether this affected the generalization-failure conclusion, we repeated the within-cohort, LOCO, and pairwise-transfer analyses with genus selection re-derived independently inside every split, using only that split’s training-side samples: for each outer fold (within-cohort), held-out cohort (LOCO), and train cohort (pairwise), the ≥20%-prevalence filter was recomputed from training-side AD/CN-labeled samples only, and test/held-out samples were projected onto the training-derived genus set (absent genera zero-filled) before per-sample zero-replacement and CLR transformation. Model families, hyperparameter grids, random state, fold counts, and bootstrap CI procedure matched the main analyses (Sections 2.4–2.5). This yields a strictly train-only feature universe per split, at the cost of a smaller, split-specific genus count (e.g., 150 genera when Kazakhstan is excluded during its own LOCO hold-out, versus 396 globally).</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statistical comparison. To formally evaluate the within-cohort-versus-LOCO AUC difference for each of the eight cohort–model combinations, we performed a paired, diagnosis-stratified, participant-level bootstrap: for each pair, the within-cohort and LOCO predictions refer to the same participants, and each of 10,000 replicates resampled participants with replacement (separately within AD and CN) and used that same resampled index set for both AUC values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is a genuine paired comparison, not the difference of two independently resampled statistics. We report the observed delta, bootstrap mean delta, 95% percentile CI, and the proportion of replicates with</w:t>
      </w:r>
      <w:r>
        <w:t xml:space="preserve"> </w:t>
      </w:r>
      <m:oMath>
        <m:r>
          <m:rPr>
            <m:sty m:val="p"/>
          </m:rPr>
          <m:t>Δ</m:t>
        </m:r>
        <m:r>
          <m:rPr>
            <m:sty m:val="p"/>
          </m:rPr>
          <m:t>≤</m:t>
        </m:r>
        <m:r>
          <m:t>0</m:t>
        </m:r>
      </m:oMath>
      <w:r>
        <w:t xml:space="preserve"> </w:t>
      </w:r>
      <w:r>
        <w:t xml:space="preserve">(an empirical bootstrap quantity, not an exact p-value). Within-cohort and uncorrected-LOCO CIs in Tables 2 and 3 (Figures 2 and 3A, Supplementary Figure S1) were regenerated with this same procedure, so every within-cohort and uncorrected-LOCO CI in the paper uses one consistent resampling method; this did not extend to the pairwise-transfer CIs (Supplementary Table S1) or batch-corrected LOCO CIs (Table 4, Figure 5, Supplementary Figure S4), which retain the original non-stratified 1,000-resample bootstrap of Section 2.5 — each table/figure states which procedure its CIs use.</w:t>
      </w:r>
    </w:p>
    <w:p>
      <w:pPr>
        <w:pStyle w:val="BodyText"/>
      </w:pPr>
      <w:r>
        <w:t xml:space="preserve">Within-cohort out-of-fold prediction files lack an explicit participant identifier; identity was recovered by replicating the exact data-loading/filtering sequence and verified, before use, by an exact-match assertion against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using the adonis2 function in the R package vegan v2.6 (Oksanen et al., 2024), with two distance matrices:</w:t>
      </w:r>
      <w:r>
        <w:t xml:space="preserve"> </w:t>
      </w:r>
      <w:r>
        <w:rPr>
          <w:b/>
          <w:bCs/>
        </w:rPr>
        <w:t xml:space="preserve">Aitchison distance</w:t>
      </w:r>
      <w:r>
        <w:t xml:space="preserve"> </w:t>
      </w:r>
      <w:r>
        <w:t xml:space="preserve">(Euclidean distance on CLR values), the compositionally appropriate distance that does not distort due to the simplex constraint, and</w:t>
      </w:r>
      <w:r>
        <w:t xml:space="preserve"> </w:t>
      </w:r>
      <w:r>
        <w:rPr>
          <w:b/>
          <w:bCs/>
        </w:rPr>
        <w:t xml:space="preserve">Bray-Curtis dissimilarity</w:t>
      </w:r>
      <w:r>
        <w:t xml:space="preserve"> </w:t>
      </w:r>
      <w:r>
        <w:t xml:space="preserve">(on relative abundances), included for comparability with the broader microbiome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here decomposes that total into technical and biological components. To assess how sensitive the cohort-versus-diagnosis variance disparity (Section 3.4) is to this composite structure, we repeated the marginal PERMANOVA and betadisper analyses on a subset restricted to three more technically comparable cohorts — Zhuang 2018, Ling 2020, and Zhu 2022, all Chinese, paired-end MiSeq 2×300bp, V3–V4 studies — while still differing in recruitment site, exact diagnostic procedure, and other unmeasured factors, so this subset is more comparable, not identical. This sensitivity used the same marginal (</w:t>
      </w:r>
      <w:r>
        <w:rPr>
          <w:rStyle w:val="VerbatimChar"/>
        </w:rPr>
        <w:t xml:space="preserve">by="margin"</w:t>
      </w:r>
      <w:r>
        <w:t xml:space="preserve">) two-variable PERMANOVA specification and 9,999 permutations as the main four-cohort model, restricted to binary AD/CN samples from the three cohorts (n=317), with betadisper/permutest and pairwise post-hoc comparisons on the same subset.</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is prospective or inductive (neither defines a transformation applicable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peer-review additions below) used scikit-learn v1.5, lightgbm v4, shap v0.51, pandas v2.x, and numpy v1.x (Python 3.11), and vegan v2.6, sva v3.50 (ComBat-seq), and MMUPHin v1.15 in R v4.3. Analyses added in response to peer review — training-only feature-selection sensitivity, label-blind batch correction, SHAP coefficient-stability screen, matched-statistic Jaccard null (Sections 2.5.1, 2.7, 2.8), Zhu 2022 repeated-CV/permutation robustness (Section 2.4.1), paired within-cohort-vs-LOCO AUC-difference bootstrap (Section 2.5.2), pairwise beta-dispersion and Chinese-MiSeq PERMANOVA sensitivity (Section 2.6), and prevalence-restricted Jaccard null (Section 2.8) — were executed in Python 3.11.15 (scikit-learn 1.5.2, lightgbm 4.6.0, shap 0.51.0, matching the original package versions) and R 4.5.1 (vegan 2.7.1, sva 3.58.0, MMUPHin 1.24.0, newer than the initial R environment, reflecting routine system updates). This mixed provenance — original DADA2/R4.3 preprocessing feeding downstream analysis combining an unchanged Python environment with an updated R4.5.1 environment — is disclosed rather than described as uniform. Figures were generated with matplotlib v3.8 or v3.11 at 300 DPI.</w:t>
      </w:r>
    </w:p>
    <w:bookmarkEnd w:id="23"/>
    <w:bookmarkStart w:id="24" w:name="ethics-statement"/>
    <w:p>
      <w:pPr>
        <w:pStyle w:val="Heading3"/>
      </w:pPr>
      <w:r>
        <w:t xml:space="preserve">2.11 Ethics Statement</w:t>
      </w:r>
    </w:p>
    <w:p>
      <w:pPr>
        <w:pStyle w:val="FirstParagraph"/>
      </w:pPr>
      <w:r>
        <w:t xml:space="preserve">This study is a secondary analysis of publicly available, de-identified sequencing data and involved no direct participant recruitment, intervention, or access to identifiable information. Ethical approval and informed consent for primary data collection were the responsibility of the originating studies as reported in their publications; no new participants were recruited for the present analysis.</w:t>
      </w:r>
    </w:p>
    <w:p>
      <w:r>
        <w:pict>
          <v:rect style="width:0;height:1.5pt" o:hralign="center" o:hrstd="t" o:hr="t"/>
        </w:pict>
      </w:r>
    </w:p>
    <w:bookmarkEnd w:id="24"/>
    <w:bookmarkEnd w:id="25"/>
    <w:bookmarkStart w:id="32" w:name="results"/>
    <w:p>
      <w:pPr>
        <w:pStyle w:val="Heading2"/>
      </w:pPr>
      <w:r>
        <w:t xml:space="preserve">3. Results</w:t>
      </w:r>
    </w:p>
    <w:bookmarkStart w:id="26"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6"/>
    <w:bookmarkStart w:id="27"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The high AUC should nonetheless be interpreted cautiously;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training-only values (0.9956 and 0.9700)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of 0.9956 and 0.9700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bookmarkEnd w:id="27"/>
    <w:bookmarkStart w:id="28"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across all cohorts and model types (Figure 3A; Table 3). Mean LOCO AUC across the four cohorts was 0.640 for logistic regression and 0.647 for LightGBM — mean drops of 0.176 and 0.146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Kazakhstan (0.766 → 0.564, Δ=0.202). Zhu 2022 showed the largest LightGBM drop (0.979 →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 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formally compared the within-cohort and LOCO AUC difference for each of the eight cohort–model pairs, rather than relying on non-overlap of independently computed CIs, which is not a formal test of a nonzero difference. Five of eight pairs showed a 95% bootstrap CI on the delta excluding zero: Ling 2020 (logistic regression Δ=0.187, 95% CI [0.10, 0.28]; LightGBM Δ=0.188, 95% CI [0.10, 0.28]), Zhu 2022 (logistic regression Δ=0.184, 95% CI [0.07, 0.31]; LightGBM Δ=0.221, 95% CI [0.11, 0.35]), and Kazakhstan logistic regression (Δ=0.201, 95% CI [0.04, 0.36]). The remaining three — Zhuang 2018 logistic regression (Δ=0.129, 95% CI [−0.05, 0.30], proportion Δ≤0: 0.079), Zhuang 2018 LightGBM (Δ=0.070, 95% CI [−0.10, 0.24], proportion Δ≤0: 0.214), and Kazakhstan LightGBM (Δ=0.104, 95% CI [−0.05, 0.26], proportion Δ≤0: 0.092) — showed the same-signed (within-cohort higher) point estimate but a CI including zero, not formally significant despite the consistent direction across all eight pairs. The aggregate pattern of reduced cross-cohort performance is robust, but three of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Only one of eight main model–cohort combinations fell to near chance, and five of eight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Excluding Kazakhstan and running LOCO on the three remaining Chinese cohorts, Zhuang 2018 remained near chance (LogReg 0.512, LightGBM 0.567), showing its generalization failure is not a Kazakhstan artifact. Excluding Zhuang 2018, LOCO on the remaining three still showed AUC substantially below within-cohort baseline for Kazakhstan (LogReg 0.599, LightGBM 0.495). Excluding Ling 2020, Kazakhstan LOCO LogReg was 0.604. These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 changed LOCO AUC by at most 0.066 in either direction (largest: Kazakhstan LightGBM 0.591→0.525, Δ=−0.066; Kazakhstan LogReg 0.564→0.609, Δ=+0.045; all others ≤0.031). Retained genus count under strict training-only selection ranged from 150 (Kazakhstan, a comparatively high-prevalence cohort for many genera, excluded from feature selection during its own hold-out) to 373, versus 396 under the global rule, yet no cohort–model combination changed its qualitative classification. Within-cohort nested-CV AUC under training-only selection likewise moved by −0.083 to +0.038 (Supplementary Table S4). The global feature-selection design, while a genuine methodological limitation in principle, did not materially inflate or deflate the magnitude of the reported cross-cohort generalization failure.</w:t>
      </w:r>
    </w:p>
    <w:p>
      <w:pPr>
        <w:pStyle w:val="BodyText"/>
      </w:pPr>
      <w:r>
        <w:t xml:space="preserve">Pairwise single-cohort transfer AUC values (Figure 3B–C; Supplementary Table S1) ranged from 0.54 to 0.88 for logistic regression. The highest was Ling 2020 → Zhu 2022 (AUC=0.88), reflecting transfer between two large Chinese fecal cohorts with overlapping compositional structure; Kazakhstan → Ling 2020 also transferred reasonably (AUC=0.74). Most other pairwise AUCs clustered between 0.54 and 0.70, consistent with limited cross-cohort transferability overall.</w:t>
      </w:r>
    </w:p>
    <w:bookmarkEnd w:id="28"/>
    <w:bookmarkStart w:id="29"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Cohort-associated compositional variation was substantially larger than diagnosis-associated variation in this pooled four-cohort model: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2018, Ling 2020) were more tightly dispersed. Pairwise post-hoc betadisper comparisons (Section 2.6; Supplementary Table S12) show this is not uniform across all pairs: Ling 2020 differs significantly from every other cohort (all Holm-adjusted p≤0.0420) and drives most of the significant comparisons, while Zhu 2022 vs. Zhuang 2018 (Holm p=0.439) and Kazakhstan vs. Kim/KBASE 2022 (Holm p=0.439) do not differ significantly. Within the Chinese-MiSeq-only subset, dispersion remained significant overall (F=7.946, p=0.0004): Zhuang 2018 differed significantly from Ling 2020 after Holm correction (raw p=0.0001, Holm-adjusted p=0.0003), but its difference from Zhu 2022 did not survive Holm correction (raw p=0.026, Holm-adjusted p=0.052), and Ling 2020 and Zhu 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9"/>
    <w:bookmarkStart w:id="30"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p>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 2018) to 0.769 (Zhu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30"/>
    <w:bookmarkStart w:id="31"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1"/>
    <w:bookmarkEnd w:id="32"/>
    <w:bookmarkStart w:id="39" w:name="discussion"/>
    <w:p>
      <w:pPr>
        <w:pStyle w:val="Heading2"/>
      </w:pPr>
      <w:r>
        <w:t xml:space="preserve">4. Discussion</w:t>
      </w:r>
    </w:p>
    <w:bookmarkStart w:id="33"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for logistic regression and 0.146 for LightGBM,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five of eight cohort–model pairs at conventional significance; the remaining three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2019),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3"/>
    <w:bookmarkStart w:id="34"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4"/>
    <w:bookmarkStart w:id="35"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suggesting the classification pattern learned here is somewhat consistent with the Chinese and Kazakh training cohorts, unlike a spurious compartment-discrimination signal that mixed-compartment pooling would have produced — a design this study avoided by excluding blood samples at the outset (Section 2.4). We recommend future AD microbiome studies report sample types explicitly and analyze each compartment independently before pooling.</w:t>
      </w:r>
    </w:p>
    <w:bookmarkEnd w:id="35"/>
    <w:bookmarkStart w:id="36"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If some directional disagreements arise from biological population differences rather than technical artifacts, technical batch correction would not necessarily resolve them; the present design cannot determine which source dominates, consistent with Section 4.2’s finding that label-blind correction left cross-cohort AUC essentially unchanged.</w:t>
      </w:r>
    </w:p>
    <w:bookmarkEnd w:id="36"/>
    <w:bookmarkStart w:id="37"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measured and accounted for through study design, stratification, covariate adjustment, or sensitivity analysis,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7"/>
    <w:bookmarkStart w:id="38"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 Diagnostic-criteria comparability (clinical AD diagnosis vs. amyloid-PET positivity) adds biological heterogeneity not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 a technical asymmetry that cannot be disentangled from biological population differences here.</w:t>
      </w:r>
    </w:p>
    <w:p>
      <w:pPr>
        <w:pStyle w:val="BodyText"/>
      </w:pPr>
      <w:r>
        <w:rPr>
          <w:b/>
          <w:bCs/>
        </w:rPr>
        <w:t xml:space="preserve">Kim/KBASE 2022 excluded from supervised analyses:</w:t>
      </w:r>
      <w:r>
        <w:t xml:space="preserve"> </w:t>
      </w:r>
      <w:r>
        <w:t xml:space="preserve">Per-sample amyloid-PET diagnosis labels are IRB-restricted. This cohort (78 participants; 18 amyloid-positive preclinical AD, 60 CN) contributed only to PERMANOVA variance decomposition.</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 North American, European, African populations —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so the eventual held-out cohort in every LOCO/pairwise experiment contributed prevalence information. A training-only sensitivity analysis (Section 2.5.1, Section 3.3), run under the same prespecified</w:t>
      </w:r>
      <w:r>
        <w:t xml:space="preserve"> </w:t>
      </w:r>
      <w:r>
        <w:rPr>
          <w:rStyle w:val="VerbatimChar"/>
        </w:rPr>
        <w:t xml:space="preserve">random_state=42</w:t>
      </w:r>
      <w:r>
        <w:t xml:space="preserve"> </w:t>
      </w:r>
      <w:r>
        <w:t xml:space="preserve">partition used throughout, re-derived genus selection independently within every split and found LOCO AUC changed by at most 0.066 — the generalization-failure conclusion is not an artifact of this design — but global selection remains a methodological limitation in principle, and we recommend training-only feature selection as the default for future cross-cohort microbiome classifier studies. Repeated cross-validation with multiple seeds was not performed for this sensitivity analysis, so 0.066 is a single-partition estimate, not one adjusted for fold-assignment variability.</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Jaccard overlap significance depends on the null model chosen, and one finding reverses.</w:t>
      </w:r>
      <w:r>
        <w:t xml:space="preserve"> </w:t>
      </w:r>
      <w:r>
        <w:t xml:space="preserve">As shown in Section 3.6, LightGBM’s cross-cohort top-predictor overlap was significant at N=20/50 (not N=10) under a shared-genus-pool null but not significant at any tested N under a per-cohort prevalence-restricted null; we report both rather than selecting whichever supports a stronger claim. Logistic regression’s overlap was significant under both nulls at all tested N and is the more robust finding.</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designs estimate batch-effect parameters using the eventual held-out cohort’s own feature values and cohort membership, and neither should be extrapolated to prospective deployment. The label-informed design additionally uses every sample’s true diagnosis label and is retained only as an exploratory sensitivity; its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every repetition, quantifying sensitivity to fold assignment, not sampling variability across independent samples; the label-permutation test in that section formally tests whether observed AUC exceeds chance. Separately, the formal paired bootstrap test of within-cohort-vs-LOCO differences (Section 2.5.2, Section 3.3) found three of eight cohort–model pairs (Zhuang 2018, both models; Kazakhstan LightGBM) did not reach a 95% CI excluding zero, despite all eight showing the same-signed drop — we report this rather than treating the aggregate mean drop as equally well-supported for every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and all language throughout refers to associations and predictive performance, not causal effects.</w:t>
      </w:r>
    </w:p>
    <w:p>
      <w:pPr>
        <w:pStyle w:val="BodyText"/>
      </w:pPr>
      <w:r>
        <w:rPr>
          <w:b/>
          <w:bCs/>
        </w:rPr>
        <w:t xml:space="preserve">SHAP and coefficient-direction interpretability limitations:</w:t>
      </w:r>
      <w:r>
        <w:t xml:space="preserve"> </w:t>
      </w:r>
      <w:r>
        <w:t xml:space="preserve">As detailed in Sections 2.8 and 4.4, logistic-regression direction is defined from the fitted coefficient sign, not mean signed SHAP, and is conditional on L2 regularization (see below) and CLR-feature collinearity, not a direct estimate of biological association, significance, or causal direction. The ≥8/10-fold coefficient-sign-stability screen remains descriptive rather than a formal hypothesis test — the 10 outer-CV folds are not independent replications, and we apply no multiplicity correction or per-taxon p-value — so the eight genera meeting it should be treated as empirical patterns for targeted, covariate-adjusted, independently-replicated follow-up, not confirmed mechanistic findings. LightGBM has no coefficient-like global direction and receives no directional screen. All LOCO SHAP values (either model) remain feature-importance rankings only, with no assigned cross-cohort direction, since the LOCO SHAP background and evaluation set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w:t>
      </w:r>
      <w:r>
        <w:rPr>
          <w:rStyle w:val="VerbatimChar"/>
        </w:rPr>
        <w:t xml:space="preserve">solver="saga"</w:t>
      </w:r>
      <w:r>
        <w:t xml:space="preserve">) use</w:t>
      </w:r>
      <w:r>
        <w:t xml:space="preserve"> </w:t>
      </w:r>
      <w:r>
        <w:rPr>
          <w:rStyle w:val="VerbatimChar"/>
        </w:rPr>
        <w:t xml:space="preserve">penalty="l2"</w:t>
      </w:r>
      <w:r>
        <w:t xml:space="preserve">, not</w:t>
      </w:r>
      <w:r>
        <w:t xml:space="preserve"> </w:t>
      </w:r>
      <w:r>
        <w:rPr>
          <w:rStyle w:val="VerbatimChar"/>
        </w:rPr>
        <w:t xml:space="preserve">"elasticnet"</w:t>
      </w:r>
      <w:r>
        <w:t xml:space="preserve">; an</w:t>
      </w:r>
      <w:r>
        <w:t xml:space="preserve"> </w:t>
      </w:r>
      <w:r>
        <w:rPr>
          <w:rStyle w:val="VerbatimChar"/>
        </w:rPr>
        <w:t xml:space="preserve">l1_ratio</w:t>
      </w:r>
      <w:r>
        <w:t xml:space="preserve"> </w:t>
      </w:r>
      <w:r>
        <w:t xml:space="preserve">parameter is present in the estimator configuration but silently ignored by scikit-learn under the L2 penalty. Consequently,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8"/>
    <w:bookmarkEnd w:id="39"/>
    <w:bookmarkStart w:id="40"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of 0.633–0.998, consistent with published reports; the near-perfect Zhu 2022 result was stable across 50 repeated cross-validation partitions (mean AUC=0.9955 logistic regression, 0.9760 LightGBM) and distinguishable from a label-permutation null. LOCO AUC fell to 0.504–0.813 — a mean drop of 0.176 (logistic regression) and 0.146 (LightGBM); a formal paired bootstrap supported this drop for five of eight cohort–model pairs, with the remaining three showing the same direction without reaching formal significance at this sample size (Section 3.3). This pattern was robust to a strict training-only re-derivation of feature selection (LOCO AUC changed by at most 0.066). Batch correction under a label-blind design left mean LOCO AUC essentially unchanged (within 0.007 AUC for both methods/models) without recovering transferability; an exploratory label-informed design (which cannot estimate prospective performance) produced large, cohort-specific degradation attributable substantially to the design itself rather than the correction algorithms. PERMANOVA showed cohort identity explained substantially more compositional variance than disease status (marginal R²: 0.172 vs. 0.014, ~12-fold, across the four labeled cohorts) — not decomposable by PERMANOVA into technical and biological sources, and not by itself explaining the batch-correction results — falling to ~2.6-fold (R²=0.059 vs. 0.023) restricted to three more technically comparable cohorts, with pairwise dispersion driven predominantly by one cohort. A cohort-identity classifier achieved macro-AUC=0.9917, indicating strong cohort structure in the feature space, and generalization failure persisted across all three prespecified cohort-exclusion sensitivity configurations. Out-of-fold SHAP analysis found low taxon overlap between cohort-specific predictive signatures (mean Jaccard 0.135 logistic regression, 0.058 LightGBM); logistic regression overlap remained significant under both a matched-statistic and a prevalence-restricted null, while LightGBM was significant only under the shared-pool null — a genuine reversal, reported as such. Using a pre-specified descriptive coefficient-sign-stability screen, eight genera showed opposite, stable fitted-coefficient direction across cohorts for logistic regression; no comparable screen applies to LightGBM. These findings demonstrate substantial cross-cohort generalization limitations among the evaluated 16S datasets, and the two batch-correction methods tested under label-blind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40"/>
    <w:bookmarkStart w:id="41"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1"/>
    <w:bookmarkStart w:id="42"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2"/>
    <w:bookmarkStart w:id="43"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3"/>
    <w:bookmarkStart w:id="44"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pPr>
        <w:pStyle w:val="BodyText"/>
      </w:pPr>
      <w:r>
        <w:t xml:space="preserve">Generative-AI tool disclosure: Claude Code (Anthropic; version 2.1.104), running the Claude Sonnet 5 model (Anthropic; source: https://www.anthropic.com), provided minimal assistance with initial manuscript drafting and computational scripting, as detailed in Methods 2.9. All analytical decisions, parameter choices, experimental design, statistical interpretations, and scientific conclusions were made by the author.</w:t>
      </w:r>
    </w:p>
    <w:p>
      <w:r>
        <w:pict>
          <v:rect style="width:0;height:1.5pt" o:hralign="center" o:hrstd="t" o:hr="t"/>
        </w:pict>
      </w:r>
    </w:p>
    <w:bookmarkEnd w:id="44"/>
    <w:bookmarkStart w:id="45"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(2026).</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p>
      <w:r>
        <w:pict>
          <v:rect style="width:0;height:1.5pt" o:hralign="center" o:hrstd="t" o:hr="t"/>
        </w:pict>
      </w:r>
    </w:p>
    <w:bookmarkEnd w:id="46"/>
    <w:bookmarkStart w:id="47" w:name="tables"/>
    <w:p>
      <w:pPr>
        <w:pStyle w:val="Heading2"/>
      </w:pPr>
      <w:r>
        <w:t xml:space="preserve">Tables</w:t>
      </w:r>
    </w:p>
    <w:p>
      <w:pPr>
        <w:pStyle w:val="FirstParagraph"/>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of Section 2.5.2 (10,000 replicates), which states which other tables/figures use this procedure versus the original 1,000-resample bootstrap.</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significance for the AUC drop (Section 2.5.2; Supplementary Table S10) matches the pattern above: significant for Ling 2020 and Zhu 2022 (both models) and Kazakhstan LogReg; not significant for Zhuang 2018 (both models) or Kazakhstan LGBM.</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Study design. (</w:t>
      </w:r>
      <w:r>
        <w:rPr>
          <w:b/>
          <w:bCs/>
        </w:rPr>
        <w:t xml:space="preserve">A</w:t>
      </w:r>
      <w:r>
        <w:t xml:space="preserve">) Overview of the five 16S rRNA amplicon sequencing cohorts assembled for this study, including country of origin, sample size, sequencing mode, 16S variable region, diagnosis label availability, and analytic phases in which each cohort participates. (</w:t>
      </w:r>
      <w:r>
        <w:rPr>
          <w:b/>
          <w:bCs/>
        </w:rPr>
        <w:t xml:space="preserve">B</w:t>
      </w:r>
      <w:r>
        <w:t xml:space="preserve">) Summary of the six-phase analysis pipeline, from DADA2 processing through SHAP feature-importance and logistic-regression coefficient-stability analyses.</w:t>
      </w:r>
    </w:p>
    <w:p>
      <w:pPr>
        <w:pStyle w:val="BodyText"/>
      </w:pPr>
      <w:r>
        <w:rPr>
          <w:b/>
          <w:bCs/>
        </w:rPr>
        <w:t xml:space="preserve">Figure 2.</w:t>
      </w:r>
      <w:r>
        <w:t xml:space="preserve"> </w:t>
      </w:r>
      <w:r>
        <w:t xml:space="preserve">Within-cohort classification performance under nested cross-validation (10-fold outer / 5-fold inner CV). Bars show out-of-fold AUC-ROC; error bars represent 95% CIs from the diagnosis-stratified, participant-level bootstrap (10,000 replicates; Section 2.5.2), matching Table 2. Dashed line = chance (AUC = 0.50). LogReg = L2-regularized logistic regression; LGBM = LightGBM.</w:t>
      </w:r>
    </w:p>
    <w:p>
      <w:pPr>
        <w:pStyle w:val="BodyText"/>
      </w:pPr>
      <w:r>
        <w:rPr>
          <w:b/>
          <w:bCs/>
        </w:rPr>
        <w:t xml:space="preserve">Figure 3.</w:t>
      </w:r>
      <w:r>
        <w:t xml:space="preserve"> </w:t>
      </w:r>
      <w:r>
        <w:t xml:space="preserve">Cross-cohort generalization failure. (</w:t>
      </w:r>
      <w:r>
        <w:rPr>
          <w:b/>
          <w:bCs/>
        </w:rPr>
        <w:t xml:space="preserve">A</w:t>
      </w:r>
      <w:r>
        <w:t xml:space="preserve">) Within-cohort (solid bars) versus LOCO cross-cohort (hatched bars) AUC-ROC for logistic regression (blue) and LightGBM (pink). Error bars on the LOCO bars = 95% CI from the diagnosis-stratified, participant-level bootstrap (10,000 replicates; Section 2.5.2), matching Table 3; within-cohort bars are shown without error bars in this panel. (</w:t>
      </w:r>
      <w:r>
        <w:rPr>
          <w:b/>
          <w:bCs/>
        </w:rPr>
        <w:t xml:space="preserve">B</w:t>
      </w:r>
      <w:r>
        <w:t xml:space="preserve">,</w:t>
      </w:r>
      <w:r>
        <w:t xml:space="preserve"> </w:t>
      </w:r>
      <w:r>
        <w:rPr>
          <w:b/>
          <w:bCs/>
        </w:rPr>
        <w:t xml:space="preserve">C</w:t>
      </w:r>
      <w:r>
        <w:t xml:space="preserve">) Pairwise single-cohort-train / single-cohort-test AUC heatmaps for logistic regression and LightGBM respectively. Diagonal (within-cohort) values are omitted; colour scale: red = lower AUC, green = higher AUC.</w:t>
      </w:r>
    </w:p>
    <w:p>
      <w:pPr>
        <w:pStyle w:val="BodyText"/>
      </w:pPr>
      <w:r>
        <w:rPr>
          <w:b/>
          <w:bCs/>
        </w:rPr>
        <w:t xml:space="preserve">Figure 4.</w:t>
      </w:r>
      <w:r>
        <w:t xml:space="preserve"> </w:t>
      </w:r>
      <w:r>
        <w:t xml:space="preserve">PERMANOVA variance decomposition and beta-diversity structure. (</w:t>
      </w:r>
      <w:r>
        <w:rPr>
          <w:b/>
          <w:bCs/>
        </w:rPr>
        <w:t xml:space="preserve">A</w:t>
      </w:r>
      <w:r>
        <w:t xml:space="preserve">) Marginal R² values from a two-variable PERMANOVA model on the four labeled cohorts (n=401): cohort R²=0.172 and diagnosis R²=0.014, shown as independent bars. These Type III marginal R² values are estimated independently and do not sum to 1. (</w:t>
      </w:r>
      <w:r>
        <w:rPr>
          <w:b/>
          <w:bCs/>
        </w:rPr>
        <w:t xml:space="preserve">B</w:t>
      </w:r>
      <w:r>
        <w:t xml:space="preserve">) PCoA of Aitchison distance matrix (all five cohorts; n=509). Cohort R²=0.193 (F=30.13, p=0.0001, 9,999 permutations). Ellipses = 95% normal confidence ellipses. (</w:t>
      </w:r>
      <w:r>
        <w:rPr>
          <w:b/>
          <w:bCs/>
        </w:rPr>
        <w:t xml:space="preserve">C</w:t>
      </w:r>
      <w:r>
        <w:t xml:space="preserve">) Beta-dispersion: distance from each sample to its cohort centroid (F=13.93, p=0.0001, 9,999 permutations).</w:t>
      </w:r>
    </w:p>
    <w:p>
      <w:pPr>
        <w:pStyle w:val="BodyText"/>
      </w:pPr>
      <w:r>
        <w:rPr>
          <w:b/>
          <w:bCs/>
        </w:rPr>
        <w:t xml:space="preserve">Figure 5.</w:t>
      </w:r>
      <w:r>
        <w:t xml:space="preserve"> </w:t>
      </w:r>
      <w:r>
        <w:t xml:space="preserve">Effect of label-blind batch correction on LOCO cross-cohort AUC-ROC (primary analysis; no diagnosis information used during correction). (</w:t>
      </w:r>
      <w:r>
        <w:rPr>
          <w:b/>
          <w:bCs/>
        </w:rPr>
        <w:t xml:space="preserve">A</w:t>
      </w:r>
      <w:r>
        <w:t xml:space="preserve">) Logistic regression and (</w:t>
      </w:r>
      <w:r>
        <w:rPr>
          <w:b/>
          <w:bCs/>
        </w:rPr>
        <w:t xml:space="preserve">B</w:t>
      </w:r>
      <w:r>
        <w:t xml:space="preserve">) LightGBM LOCO AUC for each held-out cohort under three conditions: uncorrected (green), ComBat-seq label-blind corrected (magenta), and MMUPHin label-blind corrected (salmon). Error bars = 95% bootstrap CI (1,000 non-stratified resamples on held-out test predictions; Section 2.5). Dashed line = chance (0.50). Under this label-blind design, both methods left mean LOCO AUC essentially unchanged relative to uncorrected (within 0.007 AUC for both methods and models), neither recovering nor substantially worsening cross-cohort generalization. An exploratory label-informed transductive sensitivity comparison, in which correction used each sample’s own true diagnosis label and which produced substantially different, more severe degradation for some cohorts, is reported separately in Supplementary Figure S4 and is not treated as evidence about prospective performance (Section 2.7, Section 3.5).</w:t>
      </w:r>
    </w:p>
    <w:p>
      <w:pPr>
        <w:pStyle w:val="BodyText"/>
      </w:pPr>
      <w:r>
        <w:rPr>
          <w:b/>
          <w:bCs/>
        </w:rPr>
        <w:t xml:space="preserve">Figure 6.</w:t>
      </w:r>
      <w:r>
        <w:t xml:space="preserve"> </w:t>
      </w:r>
      <w:r>
        <w:t xml:space="preserve">SHAP feature importance and coefficient-based direction analysis, logistic regression. (</w:t>
      </w:r>
      <w:r>
        <w:rPr>
          <w:b/>
          <w:bCs/>
        </w:rPr>
        <w:t xml:space="preserve">A</w:t>
      </w:r>
      <w:r>
        <w:t xml:space="preserve">) Top-20 SHAP genera by maximum |SHAP| across cohorts. Dot size ∝ mean |SHAP|; feature importance only — no direction is encoded in this panel. (</w:t>
      </w:r>
      <w:r>
        <w:rPr>
          <w:b/>
          <w:bCs/>
        </w:rPr>
        <w:t xml:space="preserve">B</w:t>
      </w:r>
      <w:r>
        <w:t xml:space="preserve">) Fitted-coefficient direction by cohort for the eight genera meeting a pre-specified descriptive coefficient-sign-stability screen (top-20 in ≥2 cohorts; a stable positive coefficient sign in ≥8/10 outer folds in ≥1 cohort and a stable negative sign in ≥8/10 folds in ≥1 other). Cell color = median fitted logistic-regression coefficient across the 10 outer folds; cell text = fold-count and direction. Bordered cells meet the ≥8/10 stability criterion. This is a descriptive screen, not a multiplicity-corrected hypothesis test. (</w:t>
      </w:r>
      <w:r>
        <w:rPr>
          <w:b/>
          <w:bCs/>
        </w:rPr>
        <w:t xml:space="preserve">C</w:t>
      </w:r>
      <w:r>
        <w:t xml:space="preserve">) Pairwise Jaccard similarity of top-20 SHAP taxa between cohort pairs; mean of the six unique pairwise values = 0.135, significantly above a null matched to this statistic’s construction (100,000 replicates of four random top-20 sets; p&lt;0.0001). A prevalence-restricted null sensitivity analysis (Supplementary Table S13) shows logistic regression remains significant while LightGBM does not.</w:t>
      </w:r>
    </w:p>
    <w:bookmarkEnd w:id="48"/>
    <w:bookmarkEnd w:id="49"/>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2026-09-15T00:36:34Z</dcterms:created>
  <dcterms:modified xsi:type="dcterms:W3CDTF">2026-09-15T00:36:34Z</dcterms:modified>
</cp:coreProperties>
</file>

<file path=docProps/custom.xml><?xml version="1.0" encoding="utf-8"?>
<Properties xmlns="http://schemas.openxmlformats.org/officeDocument/2006/custom-properties" xmlns:vt="http://schemas.openxmlformats.org/officeDocument/2006/docPropsVTypes"/>
</file>