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7.jpg" ContentType="image/jpeg"/>
  <Override PartName="/word/media/rId31.jpg" ContentType="image/jpeg"/>
  <Override PartName="/word/media/rId35.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upplementary-materials"/>
    <w:p>
      <w:pPr>
        <w:pStyle w:val="Heading1"/>
      </w:pPr>
      <w:r>
        <w:t xml:space="preserve">Supplementary Materials</w:t>
      </w:r>
    </w:p>
    <w:p>
      <w:r>
        <w:pict>
          <v:rect style="width:0;height:1.5pt" o:hralign="center" o:hrstd="t" o:hr="t"/>
        </w:pict>
      </w:r>
    </w:p>
    <w:bookmarkStart w:id="2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r>
        <w:t xml:space="preserve"> </w:t>
      </w:r>
      <w:r>
        <w:t xml:space="preserve">“Cohort”</w:t>
      </w:r>
      <w:r>
        <w:t xml:space="preserve"> </w:t>
      </w:r>
      <w:r>
        <w:t xml:space="preserve">here is a composite study-of-origin variable (platform, library prep, recruitment site, diagnostic ascertainment, diet, and other unmeasured differences bundled together); this model does not, and cannot, decompose the cohort term into technical versus biological components (Section 2.6). See Table S11 for a sensitivity analysis showing this cohort-vs-diagnosis disparity is highly sensitive to which cohorts are included.</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da60cb2a01f97194512e3d532379985ea78d0d6"/>
    <w:p>
      <w:pPr>
        <w:pStyle w:val="Heading3"/>
      </w:pPr>
      <w:r>
        <w:t xml:space="preserve">Table S4. Training-Only Feature-Selection Sensitivity</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Original (Global-Feature) LOCO AUC</w:t>
            </w:r>
          </w:p>
        </w:tc>
        <w:tc>
          <w:tcPr/>
          <w:p>
            <w:pPr>
              <w:pStyle w:val="Compact"/>
            </w:pPr>
            <w:r>
              <w:t xml:space="preserve">Training-Only LOCO AUC</w:t>
            </w:r>
          </w:p>
        </w:tc>
        <w:tc>
          <w:tcPr/>
          <w:p>
            <w:pPr>
              <w:pStyle w:val="Compact"/>
            </w:pPr>
            <w:r>
              <w:t xml:space="preserve">Δ</w:t>
            </w:r>
          </w:p>
        </w:tc>
        <w:tc>
          <w:tcPr/>
          <w:p>
            <w:pPr>
              <w:pStyle w:val="Compact"/>
            </w:pPr>
            <w:r>
              <w:t xml:space="preserve">N Retained Genera (Training-Only)</w:t>
            </w:r>
          </w:p>
        </w:tc>
      </w:tr>
      <w:tr>
        <w:tc>
          <w:tcPr/>
          <w:p>
            <w:pPr>
              <w:pStyle w:val="Compact"/>
            </w:pPr>
            <w:r>
              <w:t xml:space="preserve">Zhuang 2018</w:t>
            </w:r>
          </w:p>
        </w:tc>
        <w:tc>
          <w:tcPr/>
          <w:p>
            <w:pPr>
              <w:pStyle w:val="Compact"/>
            </w:pPr>
            <w:r>
              <w:t xml:space="preserve">LogReg</w:t>
            </w:r>
          </w:p>
        </w:tc>
        <w:tc>
          <w:tcPr/>
          <w:p>
            <w:pPr>
              <w:pStyle w:val="Compact"/>
            </w:pPr>
            <w:r>
              <w:t xml:space="preserve">0.5041</w:t>
            </w:r>
          </w:p>
        </w:tc>
        <w:tc>
          <w:tcPr/>
          <w:p>
            <w:pPr>
              <w:pStyle w:val="Compact"/>
            </w:pPr>
            <w:r>
              <w:t xml:space="preserve">0.5057</w:t>
            </w:r>
          </w:p>
        </w:tc>
        <w:tc>
          <w:tcPr/>
          <w:p>
            <w:pPr>
              <w:pStyle w:val="Compact"/>
            </w:pPr>
            <w:r>
              <w:t xml:space="preserve">+0.0016</w:t>
            </w:r>
          </w:p>
        </w:tc>
        <w:tc>
          <w:tcPr/>
          <w:p>
            <w:pPr>
              <w:pStyle w:val="Compact"/>
            </w:pPr>
            <w:r>
              <w:t xml:space="preserve">370</w:t>
            </w:r>
          </w:p>
        </w:tc>
      </w:tr>
      <w:tr>
        <w:tc>
          <w:tcPr/>
          <w:p>
            <w:pPr>
              <w:pStyle w:val="Compact"/>
            </w:pPr>
            <w:r>
              <w:t xml:space="preserve">Zhuang 2018</w:t>
            </w:r>
          </w:p>
        </w:tc>
        <w:tc>
          <w:tcPr/>
          <w:p>
            <w:pPr>
              <w:pStyle w:val="Compact"/>
            </w:pPr>
            <w:r>
              <w:t xml:space="preserve">LGBM</w:t>
            </w:r>
          </w:p>
        </w:tc>
        <w:tc>
          <w:tcPr/>
          <w:p>
            <w:pPr>
              <w:pStyle w:val="Compact"/>
            </w:pPr>
            <w:r>
              <w:t xml:space="preserve">0.5646</w:t>
            </w:r>
          </w:p>
        </w:tc>
        <w:tc>
          <w:tcPr/>
          <w:p>
            <w:pPr>
              <w:pStyle w:val="Compact"/>
            </w:pPr>
            <w:r>
              <w:t xml:space="preserve">0.5960</w:t>
            </w:r>
          </w:p>
        </w:tc>
        <w:tc>
          <w:tcPr/>
          <w:p>
            <w:pPr>
              <w:pStyle w:val="Compact"/>
            </w:pPr>
            <w:r>
              <w:t xml:space="preserve">+0.0314</w:t>
            </w:r>
          </w:p>
        </w:tc>
        <w:tc>
          <w:tcPr/>
          <w:p>
            <w:pPr>
              <w:pStyle w:val="Compact"/>
            </w:pPr>
            <w:r>
              <w:t xml:space="preserve">370</w:t>
            </w:r>
          </w:p>
        </w:tc>
      </w:tr>
      <w:tr>
        <w:tc>
          <w:tcPr/>
          <w:p>
            <w:pPr>
              <w:pStyle w:val="Compact"/>
            </w:pPr>
            <w:r>
              <w:t xml:space="preserve">Ling 2020</w:t>
            </w:r>
          </w:p>
        </w:tc>
        <w:tc>
          <w:tcPr/>
          <w:p>
            <w:pPr>
              <w:pStyle w:val="Compact"/>
            </w:pPr>
            <w:r>
              <w:t xml:space="preserve">LogReg</w:t>
            </w:r>
          </w:p>
        </w:tc>
        <w:tc>
          <w:tcPr/>
          <w:p>
            <w:pPr>
              <w:pStyle w:val="Compact"/>
            </w:pPr>
            <w:r>
              <w:t xml:space="preserve">0.6775</w:t>
            </w:r>
          </w:p>
        </w:tc>
        <w:tc>
          <w:tcPr/>
          <w:p>
            <w:pPr>
              <w:pStyle w:val="Compact"/>
            </w:pPr>
            <w:r>
              <w:t xml:space="preserve">0.6794</w:t>
            </w:r>
          </w:p>
        </w:tc>
        <w:tc>
          <w:tcPr/>
          <w:p>
            <w:pPr>
              <w:pStyle w:val="Compact"/>
            </w:pPr>
            <w:r>
              <w:t xml:space="preserve">+0.0019</w:t>
            </w:r>
          </w:p>
        </w:tc>
        <w:tc>
          <w:tcPr/>
          <w:p>
            <w:pPr>
              <w:pStyle w:val="Compact"/>
            </w:pPr>
            <w:r>
              <w:t xml:space="preserve">370</w:t>
            </w:r>
          </w:p>
        </w:tc>
      </w:tr>
      <w:tr>
        <w:tc>
          <w:tcPr/>
          <w:p>
            <w:pPr>
              <w:pStyle w:val="Compact"/>
            </w:pPr>
            <w:r>
              <w:t xml:space="preserve">Ling 2020</w:t>
            </w:r>
          </w:p>
        </w:tc>
        <w:tc>
          <w:tcPr/>
          <w:p>
            <w:pPr>
              <w:pStyle w:val="Compact"/>
            </w:pPr>
            <w:r>
              <w:t xml:space="preserve">LGBM</w:t>
            </w:r>
          </w:p>
        </w:tc>
        <w:tc>
          <w:tcPr/>
          <w:p>
            <w:pPr>
              <w:pStyle w:val="Compact"/>
            </w:pPr>
            <w:r>
              <w:t xml:space="preserve">0.6735</w:t>
            </w:r>
          </w:p>
        </w:tc>
        <w:tc>
          <w:tcPr/>
          <w:p>
            <w:pPr>
              <w:pStyle w:val="Compact"/>
            </w:pPr>
            <w:r>
              <w:t xml:space="preserve">0.6534</w:t>
            </w:r>
          </w:p>
        </w:tc>
        <w:tc>
          <w:tcPr/>
          <w:p>
            <w:pPr>
              <w:pStyle w:val="Compact"/>
            </w:pPr>
            <w:r>
              <w:t xml:space="preserve">−0.0201</w:t>
            </w:r>
          </w:p>
        </w:tc>
        <w:tc>
          <w:tcPr/>
          <w:p>
            <w:pPr>
              <w:pStyle w:val="Compact"/>
            </w:pPr>
            <w:r>
              <w:t xml:space="preserve">370</w:t>
            </w:r>
          </w:p>
        </w:tc>
      </w:tr>
      <w:tr>
        <w:tc>
          <w:tcPr/>
          <w:p>
            <w:pPr>
              <w:pStyle w:val="Compact"/>
            </w:pPr>
            <w:r>
              <w:t xml:space="preserve">Zhu 2022</w:t>
            </w:r>
          </w:p>
        </w:tc>
        <w:tc>
          <w:tcPr/>
          <w:p>
            <w:pPr>
              <w:pStyle w:val="Compact"/>
            </w:pPr>
            <w:r>
              <w:t xml:space="preserve">LogReg</w:t>
            </w:r>
          </w:p>
        </w:tc>
        <w:tc>
          <w:tcPr/>
          <w:p>
            <w:pPr>
              <w:pStyle w:val="Compact"/>
            </w:pPr>
            <w:r>
              <w:t xml:space="preserve">0.8133</w:t>
            </w:r>
          </w:p>
        </w:tc>
        <w:tc>
          <w:tcPr/>
          <w:p>
            <w:pPr>
              <w:pStyle w:val="Compact"/>
            </w:pPr>
            <w:r>
              <w:t xml:space="preserve">0.8122</w:t>
            </w:r>
          </w:p>
        </w:tc>
        <w:tc>
          <w:tcPr/>
          <w:p>
            <w:pPr>
              <w:pStyle w:val="Compact"/>
            </w:pPr>
            <w:r>
              <w:t xml:space="preserve">−0.0011</w:t>
            </w:r>
          </w:p>
        </w:tc>
        <w:tc>
          <w:tcPr/>
          <w:p>
            <w:pPr>
              <w:pStyle w:val="Compact"/>
            </w:pPr>
            <w:r>
              <w:t xml:space="preserve">373</w:t>
            </w:r>
          </w:p>
        </w:tc>
      </w:tr>
      <w:tr>
        <w:tc>
          <w:tcPr/>
          <w:p>
            <w:pPr>
              <w:pStyle w:val="Compact"/>
            </w:pPr>
            <w:r>
              <w:t xml:space="preserve">Zhu 2022</w:t>
            </w:r>
          </w:p>
        </w:tc>
        <w:tc>
          <w:tcPr/>
          <w:p>
            <w:pPr>
              <w:pStyle w:val="Compact"/>
            </w:pPr>
            <w:r>
              <w:t xml:space="preserve">LGBM</w:t>
            </w:r>
          </w:p>
        </w:tc>
        <w:tc>
          <w:tcPr/>
          <w:p>
            <w:pPr>
              <w:pStyle w:val="Compact"/>
            </w:pPr>
            <w:r>
              <w:t xml:space="preserve">0.7578</w:t>
            </w:r>
          </w:p>
        </w:tc>
        <w:tc>
          <w:tcPr/>
          <w:p>
            <w:pPr>
              <w:pStyle w:val="Compact"/>
            </w:pPr>
            <w:r>
              <w:t xml:space="preserve">0.7878</w:t>
            </w:r>
          </w:p>
        </w:tc>
        <w:tc>
          <w:tcPr/>
          <w:p>
            <w:pPr>
              <w:pStyle w:val="Compact"/>
            </w:pPr>
            <w:r>
              <w:t xml:space="preserve">+0.0300</w:t>
            </w:r>
          </w:p>
        </w:tc>
        <w:tc>
          <w:tcPr/>
          <w:p>
            <w:pPr>
              <w:pStyle w:val="Compact"/>
            </w:pPr>
            <w:r>
              <w:t xml:space="preserve">373</w:t>
            </w:r>
          </w:p>
        </w:tc>
      </w:tr>
      <w:tr>
        <w:tc>
          <w:tcPr/>
          <w:p>
            <w:pPr>
              <w:pStyle w:val="Compact"/>
            </w:pPr>
            <w:r>
              <w:t xml:space="preserve">Kazakhstan</w:t>
            </w:r>
          </w:p>
        </w:tc>
        <w:tc>
          <w:tcPr/>
          <w:p>
            <w:pPr>
              <w:pStyle w:val="Compact"/>
            </w:pPr>
            <w:r>
              <w:t xml:space="preserve">LogReg</w:t>
            </w:r>
          </w:p>
        </w:tc>
        <w:tc>
          <w:tcPr/>
          <w:p>
            <w:pPr>
              <w:pStyle w:val="Compact"/>
            </w:pPr>
            <w:r>
              <w:t xml:space="preserve">0.5644</w:t>
            </w:r>
          </w:p>
        </w:tc>
        <w:tc>
          <w:tcPr/>
          <w:p>
            <w:pPr>
              <w:pStyle w:val="Compact"/>
            </w:pPr>
            <w:r>
              <w:t xml:space="preserve">0.6092</w:t>
            </w:r>
          </w:p>
        </w:tc>
        <w:tc>
          <w:tcPr/>
          <w:p>
            <w:pPr>
              <w:pStyle w:val="Compact"/>
            </w:pPr>
            <w:r>
              <w:t xml:space="preserve">+0.0448</w:t>
            </w:r>
          </w:p>
        </w:tc>
        <w:tc>
          <w:tcPr/>
          <w:p>
            <w:pPr>
              <w:pStyle w:val="Compact"/>
            </w:pPr>
            <w:r>
              <w:t xml:space="preserve">150</w:t>
            </w:r>
          </w:p>
        </w:tc>
      </w:tr>
      <w:tr>
        <w:tc>
          <w:tcPr/>
          <w:p>
            <w:pPr>
              <w:pStyle w:val="Compact"/>
            </w:pPr>
            <w:r>
              <w:t xml:space="preserve">Kazakhstan</w:t>
            </w:r>
          </w:p>
        </w:tc>
        <w:tc>
          <w:tcPr/>
          <w:p>
            <w:pPr>
              <w:pStyle w:val="Compact"/>
            </w:pPr>
            <w:r>
              <w:t xml:space="preserve">LGBM</w:t>
            </w:r>
          </w:p>
        </w:tc>
        <w:tc>
          <w:tcPr/>
          <w:p>
            <w:pPr>
              <w:pStyle w:val="Compact"/>
            </w:pPr>
            <w:r>
              <w:t xml:space="preserve">0.5905</w:t>
            </w:r>
          </w:p>
        </w:tc>
        <w:tc>
          <w:tcPr/>
          <w:p>
            <w:pPr>
              <w:pStyle w:val="Compact"/>
            </w:pPr>
            <w:r>
              <w:t xml:space="preserve">0.5247</w:t>
            </w:r>
          </w:p>
        </w:tc>
        <w:tc>
          <w:tcPr/>
          <w:p>
            <w:pPr>
              <w:pStyle w:val="Compact"/>
            </w:pPr>
            <w:r>
              <w:t xml:space="preserve">−0.0658</w:t>
            </w:r>
          </w:p>
        </w:tc>
        <w:tc>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Model</w:t>
            </w:r>
          </w:p>
        </w:tc>
        <w:tc>
          <w:tcPr/>
          <w:p>
            <w:pPr>
              <w:pStyle w:val="Compact"/>
            </w:pPr>
            <w:r>
              <w:t xml:space="preserve">Original (Global-Feature) AUC</w:t>
            </w:r>
          </w:p>
        </w:tc>
        <w:tc>
          <w:tcPr/>
          <w:p>
            <w:pPr>
              <w:pStyle w:val="Compact"/>
            </w:pPr>
            <w:r>
              <w:t xml:space="preserve">Training-Only AUC</w:t>
            </w:r>
          </w:p>
        </w:tc>
        <w:tc>
          <w:tcPr/>
          <w:p>
            <w:pPr>
              <w:pStyle w:val="Compact"/>
            </w:pPr>
            <w:r>
              <w:t xml:space="preserve">Δ</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0.6647</w:t>
            </w:r>
          </w:p>
        </w:tc>
        <w:tc>
          <w:tcPr/>
          <w:p>
            <w:pPr>
              <w:pStyle w:val="Compact"/>
            </w:pPr>
            <w:r>
              <w:t xml:space="preserve">+0.0314</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0.6733</w:t>
            </w:r>
          </w:p>
        </w:tc>
        <w:tc>
          <w:tcPr/>
          <w:p>
            <w:pPr>
              <w:pStyle w:val="Compact"/>
            </w:pPr>
            <w:r>
              <w:t xml:space="preserve">+0.0384</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0.8896</w:t>
            </w:r>
          </w:p>
        </w:tc>
        <w:tc>
          <w:tcPr/>
          <w:p>
            <w:pPr>
              <w:pStyle w:val="Compact"/>
            </w:pPr>
            <w:r>
              <w:t xml:space="preserve">+0.0248</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0.8415</w:t>
            </w:r>
          </w:p>
        </w:tc>
        <w:tc>
          <w:tcPr/>
          <w:p>
            <w:pPr>
              <w:pStyle w:val="Compact"/>
            </w:pPr>
            <w:r>
              <w:t xml:space="preserve">−0.0203</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0.9956</w:t>
            </w:r>
          </w:p>
        </w:tc>
        <w:tc>
          <w:tcPr/>
          <w:p>
            <w:pPr>
              <w:pStyle w:val="Compact"/>
            </w:pPr>
            <w:r>
              <w:t xml:space="preserve">−0.0022</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0.9700</w:t>
            </w:r>
          </w:p>
        </w:tc>
        <w:tc>
          <w:tcPr/>
          <w:p>
            <w:pPr>
              <w:pStyle w:val="Compact"/>
            </w:pPr>
            <w:r>
              <w:t xml:space="preserve">−0.0089</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0.7368</w:t>
            </w:r>
          </w:p>
        </w:tc>
        <w:tc>
          <w:tcPr/>
          <w:p>
            <w:pPr>
              <w:pStyle w:val="Compact"/>
            </w:pPr>
            <w:r>
              <w:t xml:space="preserve">−0.0289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0.6109</w:t>
            </w:r>
          </w:p>
        </w:tc>
        <w:tc>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c5e2b452a6d51f0c57fa63b84e7f1f3025cec0b"/>
    <w:p>
      <w:pPr>
        <w:pStyle w:val="Heading3"/>
      </w:pPr>
      <w:r>
        <w:t xml:space="preserve">Table S5. Within-Cohort AUC on Batch-Corrected Data: Label-Blind vs. Label-Informed</w:t>
      </w:r>
    </w:p>
    <w:p>
      <w:pPr>
        <w:pStyle w:val="FirstParagraph"/>
      </w:pPr>
      <w:r>
        <w:t xml:space="preserve">Within-cohort nested-CV AUC (Section 2.4 procedure) computed on batch-corrected features, under both correction designs (Section 2.7). The label-blind comparison is free of diagnosis-label leakage during correction; the label-informed comparison is not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Model</w:t>
            </w:r>
          </w:p>
        </w:tc>
        <w:tc>
          <w:tcPr/>
          <w:p>
            <w:pPr>
              <w:pStyle w:val="Compact"/>
            </w:pPr>
            <w:r>
              <w:t xml:space="preserve">Uncorrected</w:t>
            </w:r>
          </w:p>
        </w:tc>
        <w:tc>
          <w:tcPr/>
          <w:p>
            <w:pPr>
              <w:pStyle w:val="Compact"/>
            </w:pPr>
            <w:r>
              <w:t xml:space="preserve">ComBat-seq (label-blind)</w:t>
            </w:r>
          </w:p>
        </w:tc>
        <w:tc>
          <w:tcPr/>
          <w:p>
            <w:pPr>
              <w:pStyle w:val="Compact"/>
            </w:pPr>
            <w:r>
              <w:t xml:space="preserve">MMUPHin (label-blind)</w:t>
            </w:r>
          </w:p>
        </w:tc>
        <w:tc>
          <w:tcPr/>
          <w:p>
            <w:pPr>
              <w:pStyle w:val="Compact"/>
            </w:pPr>
            <w:r>
              <w:t xml:space="preserve">ComBat-seq (label-informed, exploratory)</w:t>
            </w:r>
          </w:p>
        </w:tc>
        <w:tc>
          <w:tcPr/>
          <w:p>
            <w:pPr>
              <w:pStyle w:val="Compact"/>
            </w:pPr>
            <w:r>
              <w:t xml:space="preserve">MMUPHin (label-informed, exploratory)</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0.6604</w:t>
            </w:r>
          </w:p>
        </w:tc>
        <w:tc>
          <w:tcPr/>
          <w:p>
            <w:pPr>
              <w:pStyle w:val="Compact"/>
            </w:pPr>
            <w:r>
              <w:t xml:space="preserve">0.6171</w:t>
            </w:r>
          </w:p>
        </w:tc>
        <w:tc>
          <w:tcPr/>
          <w:p>
            <w:pPr>
              <w:pStyle w:val="Compact"/>
            </w:pPr>
            <w:r>
              <w:t xml:space="preserve">0.6647</w:t>
            </w:r>
          </w:p>
        </w:tc>
        <w:tc>
          <w:tcPr/>
          <w:p>
            <w:pPr>
              <w:pStyle w:val="Compact"/>
            </w:pPr>
            <w:r>
              <w:t xml:space="preserve">0.6393</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0.6479</w:t>
            </w:r>
          </w:p>
        </w:tc>
        <w:tc>
          <w:tcPr/>
          <w:p>
            <w:pPr>
              <w:pStyle w:val="Compact"/>
            </w:pPr>
            <w:r>
              <w:t xml:space="preserve">0.6247</w:t>
            </w:r>
          </w:p>
        </w:tc>
        <w:tc>
          <w:tcPr/>
          <w:p>
            <w:pPr>
              <w:pStyle w:val="Compact"/>
            </w:pPr>
            <w:r>
              <w:t xml:space="preserve">0.6544</w:t>
            </w:r>
          </w:p>
        </w:tc>
        <w:tc>
          <w:tcPr/>
          <w:p>
            <w:pPr>
              <w:pStyle w:val="Compact"/>
            </w:pPr>
            <w:r>
              <w:t xml:space="preserve">0.5765</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0.8701</w:t>
            </w:r>
          </w:p>
        </w:tc>
        <w:tc>
          <w:tcPr/>
          <w:p>
            <w:pPr>
              <w:pStyle w:val="Compact"/>
            </w:pPr>
            <w:r>
              <w:t xml:space="preserve">0.8690</w:t>
            </w:r>
          </w:p>
        </w:tc>
        <w:tc>
          <w:tcPr/>
          <w:p>
            <w:pPr>
              <w:pStyle w:val="Compact"/>
            </w:pPr>
            <w:r>
              <w:t xml:space="preserve">0.8754</w:t>
            </w:r>
          </w:p>
        </w:tc>
        <w:tc>
          <w:tcPr/>
          <w:p>
            <w:pPr>
              <w:pStyle w:val="Compact"/>
            </w:pPr>
            <w:r>
              <w:t xml:space="preserve">0.8863</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0.8255</w:t>
            </w:r>
          </w:p>
        </w:tc>
        <w:tc>
          <w:tcPr/>
          <w:p>
            <w:pPr>
              <w:pStyle w:val="Compact"/>
            </w:pPr>
            <w:r>
              <w:t xml:space="preserve">0.8689</w:t>
            </w:r>
          </w:p>
        </w:tc>
        <w:tc>
          <w:tcPr/>
          <w:p>
            <w:pPr>
              <w:pStyle w:val="Compact"/>
            </w:pPr>
            <w:r>
              <w:t xml:space="preserve">0.8659</w:t>
            </w:r>
          </w:p>
        </w:tc>
        <w:tc>
          <w:tcPr/>
          <w:p>
            <w:pPr>
              <w:pStyle w:val="Compact"/>
            </w:pPr>
            <w:r>
              <w:t xml:space="preserve">0.8844</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0.9878</w:t>
            </w:r>
          </w:p>
        </w:tc>
        <w:tc>
          <w:tcPr/>
          <w:p>
            <w:pPr>
              <w:pStyle w:val="Compact"/>
            </w:pPr>
            <w:r>
              <w:t xml:space="preserve">0.9900</w:t>
            </w:r>
          </w:p>
        </w:tc>
        <w:tc>
          <w:tcPr/>
          <w:p>
            <w:pPr>
              <w:pStyle w:val="Compact"/>
            </w:pPr>
            <w:r>
              <w:t xml:space="preserve">0.9956</w:t>
            </w:r>
          </w:p>
        </w:tc>
        <w:tc>
          <w:tcPr/>
          <w:p>
            <w:pPr>
              <w:pStyle w:val="Compact"/>
            </w:pPr>
            <w:r>
              <w:t xml:space="preserve">0.9933</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0.9533</w:t>
            </w:r>
          </w:p>
        </w:tc>
        <w:tc>
          <w:tcPr/>
          <w:p>
            <w:pPr>
              <w:pStyle w:val="Compact"/>
            </w:pPr>
            <w:r>
              <w:t xml:space="preserve">0.9600</w:t>
            </w:r>
          </w:p>
        </w:tc>
        <w:tc>
          <w:tcPr/>
          <w:p>
            <w:pPr>
              <w:pStyle w:val="Compact"/>
            </w:pPr>
            <w:r>
              <w:t xml:space="preserve">0.9622</w:t>
            </w:r>
          </w:p>
        </w:tc>
        <w:tc>
          <w:tcPr/>
          <w:p>
            <w:pPr>
              <w:pStyle w:val="Compact"/>
            </w:pPr>
            <w:r>
              <w:t xml:space="preserve">0.9650</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0.6926</w:t>
            </w:r>
          </w:p>
        </w:tc>
        <w:tc>
          <w:tcPr/>
          <w:p>
            <w:pPr>
              <w:pStyle w:val="Compact"/>
            </w:pPr>
            <w:r>
              <w:t xml:space="preserve">0.7663</w:t>
            </w:r>
          </w:p>
        </w:tc>
        <w:tc>
          <w:tcPr/>
          <w:p>
            <w:pPr>
              <w:pStyle w:val="Compact"/>
            </w:pPr>
            <w:r>
              <w:t xml:space="preserve">0.7839</w:t>
            </w:r>
          </w:p>
        </w:tc>
        <w:tc>
          <w:tcPr/>
          <w:p>
            <w:pPr>
              <w:pStyle w:val="Compact"/>
            </w:pPr>
            <w:r>
              <w:t xml:space="preserve">0.7879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0.6829</w:t>
            </w:r>
          </w:p>
        </w:tc>
        <w:tc>
          <w:tcPr/>
          <w:p>
            <w:pPr>
              <w:pStyle w:val="Compact"/>
            </w:pPr>
            <w:r>
              <w:t xml:space="preserve">0.5621</w:t>
            </w:r>
          </w:p>
        </w:tc>
        <w:tc>
          <w:tcPr/>
          <w:p>
            <w:pPr>
              <w:pStyle w:val="Compact"/>
            </w:pPr>
            <w:r>
              <w:t xml:space="preserve">0.7351</w:t>
            </w:r>
          </w:p>
        </w:tc>
        <w:tc>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ed29a43c3914fb60fdf4ef23560ebd4e359f279"/>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cohort-level pattern among the eight genera meeting the screen; Section 3.6) and</w:t>
      </w:r>
      <w:r>
        <w:t xml:space="preserve"> </w:t>
      </w:r>
      <w:r>
        <w:rPr>
          <w:i/>
          <w:iCs/>
        </w:rPr>
        <w:t xml:space="preserve">Akkermansia</w:t>
      </w:r>
      <w:r>
        <w:t xml:space="preserve"> </w:t>
      </w:r>
      <w:r>
        <w:t xml:space="preserve">(a negative-control illustration: appears to flip under the prior mean-signed-SHAP direction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Taxon</w:t>
            </w:r>
          </w:p>
        </w:tc>
        <w:tc>
          <w:tcPr/>
          <w:p>
            <w:pPr>
              <w:pStyle w:val="Compact"/>
            </w:pPr>
            <w:r>
              <w:t xml:space="preserve">n_positive/10</w:t>
            </w:r>
          </w:p>
        </w:tc>
        <w:tc>
          <w:tcPr/>
          <w:p>
            <w:pPr>
              <w:pStyle w:val="Compact"/>
            </w:pPr>
            <w:r>
              <w:t xml:space="preserve">n_negative/10</w:t>
            </w:r>
          </w:p>
        </w:tc>
        <w:tc>
          <w:tcPr/>
          <w:p>
            <w:pPr>
              <w:pStyle w:val="Compact"/>
            </w:pPr>
            <w:r>
              <w:t xml:space="preserve">Median Coefficient</w:t>
            </w:r>
          </w:p>
        </w:tc>
        <w:tc>
          <w:tcPr/>
          <w:p>
            <w:pPr>
              <w:pStyle w:val="Compact"/>
            </w:pPr>
            <w:r>
              <w:t xml:space="preserve">Sign Stability</w:t>
            </w:r>
          </w:p>
        </w:tc>
      </w:tr>
      <w:tr>
        <w:tc>
          <w:tcPr/>
          <w:p>
            <w:pPr>
              <w:pStyle w:val="Compact"/>
            </w:pPr>
            <w:r>
              <w:t xml:space="preserve">Zhuang 2018</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−0.0107</w:t>
            </w:r>
          </w:p>
        </w:tc>
        <w:tc>
          <w:tcPr/>
          <w:p>
            <w:pPr>
              <w:pStyle w:val="Compact"/>
            </w:pPr>
            <w:r>
              <w:t xml:space="preserve">stable_negative</w:t>
            </w:r>
          </w:p>
        </w:tc>
      </w:tr>
      <w:tr>
        <w:tc>
          <w:tcPr/>
          <w:p>
            <w:pPr>
              <w:pStyle w:val="Compact"/>
            </w:pPr>
            <w:r>
              <w:t xml:space="preserve">Ling 2020</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−0.1166</w:t>
            </w:r>
          </w:p>
        </w:tc>
        <w:tc>
          <w:tcPr/>
          <w:p>
            <w:pPr>
              <w:pStyle w:val="Compact"/>
            </w:pPr>
            <w:r>
              <w:t xml:space="preserve">stable_negative</w:t>
            </w:r>
          </w:p>
        </w:tc>
      </w:tr>
      <w:tr>
        <w:tc>
          <w:tcPr/>
          <w:p>
            <w:pPr>
              <w:pStyle w:val="Compact"/>
            </w:pPr>
            <w:r>
              <w:t xml:space="preserve">Zhu 2022</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−0.0190</w:t>
            </w:r>
          </w:p>
        </w:tc>
        <w:tc>
          <w:tcPr/>
          <w:p>
            <w:pPr>
              <w:pStyle w:val="Compact"/>
            </w:pPr>
            <w:r>
              <w:t xml:space="preserve">stable_negative</w:t>
            </w:r>
          </w:p>
        </w:tc>
      </w:tr>
      <w:tr>
        <w:tc>
          <w:tcPr/>
          <w:p>
            <w:pPr>
              <w:pStyle w:val="Compact"/>
            </w:pPr>
            <w:r>
              <w:t xml:space="preserve">Kazakhstan</w:t>
            </w:r>
          </w:p>
        </w:tc>
        <w:tc>
          <w:tcPr/>
          <w:p>
            <w:pPr>
              <w:pStyle w:val="Compact"/>
            </w:pPr>
            <w:r>
              <w:t xml:space="preserve">Romboutsia</w:t>
            </w:r>
          </w:p>
        </w:tc>
        <w:tc>
          <w:tcPr/>
          <w:p>
            <w:pPr>
              <w:pStyle w:val="Compact"/>
            </w:pPr>
            <w:r>
              <w:t xml:space="preserve">9</w:t>
            </w:r>
          </w:p>
        </w:tc>
        <w:tc>
          <w:tcPr/>
          <w:p>
            <w:pPr>
              <w:pStyle w:val="Compact"/>
            </w:pPr>
            <w:r>
              <w:t xml:space="preserve">1</w:t>
            </w:r>
          </w:p>
        </w:tc>
        <w:tc>
          <w:tcPr/>
          <w:p>
            <w:pPr>
              <w:pStyle w:val="Compact"/>
            </w:pPr>
            <w:r>
              <w:t xml:space="preserve">0.0109</w:t>
            </w:r>
          </w:p>
        </w:tc>
        <w:tc>
          <w:tcPr/>
          <w:p>
            <w:pPr>
              <w:pStyle w:val="Compact"/>
            </w:pPr>
            <w:r>
              <w:t xml:space="preserve">stable_positive</w:t>
            </w:r>
          </w:p>
        </w:tc>
      </w:tr>
      <w:tr>
        <w:tc>
          <w:tcPr/>
          <w:p>
            <w:pPr>
              <w:pStyle w:val="Compact"/>
            </w:pPr>
            <w:r>
              <w:t xml:space="preserve">Zhuang 2018</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0.0124</w:t>
            </w:r>
          </w:p>
        </w:tc>
        <w:tc>
          <w:tcPr/>
          <w:p>
            <w:pPr>
              <w:pStyle w:val="Compact"/>
            </w:pPr>
            <w:r>
              <w:t xml:space="preserve">stable_positive</w:t>
            </w:r>
          </w:p>
        </w:tc>
      </w:tr>
      <w:tr>
        <w:tc>
          <w:tcPr/>
          <w:p>
            <w:pPr>
              <w:pStyle w:val="Compact"/>
            </w:pPr>
            <w:r>
              <w:t xml:space="preserve">Ling 2020</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0.1181</w:t>
            </w:r>
          </w:p>
        </w:tc>
        <w:tc>
          <w:tcPr/>
          <w:p>
            <w:pPr>
              <w:pStyle w:val="Compact"/>
            </w:pPr>
            <w:r>
              <w:t xml:space="preserve">stable_positive</w:t>
            </w:r>
          </w:p>
        </w:tc>
      </w:tr>
      <w:tr>
        <w:tc>
          <w:tcPr/>
          <w:p>
            <w:pPr>
              <w:pStyle w:val="Compact"/>
            </w:pPr>
            <w:r>
              <w:t xml:space="preserve">Zhu 2022</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0.0709</w:t>
            </w:r>
          </w:p>
        </w:tc>
        <w:tc>
          <w:tcPr/>
          <w:p>
            <w:pPr>
              <w:pStyle w:val="Compact"/>
            </w:pPr>
            <w:r>
              <w:t xml:space="preserve">stable_positive</w:t>
            </w:r>
          </w:p>
        </w:tc>
      </w:tr>
      <w:tr>
        <w:tc>
          <w:tcPr/>
          <w:p>
            <w:pPr>
              <w:pStyle w:val="Compact"/>
            </w:pPr>
            <w:r>
              <w:t xml:space="preserve">Kazakhstan</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0.0682</w:t>
            </w:r>
          </w:p>
        </w:tc>
        <w:tc>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observed cross-cohort pattern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d1be582a7c04c46d20c9fbee47b1ae785fb393"/>
    <w:p>
      <w:pPr>
        <w:pStyle w:val="Heading3"/>
      </w:pPr>
      <w:r>
        <w:t xml:space="preserve">Table S7. Matched-Null (Shared-Pool) Jaccard Overlap Across Top-N Thresholds</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shared 396-genus pool and averaging the same six pairwise Jaccards among them (Section 2.8). Empirical one-sided p = (1 + #{null ≥ observed}) / (n_perm + 1). See Table S13 for the prevalence-restricted (per-cohort eligible universe) sensitivity analysis, which reverses the LightGBM result reported here.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0.0134</w:t>
            </w:r>
          </w:p>
        </w:tc>
        <w:tc>
          <w:tcPr/>
          <w:p>
            <w:pPr>
              <w:pStyle w:val="Compact"/>
            </w:pPr>
            <w:r>
              <w:t xml:space="preserve">[0.0000, 0.0361]</w:t>
            </w:r>
          </w:p>
        </w:tc>
        <w:tc>
          <w:tcPr/>
          <w:p>
            <w:pPr>
              <w:pStyle w:val="Compact"/>
            </w:pPr>
            <w:r>
              <w:t xml:space="preserve">&lt;0.0001</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0.0265</w:t>
            </w:r>
          </w:p>
        </w:tc>
        <w:tc>
          <w:tcPr/>
          <w:p>
            <w:pPr>
              <w:pStyle w:val="Compact"/>
            </w:pPr>
            <w:r>
              <w:t xml:space="preserve">[0.0085, 0.0491]</w:t>
            </w:r>
          </w:p>
        </w:tc>
        <w:tc>
          <w:tcPr/>
          <w:p>
            <w:pPr>
              <w:pStyle w:val="Compact"/>
            </w:pPr>
            <w:r>
              <w:rPr>
                <w:b/>
                <w:bCs/>
              </w:rPr>
              <w:t xml:space="preserve">&lt;0.0001</w:t>
            </w:r>
          </w:p>
        </w:tc>
      </w:tr>
      <w:tr>
        <w:tc>
          <w:tcPr/>
          <w:p>
            <w:pPr>
              <w:pStyle w:val="Compact"/>
            </w:pPr>
            <w:r>
              <w:t xml:space="preserve">LogReg</w:t>
            </w:r>
          </w:p>
        </w:tc>
        <w:tc>
          <w:tcPr/>
          <w:p>
            <w:pPr>
              <w:pStyle w:val="Compact"/>
            </w:pPr>
            <w:r>
              <w:t xml:space="preserve">50</w:t>
            </w:r>
          </w:p>
        </w:tc>
        <w:tc>
          <w:tcPr/>
          <w:p>
            <w:pPr>
              <w:pStyle w:val="Compact"/>
            </w:pPr>
            <w:r>
              <w:t xml:space="preserve">0.2296</w:t>
            </w:r>
          </w:p>
        </w:tc>
        <w:tc>
          <w:tcPr/>
          <w:p>
            <w:pPr>
              <w:pStyle w:val="Compact"/>
            </w:pPr>
            <w:r>
              <w:t xml:space="preserve">0.0680</w:t>
            </w:r>
          </w:p>
        </w:tc>
        <w:tc>
          <w:tcPr/>
          <w:p>
            <w:pPr>
              <w:pStyle w:val="Compact"/>
            </w:pPr>
            <w:r>
              <w:t xml:space="preserve">[0.0491, 0.0895]</w:t>
            </w:r>
          </w:p>
        </w:tc>
        <w:tc>
          <w:tcPr/>
          <w:p>
            <w:pPr>
              <w:pStyle w:val="Compact"/>
            </w:pPr>
            <w:r>
              <w:t xml:space="preserve">&lt;0.0001</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0.0135</w:t>
            </w:r>
          </w:p>
        </w:tc>
        <w:tc>
          <w:tcPr/>
          <w:p>
            <w:pPr>
              <w:pStyle w:val="Compact"/>
            </w:pPr>
            <w:r>
              <w:t xml:space="preserve">[0.0000, 0.0361]</w:t>
            </w:r>
          </w:p>
        </w:tc>
        <w:tc>
          <w:tcPr/>
          <w:p>
            <w:pPr>
              <w:pStyle w:val="Compact"/>
            </w:pPr>
            <w:r>
              <w:t xml:space="preserve">0.4494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0.0584</w:t>
            </w:r>
          </w:p>
        </w:tc>
        <w:tc>
          <w:tcPr/>
          <w:p>
            <w:pPr>
              <w:pStyle w:val="Compact"/>
            </w:pPr>
            <w:r>
              <w:t xml:space="preserve">0.0265</w:t>
            </w:r>
          </w:p>
        </w:tc>
        <w:tc>
          <w:tcPr/>
          <w:p>
            <w:pPr>
              <w:pStyle w:val="Compact"/>
            </w:pPr>
            <w:r>
              <w:t xml:space="preserve">[0.0085, 0.0491]</w:t>
            </w:r>
          </w:p>
        </w:tc>
        <w:tc>
          <w:tcPr/>
          <w:p>
            <w:pPr>
              <w:pStyle w:val="Compact"/>
            </w:pPr>
            <w:r>
              <w:rPr>
                <w:b/>
                <w:bCs/>
              </w:rPr>
              <w:t xml:space="preserve">0.0048</w:t>
            </w:r>
          </w:p>
        </w:tc>
      </w:tr>
      <w:tr>
        <w:tc>
          <w:tcPr/>
          <w:p>
            <w:pPr>
              <w:pStyle w:val="Compact"/>
            </w:pPr>
            <w:r>
              <w:t xml:space="preserve">LightGBM</w:t>
            </w:r>
          </w:p>
        </w:tc>
        <w:tc>
          <w:tcPr/>
          <w:p>
            <w:pPr>
              <w:pStyle w:val="Compact"/>
            </w:pPr>
            <w:r>
              <w:t xml:space="preserve">50</w:t>
            </w:r>
          </w:p>
        </w:tc>
        <w:tc>
          <w:tcPr/>
          <w:p>
            <w:pPr>
              <w:pStyle w:val="Compact"/>
            </w:pPr>
            <w:r>
              <w:t xml:space="preserve">0.1430</w:t>
            </w:r>
          </w:p>
        </w:tc>
        <w:tc>
          <w:tcPr/>
          <w:p>
            <w:pPr>
              <w:pStyle w:val="Compact"/>
            </w:pPr>
            <w:r>
              <w:t xml:space="preserve">0.0680</w:t>
            </w:r>
          </w:p>
        </w:tc>
        <w:tc>
          <w:tcPr/>
          <w:p>
            <w:pPr>
              <w:pStyle w:val="Compact"/>
            </w:pPr>
            <w:r>
              <w:t xml:space="preserve">[0.0492, 0.0894]</w:t>
            </w:r>
          </w:p>
        </w:tc>
        <w:tc>
          <w:tcPr/>
          <w:p>
            <w:pPr>
              <w:pStyle w:val="Compact"/>
            </w:pPr>
            <w:r>
              <w:t xml:space="preserve">&lt;0.0001</w:t>
            </w:r>
          </w:p>
        </w:tc>
      </w:tr>
    </w:tbl>
    <w:p>
      <w:pPr>
        <w:pStyle w:val="BodyText"/>
      </w:pPr>
      <w:r>
        <w:t xml:space="preserve">LightGBM’s overlap is significant at N=20 and N=50 but not at N=10 under this shared-pool null. Table S13 shows this result does not survive a prevalence-restricted null model.</w:t>
      </w:r>
    </w:p>
    <w:p>
      <w:pPr>
        <w:pStyle w:val="BodyText"/>
      </w:pPr>
      <w:r>
        <w:rPr>
          <w:i/>
          <w:iCs/>
        </w:rPr>
        <w:t xml:space="preserve">Source data:</w:t>
      </w:r>
      <w:r>
        <w:t xml:space="preserve"> </w:t>
      </w:r>
      <w:r>
        <w:rPr>
          <w:rStyle w:val="VerbatimChar"/>
        </w:rPr>
        <w:t xml:space="preserve">results/tables/jaccard_null_corrected.csv</w:t>
      </w:r>
      <w:r>
        <w:t xml:space="preserve">.</w:t>
      </w:r>
    </w:p>
    <w:p>
      <w:r>
        <w:pict>
          <v:rect style="width:0;height:1.5pt" o:hralign="center" o:hrstd="t" o:hr="t"/>
        </w:pict>
      </w:r>
    </w:p>
    <w:bookmarkEnd w:id="15"/>
    <w:bookmarkStart w:id="16" w:name="X71595d79ae018701605e8f9960eedf92b5a01b8"/>
    <w:p>
      <w:pPr>
        <w:pStyle w:val="Heading3"/>
      </w:pPr>
      <w:r>
        <w:t xml:space="preserve">Table S8. Zhu 2022 Repeated Nested Cross-Validation (Fold-Assignment Stability)</w:t>
      </w:r>
    </w:p>
    <w:p>
      <w:pPr>
        <w:pStyle w:val="FirstParagraph"/>
      </w:pPr>
      <w:r>
        <w:t xml:space="preserve">50 repetitions of the 10-fold outer / 5-fold inner nested-CV partition, each under a different pre-specified seed, strict training-only genus selection re-derived within every outer fold of every repetition (Section 2.4.1). This is a fold-assignment stability check on the same 60 participants, not an independent-sample replication.</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Historical Single-Partition AUC</w:t>
            </w:r>
          </w:p>
        </w:tc>
        <w:tc>
          <w:tcPr/>
          <w:p>
            <w:pPr>
              <w:pStyle w:val="Compact"/>
            </w:pPr>
            <w:r>
              <w:t xml:space="preserve">Training-Only Single-Partition AUC</w:t>
            </w:r>
          </w:p>
        </w:tc>
        <w:tc>
          <w:tcPr/>
          <w:p>
            <w:pPr>
              <w:pStyle w:val="Compact"/>
            </w:pPr>
            <w:r>
              <w:t xml:space="preserve">Repeated-CV Mean</w:t>
            </w:r>
          </w:p>
        </w:tc>
        <w:tc>
          <w:tcPr/>
          <w:p>
            <w:pPr>
              <w:pStyle w:val="Compact"/>
            </w:pPr>
            <w:r>
              <w:t xml:space="preserve">SD</w:t>
            </w:r>
          </w:p>
        </w:tc>
        <w:tc>
          <w:tcPr/>
          <w:p>
            <w:pPr>
              <w:pStyle w:val="Compact"/>
            </w:pPr>
            <w:r>
              <w:t xml:space="preserve">Median</w:t>
            </w:r>
          </w:p>
        </w:tc>
        <w:tc>
          <w:tcPr/>
          <w:p>
            <w:pPr>
              <w:pStyle w:val="Compact"/>
            </w:pPr>
            <w:r>
              <w:t xml:space="preserve">P2.5</w:t>
            </w:r>
          </w:p>
        </w:tc>
        <w:tc>
          <w:tcPr/>
          <w:p>
            <w:pPr>
              <w:pStyle w:val="Compact"/>
            </w:pPr>
            <w:r>
              <w:t xml:space="preserve">P97.5</w:t>
            </w:r>
          </w:p>
        </w:tc>
        <w:tc>
          <w:tcPr/>
          <w:p>
            <w:pPr>
              <w:pStyle w:val="Compact"/>
            </w:pPr>
            <w:r>
              <w:t xml:space="preserve">Min</w:t>
            </w:r>
          </w:p>
        </w:tc>
        <w:tc>
          <w:tcPr/>
          <w:p>
            <w:pPr>
              <w:pStyle w:val="Compact"/>
            </w:pPr>
            <w:r>
              <w:t xml:space="preserve">Max</w:t>
            </w:r>
          </w:p>
        </w:tc>
        <w:tc>
          <w:tcPr/>
          <w:p>
            <w:pPr>
              <w:pStyle w:val="Compact"/>
            </w:pPr>
            <w:r>
              <w:t xml:space="preserve">N Repeats</w:t>
            </w:r>
          </w:p>
        </w:tc>
      </w:tr>
      <w:tr>
        <w:tc>
          <w:tcPr/>
          <w:p>
            <w:pPr>
              <w:pStyle w:val="Compact"/>
            </w:pPr>
            <w:r>
              <w:t xml:space="preserve">LogReg</w:t>
            </w:r>
          </w:p>
        </w:tc>
        <w:tc>
          <w:tcPr/>
          <w:p>
            <w:pPr>
              <w:pStyle w:val="Compact"/>
            </w:pPr>
            <w:r>
              <w:t xml:space="preserve">0.998</w:t>
            </w:r>
          </w:p>
        </w:tc>
        <w:tc>
          <w:tcPr/>
          <w:p>
            <w:pPr>
              <w:pStyle w:val="Compact"/>
            </w:pPr>
            <w:r>
              <w:t xml:space="preserve">0.9956</w:t>
            </w:r>
          </w:p>
        </w:tc>
        <w:tc>
          <w:tcPr/>
          <w:p>
            <w:pPr>
              <w:pStyle w:val="Compact"/>
            </w:pPr>
            <w:r>
              <w:t xml:space="preserve">0.9955</w:t>
            </w:r>
          </w:p>
        </w:tc>
        <w:tc>
          <w:tcPr/>
          <w:p>
            <w:pPr>
              <w:pStyle w:val="Compact"/>
            </w:pPr>
            <w:r>
              <w:t xml:space="preserve">0.0027</w:t>
            </w:r>
          </w:p>
        </w:tc>
        <w:tc>
          <w:tcPr/>
          <w:p>
            <w:pPr>
              <w:pStyle w:val="Compact"/>
            </w:pPr>
            <w:r>
              <w:t xml:space="preserve">0.9956</w:t>
            </w:r>
          </w:p>
        </w:tc>
        <w:tc>
          <w:tcPr/>
          <w:p>
            <w:pPr>
              <w:pStyle w:val="Compact"/>
            </w:pPr>
            <w:r>
              <w:t xml:space="preserve">0.9900</w:t>
            </w:r>
          </w:p>
        </w:tc>
        <w:tc>
          <w:tcPr/>
          <w:p>
            <w:pPr>
              <w:pStyle w:val="Compact"/>
            </w:pPr>
            <w:r>
              <w:t xml:space="preserve">0.9989</w:t>
            </w:r>
          </w:p>
        </w:tc>
        <w:tc>
          <w:tcPr/>
          <w:p>
            <w:pPr>
              <w:pStyle w:val="Compact"/>
            </w:pPr>
            <w:r>
              <w:t xml:space="preserve">0.9889</w:t>
            </w:r>
          </w:p>
        </w:tc>
        <w:tc>
          <w:tcPr/>
          <w:p>
            <w:pPr>
              <w:pStyle w:val="Compact"/>
            </w:pPr>
            <w:r>
              <w:t xml:space="preserve">0.9989</w:t>
            </w:r>
          </w:p>
        </w:tc>
        <w:tc>
          <w:tcPr/>
          <w:p>
            <w:pPr>
              <w:pStyle w:val="Compact"/>
            </w:pPr>
            <w:r>
              <w:t xml:space="preserve">50</w:t>
            </w:r>
          </w:p>
        </w:tc>
      </w:tr>
      <w:tr>
        <w:tc>
          <w:tcPr/>
          <w:p>
            <w:pPr>
              <w:pStyle w:val="Compact"/>
            </w:pPr>
            <w:r>
              <w:t xml:space="preserve">LGBM</w:t>
            </w:r>
          </w:p>
        </w:tc>
        <w:tc>
          <w:tcPr/>
          <w:p>
            <w:pPr>
              <w:pStyle w:val="Compact"/>
            </w:pPr>
            <w:r>
              <w:t xml:space="preserve">0.979</w:t>
            </w:r>
          </w:p>
        </w:tc>
        <w:tc>
          <w:tcPr/>
          <w:p>
            <w:pPr>
              <w:pStyle w:val="Compact"/>
            </w:pPr>
            <w:r>
              <w:t xml:space="preserve">0.9700</w:t>
            </w:r>
          </w:p>
        </w:tc>
        <w:tc>
          <w:tcPr/>
          <w:p>
            <w:pPr>
              <w:pStyle w:val="Compact"/>
            </w:pPr>
            <w:r>
              <w:t xml:space="preserve">0.9760</w:t>
            </w:r>
          </w:p>
        </w:tc>
        <w:tc>
          <w:tcPr/>
          <w:p>
            <w:pPr>
              <w:pStyle w:val="Compact"/>
            </w:pPr>
            <w:r>
              <w:t xml:space="preserve">0.0103</w:t>
            </w:r>
          </w:p>
        </w:tc>
        <w:tc>
          <w:tcPr/>
          <w:p>
            <w:pPr>
              <w:pStyle w:val="Compact"/>
            </w:pPr>
            <w:r>
              <w:t xml:space="preserve">0.9767</w:t>
            </w:r>
          </w:p>
        </w:tc>
        <w:tc>
          <w:tcPr/>
          <w:p>
            <w:pPr>
              <w:pStyle w:val="Compact"/>
            </w:pPr>
            <w:r>
              <w:t xml:space="preserve">0.9519</w:t>
            </w:r>
          </w:p>
        </w:tc>
        <w:tc>
          <w:tcPr/>
          <w:p>
            <w:pPr>
              <w:pStyle w:val="Compact"/>
            </w:pPr>
            <w:r>
              <w:t xml:space="preserve">0.9917</w:t>
            </w:r>
          </w:p>
        </w:tc>
        <w:tc>
          <w:tcPr/>
          <w:p>
            <w:pPr>
              <w:pStyle w:val="Compact"/>
            </w:pPr>
            <w:r>
              <w:t xml:space="preserve">0.9378</w:t>
            </w:r>
          </w:p>
        </w:tc>
        <w:tc>
          <w:tcPr/>
          <w:p>
            <w:pPr>
              <w:pStyle w:val="Compact"/>
            </w:pPr>
            <w:r>
              <w:t xml:space="preserve">0.9944</w:t>
            </w:r>
          </w:p>
        </w:tc>
        <w:tc>
          <w:tcPr/>
          <w:p>
            <w:pPr>
              <w:pStyle w:val="Compact"/>
            </w:pPr>
            <w:r>
              <w:t xml:space="preserve">50</w:t>
            </w:r>
          </w:p>
        </w:tc>
      </w:tr>
    </w:tbl>
    <w:p>
      <w:pPr>
        <w:pStyle w:val="BodyText"/>
      </w:pPr>
      <w:r>
        <w:rPr>
          <w:i/>
          <w:iCs/>
        </w:rPr>
        <w:t xml:space="preserve">Source data:</w:t>
      </w:r>
      <w:r>
        <w:t xml:space="preserve"> </w:t>
      </w:r>
      <w:r>
        <w:rPr>
          <w:rStyle w:val="VerbatimChar"/>
        </w:rPr>
        <w:t xml:space="preserve">results/tables/zhu_repeated_nested_cv.csv</w:t>
      </w:r>
      <w:r>
        <w:t xml:space="preserve"> </w:t>
      </w:r>
      <w:r>
        <w:t xml:space="preserve">(per-repeat),</w:t>
      </w:r>
      <w:r>
        <w:t xml:space="preserve"> </w:t>
      </w:r>
      <w:r>
        <w:rPr>
          <w:rStyle w:val="VerbatimChar"/>
        </w:rPr>
        <w:t xml:space="preserve">results/tables/zhu_repeated_nested_cv_summary.csv</w:t>
      </w:r>
      <w:r>
        <w:t xml:space="preserve">.</w:t>
      </w:r>
    </w:p>
    <w:p>
      <w:r>
        <w:pict>
          <v:rect style="width:0;height:1.5pt" o:hralign="center" o:hrstd="t" o:hr="t"/>
        </w:pict>
      </w:r>
    </w:p>
    <w:bookmarkEnd w:id="16"/>
    <w:bookmarkStart w:id="17" w:name="Xab99acb304931f2a957786fe43fd7a0bd00d418"/>
    <w:p>
      <w:pPr>
        <w:pStyle w:val="Heading3"/>
      </w:pPr>
      <w:r>
        <w:t xml:space="preserve">Table S9. Zhu 2022 Label Permutation Test</w:t>
      </w:r>
    </w:p>
    <w:p>
      <w:pPr>
        <w:pStyle w:val="FirstParagraph"/>
      </w:pPr>
      <w:r>
        <w:t xml:space="preserve">Label-permutation test under the strict training-only pipeline and the fixed outer-fold partition (random_state=42; Section 2.4.1). Empirical p = (1 + #{null AUC ≥ observed}) / (n_perm + 1).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Observed AUC (Training-Only)</w:t>
            </w:r>
          </w:p>
        </w:tc>
        <w:tc>
          <w:tcPr/>
          <w:p>
            <w:pPr>
              <w:pStyle w:val="Compact"/>
            </w:pPr>
            <w:r>
              <w:t xml:space="preserve">N Permutations</w:t>
            </w:r>
          </w:p>
        </w:tc>
        <w:tc>
          <w:tcPr/>
          <w:p>
            <w:pPr>
              <w:pStyle w:val="Compact"/>
            </w:pPr>
            <w:r>
              <w:t xml:space="preserve">Null Mean</w:t>
            </w:r>
          </w:p>
        </w:tc>
        <w:tc>
          <w:tcPr/>
          <w:p>
            <w:pPr>
              <w:pStyle w:val="Compact"/>
            </w:pPr>
            <w:r>
              <w:t xml:space="preserve">Null SD</w:t>
            </w:r>
          </w:p>
        </w:tc>
        <w:tc>
          <w:tcPr/>
          <w:p>
            <w:pPr>
              <w:pStyle w:val="Compact"/>
            </w:pPr>
            <w:r>
              <w:t xml:space="preserve">Null P2.5</w:t>
            </w:r>
          </w:p>
        </w:tc>
        <w:tc>
          <w:tcPr/>
          <w:p>
            <w:pPr>
              <w:pStyle w:val="Compact"/>
            </w:pPr>
            <w:r>
              <w:t xml:space="preserve">Null P97.5</w:t>
            </w:r>
          </w:p>
        </w:tc>
        <w:tc>
          <w:tcPr/>
          <w:p>
            <w:pPr>
              <w:pStyle w:val="Compact"/>
            </w:pPr>
            <w:r>
              <w:t xml:space="preserve">Empirical p</w:t>
            </w:r>
          </w:p>
        </w:tc>
        <w:tc>
          <w:tcPr/>
          <w:p>
            <w:pPr>
              <w:pStyle w:val="Compact"/>
            </w:pPr>
            <w:r>
              <w:t xml:space="preserve">p Resolution Floor</w:t>
            </w:r>
          </w:p>
        </w:tc>
      </w:tr>
      <w:tr>
        <w:tc>
          <w:tcPr/>
          <w:p>
            <w:pPr>
              <w:pStyle w:val="Compact"/>
            </w:pPr>
            <w:r>
              <w:t xml:space="preserve">LogReg</w:t>
            </w:r>
          </w:p>
        </w:tc>
        <w:tc>
          <w:tcPr/>
          <w:p>
            <w:pPr>
              <w:pStyle w:val="Compact"/>
            </w:pPr>
            <w:r>
              <w:t xml:space="preserve">0.9956</w:t>
            </w:r>
          </w:p>
        </w:tc>
        <w:tc>
          <w:tcPr/>
          <w:p>
            <w:pPr>
              <w:pStyle w:val="Compact"/>
            </w:pPr>
            <w:r>
              <w:t xml:space="preserve">1000</w:t>
            </w:r>
          </w:p>
        </w:tc>
        <w:tc>
          <w:tcPr/>
          <w:p>
            <w:pPr>
              <w:pStyle w:val="Compact"/>
            </w:pPr>
            <w:r>
              <w:t xml:space="preserve">0.4731</w:t>
            </w:r>
          </w:p>
        </w:tc>
        <w:tc>
          <w:tcPr/>
          <w:p>
            <w:pPr>
              <w:pStyle w:val="Compact"/>
            </w:pPr>
            <w:r>
              <w:t xml:space="preserve">0.1017</w:t>
            </w:r>
          </w:p>
        </w:tc>
        <w:tc>
          <w:tcPr/>
          <w:p>
            <w:pPr>
              <w:pStyle w:val="Compact"/>
            </w:pPr>
            <w:r>
              <w:t xml:space="preserve">0.2800</w:t>
            </w:r>
          </w:p>
        </w:tc>
        <w:tc>
          <w:tcPr/>
          <w:p>
            <w:pPr>
              <w:pStyle w:val="Compact"/>
            </w:pPr>
            <w:r>
              <w:t xml:space="preserve">0.6734</w:t>
            </w:r>
          </w:p>
        </w:tc>
        <w:tc>
          <w:tcPr/>
          <w:p>
            <w:pPr>
              <w:pStyle w:val="Compact"/>
            </w:pPr>
            <w:r>
              <w:t xml:space="preserve">0.000999</w:t>
            </w:r>
          </w:p>
        </w:tc>
        <w:tc>
          <w:tcPr/>
          <w:p>
            <w:pPr>
              <w:pStyle w:val="Compact"/>
            </w:pPr>
            <w:r>
              <w:t xml:space="preserve">0.000999</w:t>
            </w:r>
          </w:p>
        </w:tc>
      </w:tr>
      <w:tr>
        <w:tc>
          <w:tcPr/>
          <w:p>
            <w:pPr>
              <w:pStyle w:val="Compact"/>
            </w:pPr>
            <w:r>
              <w:t xml:space="preserve">LGBM</w:t>
            </w:r>
          </w:p>
        </w:tc>
        <w:tc>
          <w:tcPr/>
          <w:p>
            <w:pPr>
              <w:pStyle w:val="Compact"/>
            </w:pPr>
            <w:r>
              <w:t xml:space="preserve">0.9700</w:t>
            </w:r>
          </w:p>
        </w:tc>
        <w:tc>
          <w:tcPr/>
          <w:p>
            <w:pPr>
              <w:pStyle w:val="Compact"/>
            </w:pPr>
            <w:r>
              <w:t xml:space="preserve">1000</w:t>
            </w:r>
          </w:p>
        </w:tc>
        <w:tc>
          <w:tcPr/>
          <w:p>
            <w:pPr>
              <w:pStyle w:val="Compact"/>
            </w:pPr>
            <w:r>
              <w:t xml:space="preserve">0.4719</w:t>
            </w:r>
          </w:p>
        </w:tc>
        <w:tc>
          <w:tcPr/>
          <w:p>
            <w:pPr>
              <w:pStyle w:val="Compact"/>
            </w:pPr>
            <w:r>
              <w:t xml:space="preserve">0.1094</w:t>
            </w:r>
          </w:p>
        </w:tc>
        <w:tc>
          <w:tcPr/>
          <w:p>
            <w:pPr>
              <w:pStyle w:val="Compact"/>
            </w:pPr>
            <w:r>
              <w:t xml:space="preserve">0.2643</w:t>
            </w:r>
          </w:p>
        </w:tc>
        <w:tc>
          <w:tcPr/>
          <w:p>
            <w:pPr>
              <w:pStyle w:val="Compact"/>
            </w:pPr>
            <w:r>
              <w:t xml:space="preserve">0.6878</w:t>
            </w:r>
          </w:p>
        </w:tc>
        <w:tc>
          <w:tcPr/>
          <w:p>
            <w:pPr>
              <w:pStyle w:val="Compact"/>
            </w:pPr>
            <w:r>
              <w:t xml:space="preserve">0.000999</w:t>
            </w:r>
          </w:p>
        </w:tc>
        <w:tc>
          <w:tcPr/>
          <w:p>
            <w:pPr>
              <w:pStyle w:val="Compact"/>
            </w:pPr>
            <w:r>
              <w:t xml:space="preserve">0.000999</w:t>
            </w:r>
          </w:p>
        </w:tc>
      </w:tr>
    </w:tbl>
    <w:p>
      <w:pPr>
        <w:pStyle w:val="BodyText"/>
      </w:pPr>
      <w:r>
        <w:t xml:space="preserve">No permutation among the 1,000 drawn reached the observed AUC for either model; the empirical p-value is therefore at the resolution floor for this permutation count (1/1,001) and should not be interpreted as more precise than that floor.</w:t>
      </w:r>
    </w:p>
    <w:p>
      <w:pPr>
        <w:pStyle w:val="BodyText"/>
      </w:pPr>
      <w:r>
        <w:rPr>
          <w:i/>
          <w:iCs/>
        </w:rPr>
        <w:t xml:space="preserve">Source data:</w:t>
      </w:r>
      <w:r>
        <w:t xml:space="preserve"> </w:t>
      </w:r>
      <w:r>
        <w:rPr>
          <w:rStyle w:val="VerbatimChar"/>
        </w:rPr>
        <w:t xml:space="preserve">results/tables/zhu_label_permutation.csv</w:t>
      </w:r>
      <w:r>
        <w:t xml:space="preserve"> </w:t>
      </w:r>
      <w:r>
        <w:t xml:space="preserve">(per-permutation),</w:t>
      </w:r>
      <w:r>
        <w:t xml:space="preserve"> </w:t>
      </w:r>
      <w:r>
        <w:rPr>
          <w:rStyle w:val="VerbatimChar"/>
        </w:rPr>
        <w:t xml:space="preserve">results/tables/zhu_label_permutation_summary.csv</w:t>
      </w:r>
      <w:r>
        <w:t xml:space="preserve">.</w:t>
      </w:r>
    </w:p>
    <w:p>
      <w:r>
        <w:pict>
          <v:rect style="width:0;height:1.5pt" o:hralign="center" o:hrstd="t" o:hr="t"/>
        </w:pict>
      </w:r>
    </w:p>
    <w:bookmarkEnd w:id="17"/>
    <w:bookmarkStart w:id="18" w:name="Xdb7ffbf136e55fbb1fef38c1290ec962f92405d"/>
    <w:p>
      <w:pPr>
        <w:pStyle w:val="Heading3"/>
      </w:pPr>
      <w:r>
        <w:t xml:space="preserve">Table S10. Formal Within-Cohort vs. LOCO AUC Difference (Paired, Diagnosis-Stratified Bootstrap)</w:t>
      </w:r>
    </w:p>
    <w:p>
      <w:pPr>
        <w:pStyle w:val="FirstParagraph"/>
      </w:pPr>
      <w:r>
        <w:t xml:space="preserve">Paired, diagnosis-stratified, participant-level bootstrap (10,000 replicates; Section 2.5.2). Δ (= AUC-within minus AUC-LOCO) is computed on identical resampled participants for both AUC values in each replicate.</w:t>
      </w:r>
      <w:r>
        <w:t xml:space="preserve"> </w:t>
      </w:r>
      <w:r>
        <w:t xml:space="preserve">“Proportion Δ≤0”</w:t>
      </w:r>
      <w:r>
        <w:t xml:space="preserve"> </w:t>
      </w:r>
      <w:r>
        <w:t xml:space="preserve">is the fraction of bootstrap replicates with a non-positive delta.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 Within</w:t>
            </w:r>
          </w:p>
        </w:tc>
        <w:tc>
          <w:tcPr/>
          <w:p>
            <w:pPr>
              <w:pStyle w:val="Compact"/>
            </w:pPr>
            <w:r>
              <w:t xml:space="preserve">AUC LOCO</w:t>
            </w:r>
          </w:p>
        </w:tc>
        <w:tc>
          <w:tcPr/>
          <w:p>
            <w:pPr>
              <w:pStyle w:val="Compact"/>
            </w:pPr>
            <w:r>
              <w:t xml:space="preserve">Observed Δ</w:t>
            </w:r>
          </w:p>
        </w:tc>
        <w:tc>
          <w:tcPr/>
          <w:p>
            <w:pPr>
              <w:pStyle w:val="Compact"/>
            </w:pPr>
            <w:r>
              <w:t xml:space="preserve">Bootstrap Mean Δ</w:t>
            </w:r>
          </w:p>
        </w:tc>
        <w:tc>
          <w:tcPr/>
          <w:p>
            <w:pPr>
              <w:pStyle w:val="Compact"/>
            </w:pPr>
            <w:r>
              <w:t xml:space="preserve">95% CI</w:t>
            </w:r>
          </w:p>
        </w:tc>
        <w:tc>
          <w:tcPr/>
          <w:p>
            <w:pPr>
              <w:pStyle w:val="Compact"/>
            </w:pPr>
            <w:r>
              <w:t xml:space="preserve">Proportion Δ≤0</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0.6333</w:t>
            </w:r>
          </w:p>
        </w:tc>
        <w:tc>
          <w:tcPr/>
          <w:p>
            <w:pPr>
              <w:pStyle w:val="Compact"/>
            </w:pPr>
            <w:r>
              <w:t xml:space="preserve">0.5041</w:t>
            </w:r>
          </w:p>
        </w:tc>
        <w:tc>
          <w:tcPr/>
          <w:p>
            <w:pPr>
              <w:pStyle w:val="Compact"/>
            </w:pPr>
            <w:r>
              <w:t xml:space="preserve">0.1293</w:t>
            </w:r>
          </w:p>
        </w:tc>
        <w:tc>
          <w:tcPr/>
          <w:p>
            <w:pPr>
              <w:pStyle w:val="Compact"/>
            </w:pPr>
            <w:r>
              <w:t xml:space="preserve">0.1280</w:t>
            </w:r>
          </w:p>
        </w:tc>
        <w:tc>
          <w:tcPr/>
          <w:p>
            <w:pPr>
              <w:pStyle w:val="Compact"/>
            </w:pPr>
            <w:r>
              <w:t xml:space="preserve">[−0.047, 0.303]</w:t>
            </w:r>
          </w:p>
        </w:tc>
        <w:tc>
          <w:tcPr/>
          <w:p>
            <w:pPr>
              <w:pStyle w:val="Compact"/>
            </w:pPr>
            <w:r>
              <w:t xml:space="preserve">0.0787</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0.6349</w:t>
            </w:r>
          </w:p>
        </w:tc>
        <w:tc>
          <w:tcPr/>
          <w:p>
            <w:pPr>
              <w:pStyle w:val="Compact"/>
            </w:pPr>
            <w:r>
              <w:t xml:space="preserve">0.5646</w:t>
            </w:r>
          </w:p>
        </w:tc>
        <w:tc>
          <w:tcPr/>
          <w:p>
            <w:pPr>
              <w:pStyle w:val="Compact"/>
            </w:pPr>
            <w:r>
              <w:t xml:space="preserve">0.0703</w:t>
            </w:r>
          </w:p>
        </w:tc>
        <w:tc>
          <w:tcPr/>
          <w:p>
            <w:pPr>
              <w:pStyle w:val="Compact"/>
            </w:pPr>
            <w:r>
              <w:t xml:space="preserve">0.0705</w:t>
            </w:r>
          </w:p>
        </w:tc>
        <w:tc>
          <w:tcPr/>
          <w:p>
            <w:pPr>
              <w:pStyle w:val="Compact"/>
            </w:pPr>
            <w:r>
              <w:t xml:space="preserve">[−0.100, 0.239]</w:t>
            </w:r>
          </w:p>
        </w:tc>
        <w:tc>
          <w:tcPr/>
          <w:p>
            <w:pPr>
              <w:pStyle w:val="Compact"/>
            </w:pPr>
            <w:r>
              <w:t xml:space="preserve">0.2138</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0.8648</w:t>
            </w:r>
          </w:p>
        </w:tc>
        <w:tc>
          <w:tcPr/>
          <w:p>
            <w:pPr>
              <w:pStyle w:val="Compact"/>
            </w:pPr>
            <w:r>
              <w:t xml:space="preserve">0.6775</w:t>
            </w:r>
          </w:p>
        </w:tc>
        <w:tc>
          <w:tcPr/>
          <w:p>
            <w:pPr>
              <w:pStyle w:val="Compact"/>
            </w:pPr>
            <w:r>
              <w:t xml:space="preserve">0.1873</w:t>
            </w:r>
          </w:p>
        </w:tc>
        <w:tc>
          <w:tcPr/>
          <w:p>
            <w:pPr>
              <w:pStyle w:val="Compact"/>
            </w:pPr>
            <w:r>
              <w:t xml:space="preserve">0.1871</w:t>
            </w:r>
          </w:p>
        </w:tc>
        <w:tc>
          <w:tcPr/>
          <w:p>
            <w:pPr>
              <w:pStyle w:val="Compact"/>
            </w:pPr>
            <w:r>
              <w:t xml:space="preserve">[0.097, 0.277]</w:t>
            </w:r>
          </w:p>
        </w:tc>
        <w:tc>
          <w:tcPr/>
          <w:p>
            <w:pPr>
              <w:pStyle w:val="Compact"/>
            </w:pPr>
            <w:r>
              <w:t xml:space="preserve">0.0001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0.8618</w:t>
            </w:r>
          </w:p>
        </w:tc>
        <w:tc>
          <w:tcPr/>
          <w:p>
            <w:pPr>
              <w:pStyle w:val="Compact"/>
            </w:pPr>
            <w:r>
              <w:t xml:space="preserve">0.6735</w:t>
            </w:r>
          </w:p>
        </w:tc>
        <w:tc>
          <w:tcPr/>
          <w:p>
            <w:pPr>
              <w:pStyle w:val="Compact"/>
            </w:pPr>
            <w:r>
              <w:t xml:space="preserve">0.1883</w:t>
            </w:r>
          </w:p>
        </w:tc>
        <w:tc>
          <w:tcPr/>
          <w:p>
            <w:pPr>
              <w:pStyle w:val="Compact"/>
            </w:pPr>
            <w:r>
              <w:t xml:space="preserve">0.1886</w:t>
            </w:r>
          </w:p>
        </w:tc>
        <w:tc>
          <w:tcPr/>
          <w:p>
            <w:pPr>
              <w:pStyle w:val="Compact"/>
            </w:pPr>
            <w:r>
              <w:t xml:space="preserve">[0.096, 0.284]</w:t>
            </w:r>
          </w:p>
        </w:tc>
        <w:tc>
          <w:tcPr/>
          <w:p>
            <w:pPr>
              <w:pStyle w:val="Compact"/>
            </w:pPr>
            <w:r>
              <w:t xml:space="preserve">0.0001</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0.9978</w:t>
            </w:r>
          </w:p>
        </w:tc>
        <w:tc>
          <w:tcPr/>
          <w:p>
            <w:pPr>
              <w:pStyle w:val="Compact"/>
            </w:pPr>
            <w:r>
              <w:t xml:space="preserve">0.8133</w:t>
            </w:r>
          </w:p>
        </w:tc>
        <w:tc>
          <w:tcPr/>
          <w:p>
            <w:pPr>
              <w:pStyle w:val="Compact"/>
            </w:pPr>
            <w:r>
              <w:t xml:space="preserve">0.1844</w:t>
            </w:r>
          </w:p>
        </w:tc>
        <w:tc>
          <w:tcPr/>
          <w:p>
            <w:pPr>
              <w:pStyle w:val="Compact"/>
            </w:pPr>
            <w:r>
              <w:t xml:space="preserve">0.1848</w:t>
            </w:r>
          </w:p>
        </w:tc>
        <w:tc>
          <w:tcPr/>
          <w:p>
            <w:pPr>
              <w:pStyle w:val="Compact"/>
            </w:pPr>
            <w:r>
              <w:t xml:space="preserve">[0.072, 0.312]</w:t>
            </w:r>
          </w:p>
        </w:tc>
        <w:tc>
          <w:tcPr/>
          <w:p>
            <w:pPr>
              <w:pStyle w:val="Compact"/>
            </w:pPr>
            <w:r>
              <w:t xml:space="preserve">0.0000</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0.9789</w:t>
            </w:r>
          </w:p>
        </w:tc>
        <w:tc>
          <w:tcPr/>
          <w:p>
            <w:pPr>
              <w:pStyle w:val="Compact"/>
            </w:pPr>
            <w:r>
              <w:t xml:space="preserve">0.7578</w:t>
            </w:r>
          </w:p>
        </w:tc>
        <w:tc>
          <w:tcPr/>
          <w:p>
            <w:pPr>
              <w:pStyle w:val="Compact"/>
            </w:pPr>
            <w:r>
              <w:t xml:space="preserve">0.2211</w:t>
            </w:r>
          </w:p>
        </w:tc>
        <w:tc>
          <w:tcPr/>
          <w:p>
            <w:pPr>
              <w:pStyle w:val="Compact"/>
            </w:pPr>
            <w:r>
              <w:t xml:space="preserve">0.2211</w:t>
            </w:r>
          </w:p>
        </w:tc>
        <w:tc>
          <w:tcPr/>
          <w:p>
            <w:pPr>
              <w:pStyle w:val="Compact"/>
            </w:pPr>
            <w:r>
              <w:t xml:space="preserve">[0.111, 0.346]</w:t>
            </w:r>
          </w:p>
        </w:tc>
        <w:tc>
          <w:tcPr/>
          <w:p>
            <w:pPr>
              <w:pStyle w:val="Compact"/>
            </w:pPr>
            <w:r>
              <w:t xml:space="preserve">0.0000</w:t>
            </w:r>
          </w:p>
        </w:tc>
      </w:tr>
      <w:tr>
        <w:tc>
          <w:tcPr/>
          <w:p>
            <w:pPr>
              <w:pStyle w:val="Compact"/>
            </w:pPr>
            <w:r>
              <w:t xml:space="preserve">Kazakhstan</w:t>
            </w:r>
          </w:p>
        </w:tc>
        <w:tc>
          <w:tcPr/>
          <w:p>
            <w:pPr>
              <w:pStyle w:val="Compact"/>
            </w:pPr>
            <w:r>
              <w:t xml:space="preserve">LogReg</w:t>
            </w:r>
          </w:p>
        </w:tc>
        <w:tc>
          <w:tcPr/>
          <w:p>
            <w:pPr>
              <w:pStyle w:val="Compact"/>
            </w:pPr>
            <w:r>
              <w:t xml:space="preserve">84</w:t>
            </w:r>
          </w:p>
        </w:tc>
        <w:tc>
          <w:tcPr/>
          <w:p>
            <w:pPr>
              <w:pStyle w:val="Compact"/>
            </w:pPr>
            <w:r>
              <w:t xml:space="preserve">0.7657</w:t>
            </w:r>
          </w:p>
        </w:tc>
        <w:tc>
          <w:tcPr/>
          <w:p>
            <w:pPr>
              <w:pStyle w:val="Compact"/>
            </w:pPr>
            <w:r>
              <w:t xml:space="preserve">0.5644</w:t>
            </w:r>
          </w:p>
        </w:tc>
        <w:tc>
          <w:tcPr/>
          <w:p>
            <w:pPr>
              <w:pStyle w:val="Compact"/>
            </w:pPr>
            <w:r>
              <w:t xml:space="preserve">0.2014</w:t>
            </w:r>
          </w:p>
        </w:tc>
        <w:tc>
          <w:tcPr/>
          <w:p>
            <w:pPr>
              <w:pStyle w:val="Compact"/>
            </w:pPr>
            <w:r>
              <w:t xml:space="preserve">0.2013</w:t>
            </w:r>
          </w:p>
        </w:tc>
        <w:tc>
          <w:tcPr/>
          <w:p>
            <w:pPr>
              <w:pStyle w:val="Compact"/>
            </w:pPr>
            <w:r>
              <w:t xml:space="preserve">[0.044, 0.357]</w:t>
            </w:r>
          </w:p>
        </w:tc>
        <w:tc>
          <w:tcPr/>
          <w:p>
            <w:pPr>
              <w:pStyle w:val="Compact"/>
            </w:pPr>
            <w:r>
              <w:t xml:space="preserve">0.0051</w:t>
            </w:r>
          </w:p>
        </w:tc>
      </w:tr>
      <w:tr>
        <w:tc>
          <w:tcPr/>
          <w:p>
            <w:pPr>
              <w:pStyle w:val="Compact"/>
            </w:pPr>
            <w:r>
              <w:t xml:space="preserve">Kazakhstan</w:t>
            </w:r>
          </w:p>
        </w:tc>
        <w:tc>
          <w:tcPr/>
          <w:p>
            <w:pPr>
              <w:pStyle w:val="Compact"/>
            </w:pPr>
            <w:r>
              <w:t xml:space="preserve">LGBM</w:t>
            </w:r>
          </w:p>
        </w:tc>
        <w:tc>
          <w:tcPr/>
          <w:p>
            <w:pPr>
              <w:pStyle w:val="Compact"/>
            </w:pPr>
            <w:r>
              <w:t xml:space="preserve">84</w:t>
            </w:r>
          </w:p>
        </w:tc>
        <w:tc>
          <w:tcPr/>
          <w:p>
            <w:pPr>
              <w:pStyle w:val="Compact"/>
            </w:pPr>
            <w:r>
              <w:t xml:space="preserve">0.6943</w:t>
            </w:r>
          </w:p>
        </w:tc>
        <w:tc>
          <w:tcPr/>
          <w:p>
            <w:pPr>
              <w:pStyle w:val="Compact"/>
            </w:pPr>
            <w:r>
              <w:t xml:space="preserve">0.5905</w:t>
            </w:r>
          </w:p>
        </w:tc>
        <w:tc>
          <w:tcPr/>
          <w:p>
            <w:pPr>
              <w:pStyle w:val="Compact"/>
            </w:pPr>
            <w:r>
              <w:t xml:space="preserve">0.1038</w:t>
            </w:r>
          </w:p>
        </w:tc>
        <w:tc>
          <w:tcPr/>
          <w:p>
            <w:pPr>
              <w:pStyle w:val="Compact"/>
            </w:pPr>
            <w:r>
              <w:t xml:space="preserve">0.1038</w:t>
            </w:r>
          </w:p>
        </w:tc>
        <w:tc>
          <w:tcPr/>
          <w:p>
            <w:pPr>
              <w:pStyle w:val="Compact"/>
            </w:pPr>
            <w:r>
              <w:t xml:space="preserve">[−0.049, 0.255]</w:t>
            </w:r>
          </w:p>
        </w:tc>
        <w:tc>
          <w:tcPr/>
          <w:p>
            <w:pPr>
              <w:pStyle w:val="Compact"/>
            </w:pPr>
            <w:r>
              <w:t xml:space="preserve">0.0917</w:t>
            </w:r>
          </w:p>
        </w:tc>
      </w:tr>
    </w:tbl>
    <w:p>
      <w:pPr>
        <w:pStyle w:val="BodyText"/>
      </w:pPr>
      <w:r>
        <w:t xml:space="preserve">Five of eight pairs have a 95% CI excluding zero (Ling 2020 both models, Zhu 2022 both models, Kazakhstan LogReg). Three (Zhuang 2018 both models, Kazakhstan LGBM) show the same-signed delta with a CI that includes zero and are not formally significant at this sample size.</w:t>
      </w:r>
    </w:p>
    <w:p>
      <w:pPr>
        <w:pStyle w:val="BodyText"/>
      </w:pPr>
      <w:r>
        <w:rPr>
          <w:i/>
          <w:iCs/>
        </w:rPr>
        <w:t xml:space="preserve">Source data:</w:t>
      </w:r>
      <w:r>
        <w:t xml:space="preserve"> </w:t>
      </w:r>
      <w:r>
        <w:rPr>
          <w:rStyle w:val="VerbatimChar"/>
        </w:rPr>
        <w:t xml:space="preserve">results/tables/within_vs_loco_auc_difference_bootstrap.csv</w:t>
      </w:r>
      <w:r>
        <w:t xml:space="preserve">,</w:t>
      </w:r>
      <w:r>
        <w:t xml:space="preserve"> </w:t>
      </w:r>
      <w:r>
        <w:rPr>
          <w:rStyle w:val="VerbatimChar"/>
        </w:rPr>
        <w:t xml:space="preserve">results/tables/within_cohort_auc_ci_stratified_bootstrap.csv</w:t>
      </w:r>
      <w:r>
        <w:t xml:space="preserve">,</w:t>
      </w:r>
      <w:r>
        <w:t xml:space="preserve"> </w:t>
      </w:r>
      <w:r>
        <w:rPr>
          <w:rStyle w:val="VerbatimChar"/>
        </w:rPr>
        <w:t xml:space="preserve">results/tables/loco_auc_ci_stratified_bootstrap.csv</w:t>
      </w:r>
      <w:r>
        <w:t xml:space="preserve">.</w:t>
      </w:r>
    </w:p>
    <w:p>
      <w:r>
        <w:pict>
          <v:rect style="width:0;height:1.5pt" o:hralign="center" o:hrstd="t" o:hr="t"/>
        </w:pict>
      </w:r>
    </w:p>
    <w:bookmarkEnd w:id="18"/>
    <w:bookmarkStart w:id="19" w:name="Xe1eb387f1646c1cd516991a1953a20361d57084"/>
    <w:p>
      <w:pPr>
        <w:pStyle w:val="Heading3"/>
      </w:pPr>
      <w:r>
        <w:t xml:space="preserve">Table S11. PERMANOVA Sensitivity: Chinese Paired-End MiSeq Cohorts Only (Zhuang 2018 + Ling 2020 + Zhu 2022)</w:t>
      </w:r>
    </w:p>
    <w:p>
      <w:pPr>
        <w:pStyle w:val="FirstParagraph"/>
      </w:pPr>
      <w:r>
        <w:t xml:space="preserve">Marginal PERMANOVA (Aitchison distance,</w:t>
      </w:r>
      <w:r>
        <w:t xml:space="preserve"> </w:t>
      </w:r>
      <w:r>
        <w:rPr>
          <w:rStyle w:val="VerbatimChar"/>
        </w:rPr>
        <w:t xml:space="preserve">by="margin"</w:t>
      </w:r>
      <w:r>
        <w:t xml:space="preserve">, 9,999 permutations), binary AD/CN only, restricted to the three cohorts that are more technically comparable to one another (same country, same paired-end MiSeq V3–V4 platform; Section 2.6). n=317 (Zhuang 2018=86, Ling 2020=171, Zhu 2022=60).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2</w:t>
            </w:r>
          </w:p>
        </w:tc>
        <w:tc>
          <w:tcPr/>
          <w:p>
            <w:pPr>
              <w:pStyle w:val="Compact"/>
            </w:pPr>
            <w:r>
              <w:t xml:space="preserve">17,532.9</w:t>
            </w:r>
          </w:p>
        </w:tc>
        <w:tc>
          <w:tcPr/>
          <w:p>
            <w:pPr>
              <w:pStyle w:val="Compact"/>
            </w:pPr>
            <w:r>
              <w:t xml:space="preserve">0.0588</w:t>
            </w:r>
          </w:p>
        </w:tc>
        <w:tc>
          <w:tcPr/>
          <w:p>
            <w:pPr>
              <w:pStyle w:val="Compact"/>
            </w:pPr>
            <w:r>
              <w:t xml:space="preserve">10.05</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6,821.2</w:t>
            </w:r>
          </w:p>
        </w:tc>
        <w:tc>
          <w:tcPr/>
          <w:p>
            <w:pPr>
              <w:pStyle w:val="Compact"/>
            </w:pPr>
            <w:r>
              <w:t xml:space="preserve">0.0229</w:t>
            </w:r>
          </w:p>
        </w:tc>
        <w:tc>
          <w:tcPr/>
          <w:p>
            <w:pPr>
              <w:pStyle w:val="Compact"/>
            </w:pPr>
            <w:r>
              <w:t xml:space="preserve">7.83</w:t>
            </w:r>
          </w:p>
        </w:tc>
        <w:tc>
          <w:tcPr/>
          <w:p>
            <w:pPr>
              <w:pStyle w:val="Compact"/>
            </w:pPr>
            <w:r>
              <w:t xml:space="preserve">0.0001</w:t>
            </w:r>
          </w:p>
        </w:tc>
      </w:tr>
    </w:tbl>
    <w:p>
      <w:pPr>
        <w:pStyle w:val="BodyText"/>
      </w:pPr>
      <w:r>
        <w:t xml:space="preserve">Compare to the full four-cohort marginal model (Table S3, Model 2): cohort R²=0.172, diagnosis R²=0.014 (~12-fold disparity). Restricted to this more technically comparable three-cohort subset, the disparity falls to ~2.6-fold (0.0588/0.0229). Beta-dispersion on this subset: F=7.946, p=0.0004 (9,999 permutations).</w:t>
      </w:r>
    </w:p>
    <w:p>
      <w:pPr>
        <w:pStyle w:val="BodyText"/>
      </w:pPr>
      <w:r>
        <w:t xml:space="preserve">Pairwise betadisper post-hoc comparisons within this three-cohort subset (permutation p, with Holm adjustment across these three tests only — this is a separate multiplicity family from the five-cohort Table S12 below, not a subset of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p (permutation, unadjusted)</w:t>
            </w:r>
          </w:p>
        </w:tc>
        <w:tc>
          <w:tcPr/>
          <w:p>
            <w:pPr>
              <w:pStyle w:val="Compact"/>
            </w:pPr>
            <w:r>
              <w:t xml:space="preserve">p (Holm, 3 tests)</w:t>
            </w:r>
          </w:p>
        </w:tc>
        <w:tc>
          <w:tcPr/>
          <w:p>
            <w:pPr>
              <w:pStyle w:val="Compact"/>
            </w:pPr>
            <w:r>
              <w:t xml:space="preserve">Significant after Holm correction?</w:t>
            </w:r>
          </w:p>
        </w:tc>
      </w:tr>
      <w:tr>
        <w:tc>
          <w:tcPr/>
          <w:p>
            <w:pPr>
              <w:pStyle w:val="Compact"/>
            </w:pPr>
            <w:r>
              <w:t xml:space="preserve">Zhuang 2018 vs. Ling 2020</w:t>
            </w:r>
          </w:p>
        </w:tc>
        <w:tc>
          <w:tcPr/>
          <w:p>
            <w:pPr>
              <w:pStyle w:val="Compact"/>
            </w:pPr>
            <w:r>
              <w:t xml:space="preserve">0.0001</w:t>
            </w:r>
          </w:p>
        </w:tc>
        <w:tc>
          <w:tcPr/>
          <w:p>
            <w:pPr>
              <w:pStyle w:val="Compact"/>
            </w:pPr>
            <w:r>
              <w:t xml:space="preserve">0.0003</w:t>
            </w:r>
          </w:p>
        </w:tc>
        <w:tc>
          <w:tcPr/>
          <w:p>
            <w:pPr>
              <w:pStyle w:val="Compact"/>
            </w:pPr>
            <w:r>
              <w:t xml:space="preserve">Yes</w:t>
            </w:r>
          </w:p>
        </w:tc>
      </w:tr>
      <w:tr>
        <w:tc>
          <w:tcPr/>
          <w:p>
            <w:pPr>
              <w:pStyle w:val="Compact"/>
            </w:pPr>
            <w:r>
              <w:t xml:space="preserve">Zhuang 2018 vs. Zhu 2022</w:t>
            </w:r>
          </w:p>
        </w:tc>
        <w:tc>
          <w:tcPr/>
          <w:p>
            <w:pPr>
              <w:pStyle w:val="Compact"/>
            </w:pPr>
            <w:r>
              <w:t xml:space="preserve">0.026</w:t>
            </w:r>
          </w:p>
        </w:tc>
        <w:tc>
          <w:tcPr/>
          <w:p>
            <w:pPr>
              <w:pStyle w:val="Compact"/>
            </w:pPr>
            <w:r>
              <w:t xml:space="preserve">0.052</w:t>
            </w:r>
          </w:p>
        </w:tc>
        <w:tc>
          <w:tcPr/>
          <w:p>
            <w:pPr>
              <w:pStyle w:val="Compact"/>
            </w:pPr>
            <w:r>
              <w:t xml:space="preserve">No</w:t>
            </w:r>
          </w:p>
        </w:tc>
      </w:tr>
      <w:tr>
        <w:tc>
          <w:tcPr/>
          <w:p>
            <w:pPr>
              <w:pStyle w:val="Compact"/>
            </w:pPr>
            <w:r>
              <w:t xml:space="preserve">Ling 2020 vs. Zhu 2022</w:t>
            </w:r>
          </w:p>
        </w:tc>
        <w:tc>
          <w:tcPr/>
          <w:p>
            <w:pPr>
              <w:pStyle w:val="Compact"/>
            </w:pPr>
            <w:r>
              <w:t xml:space="preserve">0.343</w:t>
            </w:r>
          </w:p>
        </w:tc>
        <w:tc>
          <w:tcPr/>
          <w:p>
            <w:pPr>
              <w:pStyle w:val="Compact"/>
            </w:pPr>
            <w:r>
              <w:t xml:space="preserve">0.343</w:t>
            </w:r>
          </w:p>
        </w:tc>
        <w:tc>
          <w:tcPr/>
          <w:p>
            <w:pPr>
              <w:pStyle w:val="Compact"/>
            </w:pPr>
            <w:r>
              <w:t xml:space="preserve">No</w:t>
            </w:r>
          </w:p>
        </w:tc>
      </w:tr>
    </w:tbl>
    <w:p>
      <w:pPr>
        <w:pStyle w:val="BodyText"/>
      </w:pPr>
      <w:r>
        <w:t xml:space="preserve">Zhuang 2018 differs significantly in dispersion from Ling 2020 after Holm correction; its difference from Zhu 2022 does not survive multiplicity correction (raw p=0.026, Holm-adjusted p=0.052 — at or above the conventional 0.05 threshold, so not called significant here). Ling 2020 and Zhu 2022 do not differ.</w:t>
      </w:r>
    </w:p>
    <w:p>
      <w:pPr>
        <w:pStyle w:val="BodyText"/>
      </w:pPr>
      <w:r>
        <w:rPr>
          <w:i/>
          <w:iCs/>
        </w:rPr>
        <w:t xml:space="preserve">Source data:</w:t>
      </w:r>
      <w:r>
        <w:t xml:space="preserve"> </w:t>
      </w:r>
      <w:r>
        <w:rPr>
          <w:rStyle w:val="VerbatimChar"/>
        </w:rPr>
        <w:t xml:space="preserve">results/tables/permanova_chinese_miseq_sensitivity.csv</w:t>
      </w:r>
      <w:r>
        <w:t xml:space="preserve">,</w:t>
      </w:r>
      <w:r>
        <w:t xml:space="preserve"> </w:t>
      </w:r>
      <w:r>
        <w:rPr>
          <w:rStyle w:val="VerbatimChar"/>
        </w:rPr>
        <w:t xml:space="preserve">results/tables/betadisper_chinese_miseq_sensitivity.csv</w:t>
      </w:r>
      <w:r>
        <w:t xml:space="preserve">,</w:t>
      </w:r>
      <w:r>
        <w:t xml:space="preserve"> </w:t>
      </w:r>
      <w:r>
        <w:rPr>
          <w:rStyle w:val="VerbatimChar"/>
        </w:rPr>
        <w:t xml:space="preserve">results/tables/betadisper_chinese_miseq_pairwise.csv</w:t>
      </w:r>
      <w:r>
        <w:t xml:space="preserve">.</w:t>
      </w:r>
    </w:p>
    <w:p>
      <w:r>
        <w:pict>
          <v:rect style="width:0;height:1.5pt" o:hralign="center" o:hrstd="t" o:hr="t"/>
        </w:pict>
      </w:r>
    </w:p>
    <w:bookmarkEnd w:id="19"/>
    <w:bookmarkStart w:id="20" w:name="Xa4bf632d9f7675899723fa3edb562421a648ade"/>
    <w:p>
      <w:pPr>
        <w:pStyle w:val="Heading3"/>
      </w:pPr>
      <w:r>
        <w:t xml:space="preserve">Table S12. Pairwise Beta-Dispersion Post-Hoc Comparisons (All Five Cohorts, Aitchison Distance)</w:t>
      </w:r>
    </w:p>
    <w:p>
      <w:pPr>
        <w:pStyle w:val="FirstParagraph"/>
      </w:pPr>
      <w:r>
        <w:t xml:space="preserve">All 10 pairwise betadisper comparisons among the five cohorts (9,999 permutations per pair), with Holm and Benjamini-Hochberg (BH) multiplicity adjustment across the 10 comparisons (Section 2.6). Sorted by unadjusted (permutation) p. The</w:t>
      </w:r>
      <w:r>
        <w:t xml:space="preserve"> </w:t>
      </w:r>
      <w:r>
        <w:t xml:space="preserve">“p (parametric)”</w:t>
      </w:r>
      <w:r>
        <w:t xml:space="preserve"> </w:t>
      </w:r>
      <w:r>
        <w:t xml:space="preserve">column is vegan’s</w:t>
      </w:r>
      <w:r>
        <w:t xml:space="preserve"> </w:t>
      </w:r>
      <w:r>
        <w:rPr>
          <w:rStyle w:val="VerbatimChar"/>
        </w:rPr>
        <w:t xml:space="preserve">permutest.betadisper(..., pairwise=TRUE)$pairwise$observed</w:t>
      </w:r>
      <w:r>
        <w:t xml:space="preserve"> </w:t>
      </w:r>
      <w:r>
        <w:t xml:space="preserve">— the two-sided p-value from a pooled-variance two-sample t-test evaluated on the observed (unpermuted) distances-to-centroid, using the asymptotic t reference distribution. It is not an F-statistic (pairwise betadisper comparisons use a t-test, not an F-test — only the omnibus test across all groups, Table S12’s parent analysis, uses F) and is reported here for completeness; all significance calls in this paper use the permutation-based p-value and its Holm/BH adjustment, not this parametric column.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p (parametric)</w:t>
            </w:r>
          </w:p>
        </w:tc>
        <w:tc>
          <w:tcPr/>
          <w:p>
            <w:pPr>
              <w:pStyle w:val="Compact"/>
            </w:pPr>
            <w:r>
              <w:t xml:space="preserve">p (permutation, unadjusted)</w:t>
            </w:r>
          </w:p>
        </w:tc>
        <w:tc>
          <w:tcPr/>
          <w:p>
            <w:pPr>
              <w:pStyle w:val="Compact"/>
            </w:pPr>
            <w:r>
              <w:t xml:space="preserve">p (Holm)</w:t>
            </w:r>
          </w:p>
        </w:tc>
        <w:tc>
          <w:tcPr/>
          <w:p>
            <w:pPr>
              <w:pStyle w:val="Compact"/>
            </w:pPr>
            <w:r>
              <w:t xml:space="preserve">p (BH)</w:t>
            </w:r>
          </w:p>
        </w:tc>
      </w:tr>
      <w:tr>
        <w:tc>
          <w:tcPr/>
          <w:p>
            <w:pPr>
              <w:pStyle w:val="Compact"/>
            </w:pPr>
            <w:r>
              <w:t xml:space="preserve">Kazakhstan–Ling 2020</w:t>
            </w:r>
          </w:p>
        </w:tc>
        <w:tc>
          <w:tcPr/>
          <w:p>
            <w:pPr>
              <w:pStyle w:val="Compact"/>
            </w:pPr>
            <w:r>
              <w:t xml:space="preserve">1.434×10⁻⁸</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Kim/KBASE 2022–Ling 2020</w:t>
            </w:r>
          </w:p>
        </w:tc>
        <w:tc>
          <w:tcPr/>
          <w:p>
            <w:pPr>
              <w:pStyle w:val="Compact"/>
            </w:pPr>
            <w:r>
              <w:t xml:space="preserve">4.178×10⁻⁹</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Ling 2020–Zhuang 2018</w:t>
            </w:r>
          </w:p>
        </w:tc>
        <w:tc>
          <w:tcPr/>
          <w:p>
            <w:pPr>
              <w:pStyle w:val="Compact"/>
            </w:pPr>
            <w:r>
              <w:t xml:space="preserve">5.442×10⁻⁵</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Kazakhstan–Zhu 2022</w:t>
            </w:r>
          </w:p>
        </w:tc>
        <w:tc>
          <w:tcPr/>
          <w:p>
            <w:pPr>
              <w:pStyle w:val="Compact"/>
            </w:pPr>
            <w:r>
              <w:t xml:space="preserve">1.313×10⁻³</w:t>
            </w:r>
          </w:p>
        </w:tc>
        <w:tc>
          <w:tcPr/>
          <w:p>
            <w:pPr>
              <w:pStyle w:val="Compact"/>
            </w:pPr>
            <w:r>
              <w:t xml:space="preserve">0.0009</w:t>
            </w:r>
          </w:p>
        </w:tc>
        <w:tc>
          <w:tcPr/>
          <w:p>
            <w:pPr>
              <w:pStyle w:val="Compact"/>
            </w:pPr>
            <w:r>
              <w:t xml:space="preserve">0.0063</w:t>
            </w:r>
          </w:p>
        </w:tc>
        <w:tc>
          <w:tcPr/>
          <w:p>
            <w:pPr>
              <w:pStyle w:val="Compact"/>
            </w:pPr>
            <w:r>
              <w:t xml:space="preserve">0.00225</w:t>
            </w:r>
          </w:p>
        </w:tc>
      </w:tr>
      <w:tr>
        <w:tc>
          <w:tcPr/>
          <w:p>
            <w:pPr>
              <w:pStyle w:val="Compact"/>
            </w:pPr>
            <w:r>
              <w:t xml:space="preserve">Kim/KBASE 2022–Zhu 2022</w:t>
            </w:r>
          </w:p>
        </w:tc>
        <w:tc>
          <w:tcPr/>
          <w:p>
            <w:pPr>
              <w:pStyle w:val="Compact"/>
            </w:pPr>
            <w:r>
              <w:t xml:space="preserve">1.670×10⁻³</w:t>
            </w:r>
          </w:p>
        </w:tc>
        <w:tc>
          <w:tcPr/>
          <w:p>
            <w:pPr>
              <w:pStyle w:val="Compact"/>
            </w:pPr>
            <w:r>
              <w:t xml:space="preserve">0.0018</w:t>
            </w:r>
          </w:p>
        </w:tc>
        <w:tc>
          <w:tcPr/>
          <w:p>
            <w:pPr>
              <w:pStyle w:val="Compact"/>
            </w:pPr>
            <w:r>
              <w:t xml:space="preserve">0.0108</w:t>
            </w:r>
          </w:p>
        </w:tc>
        <w:tc>
          <w:tcPr/>
          <w:p>
            <w:pPr>
              <w:pStyle w:val="Compact"/>
            </w:pPr>
            <w:r>
              <w:t xml:space="preserve">0.0036</w:t>
            </w:r>
          </w:p>
        </w:tc>
      </w:tr>
      <w:tr>
        <w:tc>
          <w:tcPr/>
          <w:p>
            <w:pPr>
              <w:pStyle w:val="Compact"/>
            </w:pPr>
            <w:r>
              <w:t xml:space="preserve">Ling 2020–Zhu 2022</w:t>
            </w:r>
          </w:p>
        </w:tc>
        <w:tc>
          <w:tcPr/>
          <w:p>
            <w:pPr>
              <w:pStyle w:val="Compact"/>
            </w:pPr>
            <w:r>
              <w:t xml:space="preserve">8.277×10⁻³</w:t>
            </w:r>
          </w:p>
        </w:tc>
        <w:tc>
          <w:tcPr/>
          <w:p>
            <w:pPr>
              <w:pStyle w:val="Compact"/>
            </w:pPr>
            <w:r>
              <w:t xml:space="preserve">0.0084</w:t>
            </w:r>
          </w:p>
        </w:tc>
        <w:tc>
          <w:tcPr/>
          <w:p>
            <w:pPr>
              <w:pStyle w:val="Compact"/>
            </w:pPr>
            <w:r>
              <w:t xml:space="preserve">0.0420</w:t>
            </w:r>
          </w:p>
        </w:tc>
        <w:tc>
          <w:tcPr/>
          <w:p>
            <w:pPr>
              <w:pStyle w:val="Compact"/>
            </w:pPr>
            <w:r>
              <w:t xml:space="preserve">0.0140</w:t>
            </w:r>
          </w:p>
        </w:tc>
      </w:tr>
      <w:tr>
        <w:tc>
          <w:tcPr/>
          <w:p>
            <w:pPr>
              <w:pStyle w:val="Compact"/>
            </w:pPr>
            <w:r>
              <w:t xml:space="preserve">Kazakhstan–Zhuang 2018</w:t>
            </w:r>
          </w:p>
        </w:tc>
        <w:tc>
          <w:tcPr/>
          <w:p>
            <w:pPr>
              <w:pStyle w:val="Compact"/>
            </w:pPr>
            <w:r>
              <w:t xml:space="preserve">1.047×10⁻²</w:t>
            </w:r>
          </w:p>
        </w:tc>
        <w:tc>
          <w:tcPr/>
          <w:p>
            <w:pPr>
              <w:pStyle w:val="Compact"/>
            </w:pPr>
            <w:r>
              <w:t xml:space="preserve">0.0101</w:t>
            </w:r>
          </w:p>
        </w:tc>
        <w:tc>
          <w:tcPr/>
          <w:p>
            <w:pPr>
              <w:pStyle w:val="Compact"/>
            </w:pPr>
            <w:r>
              <w:t xml:space="preserve">0.0420</w:t>
            </w:r>
          </w:p>
        </w:tc>
        <w:tc>
          <w:tcPr/>
          <w:p>
            <w:pPr>
              <w:pStyle w:val="Compact"/>
            </w:pPr>
            <w:r>
              <w:t xml:space="preserve">0.01443</w:t>
            </w:r>
          </w:p>
        </w:tc>
      </w:tr>
      <w:tr>
        <w:tc>
          <w:tcPr/>
          <w:p>
            <w:pPr>
              <w:pStyle w:val="Compact"/>
            </w:pPr>
            <w:r>
              <w:t xml:space="preserve">Kim/KBASE 2022–Zhuang 2018</w:t>
            </w:r>
          </w:p>
        </w:tc>
        <w:tc>
          <w:tcPr/>
          <w:p>
            <w:pPr>
              <w:pStyle w:val="Compact"/>
            </w:pPr>
            <w:r>
              <w:t xml:space="preserve">2.507×10⁻²</w:t>
            </w:r>
          </w:p>
        </w:tc>
        <w:tc>
          <w:tcPr/>
          <w:p>
            <w:pPr>
              <w:pStyle w:val="Compact"/>
            </w:pPr>
            <w:r>
              <w:t xml:space="preserve">0.0216</w:t>
            </w:r>
          </w:p>
        </w:tc>
        <w:tc>
          <w:tcPr/>
          <w:p>
            <w:pPr>
              <w:pStyle w:val="Compact"/>
            </w:pPr>
            <w:r>
              <w:t xml:space="preserve">0.0648</w:t>
            </w:r>
          </w:p>
        </w:tc>
        <w:tc>
          <w:tcPr/>
          <w:p>
            <w:pPr>
              <w:pStyle w:val="Compact"/>
            </w:pPr>
            <w:r>
              <w:t xml:space="preserve">0.0270</w:t>
            </w:r>
          </w:p>
        </w:tc>
      </w:tr>
      <w:tr>
        <w:tc>
          <w:tcPr/>
          <w:p>
            <w:pPr>
              <w:pStyle w:val="Compact"/>
            </w:pPr>
            <w:r>
              <w:t xml:space="preserve">Zhu 2022–Zhuang 2018</w:t>
            </w:r>
          </w:p>
        </w:tc>
        <w:tc>
          <w:tcPr/>
          <w:p>
            <w:pPr>
              <w:pStyle w:val="Compact"/>
            </w:pPr>
            <w:r>
              <w:t xml:space="preserve">2.213×10⁻¹</w:t>
            </w:r>
          </w:p>
        </w:tc>
        <w:tc>
          <w:tcPr/>
          <w:p>
            <w:pPr>
              <w:pStyle w:val="Compact"/>
            </w:pPr>
            <w:r>
              <w:t xml:space="preserve">0.2197</w:t>
            </w:r>
          </w:p>
        </w:tc>
        <w:tc>
          <w:tcPr/>
          <w:p>
            <w:pPr>
              <w:pStyle w:val="Compact"/>
            </w:pPr>
            <w:r>
              <w:t xml:space="preserve">0.4394</w:t>
            </w:r>
          </w:p>
        </w:tc>
        <w:tc>
          <w:tcPr/>
          <w:p>
            <w:pPr>
              <w:pStyle w:val="Compact"/>
            </w:pPr>
            <w:r>
              <w:t xml:space="preserve">0.2441</w:t>
            </w:r>
          </w:p>
        </w:tc>
      </w:tr>
      <w:tr>
        <w:tc>
          <w:tcPr/>
          <w:p>
            <w:pPr>
              <w:pStyle w:val="Compact"/>
            </w:pPr>
            <w:r>
              <w:t xml:space="preserve">Kazakhstan–Kim/KBASE 2022</w:t>
            </w:r>
          </w:p>
        </w:tc>
        <w:tc>
          <w:tcPr/>
          <w:p>
            <w:pPr>
              <w:pStyle w:val="Compact"/>
            </w:pPr>
            <w:r>
              <w:t xml:space="preserve">3.487×10⁻¹</w:t>
            </w:r>
          </w:p>
        </w:tc>
        <w:tc>
          <w:tcPr/>
          <w:p>
            <w:pPr>
              <w:pStyle w:val="Compact"/>
            </w:pPr>
            <w:r>
              <w:t xml:space="preserve">0.3544</w:t>
            </w:r>
          </w:p>
        </w:tc>
        <w:tc>
          <w:tcPr/>
          <w:p>
            <w:pPr>
              <w:pStyle w:val="Compact"/>
            </w:pPr>
            <w:r>
              <w:t xml:space="preserve">0.4394</w:t>
            </w:r>
          </w:p>
        </w:tc>
        <w:tc>
          <w:tcPr/>
          <w:p>
            <w:pPr>
              <w:pStyle w:val="Compact"/>
            </w:pPr>
            <w:r>
              <w:t xml:space="preserve">0.3544</w:t>
            </w:r>
          </w:p>
        </w:tc>
      </w:tr>
    </w:tbl>
    <w:p>
      <w:pPr>
        <w:pStyle w:val="BodyText"/>
      </w:pPr>
      <w:r>
        <w:t xml:space="preserve">Seven of ten pairwise comparisons reach Holm-adjusted significance (p&lt;0.05); the largest significant Holm-adjusted p-value is 0.0420 (Ling 2020–Zhu 2022 and Kazakhstan–Zhuang 2018). Ling 2020 differs significantly in dispersion from every other cohort (all Holm-adjusted p≤0.0420) and is the cohort driving most of the overall significant dispersion difference (Section 3.4). Zhu 2022 vs. Zhuang 2018, Kim/KBASE 2022 vs. Zhuang 2018, and Kazakhstan vs. Kim/KBASE 2022 are not significantly different in dispersion after Holm adjustment (all Holm p≥0.065).</w:t>
      </w:r>
    </w:p>
    <w:p>
      <w:pPr>
        <w:pStyle w:val="BodyText"/>
      </w:pPr>
      <w:r>
        <w:rPr>
          <w:i/>
          <w:iCs/>
        </w:rPr>
        <w:t xml:space="preserve">Source data:</w:t>
      </w:r>
      <w:r>
        <w:t xml:space="preserve"> </w:t>
      </w:r>
      <w:r>
        <w:rPr>
          <w:rStyle w:val="VerbatimChar"/>
        </w:rPr>
        <w:t xml:space="preserve">results/tables/betadisper_pairwise.csv</w:t>
      </w:r>
      <w:r>
        <w:t xml:space="preserve">.</w:t>
      </w:r>
    </w:p>
    <w:p>
      <w:r>
        <w:pict>
          <v:rect style="width:0;height:1.5pt" o:hralign="center" o:hrstd="t" o:hr="t"/>
        </w:pict>
      </w:r>
    </w:p>
    <w:bookmarkEnd w:id="20"/>
    <w:bookmarkStart w:id="21" w:name="X6a3f0f83f9ac9e1ec6868cd2d28ce5b5abc1138"/>
    <w:p>
      <w:pPr>
        <w:pStyle w:val="Heading3"/>
      </w:pPr>
      <w:r>
        <w:t xml:space="preserve">Table S13. Prevalence-Restricted Jaccard Null Sensitivity</w:t>
      </w:r>
    </w:p>
    <w:p>
      <w:pPr>
        <w:pStyle w:val="FirstParagraph"/>
      </w:pPr>
      <w:r>
        <w:t xml:space="preserve">Per-cohort eligible universe = genera reaching ≥20% prevalence within that cohort’s own AD/CN-labeled samples (eligible universe sizes: Zhuang 2018=131, Ling 2020=126, Zhu 2022=115, Kazakhstan=356). 100,000 replicates per (model, N) combination (Section 2.8). This supersedes the shared-pool null (Table S7) as the more realistic sensitivity check; the two null models disagree for LightGBM.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0.0260</w:t>
            </w:r>
          </w:p>
        </w:tc>
        <w:tc>
          <w:tcPr/>
          <w:p>
            <w:pPr>
              <w:pStyle w:val="Compact"/>
            </w:pPr>
            <w:r>
              <w:t xml:space="preserve">[0.0000, 0.0624]</w:t>
            </w:r>
          </w:p>
        </w:tc>
        <w:tc>
          <w:tcPr/>
          <w:p>
            <w:pPr>
              <w:pStyle w:val="Compact"/>
            </w:pPr>
            <w:r>
              <w:t xml:space="preserve">0.001670</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0.0522</w:t>
            </w:r>
          </w:p>
        </w:tc>
        <w:tc>
          <w:tcPr/>
          <w:p>
            <w:pPr>
              <w:pStyle w:val="Compact"/>
            </w:pPr>
            <w:r>
              <w:t xml:space="preserve">[0.0261, 0.0841]</w:t>
            </w:r>
          </w:p>
        </w:tc>
        <w:tc>
          <w:tcPr/>
          <w:p>
            <w:pPr>
              <w:pStyle w:val="Compact"/>
            </w:pPr>
            <w:r>
              <w:rPr>
                <w:b/>
                <w:bCs/>
              </w:rPr>
              <w:t xml:space="preserve">0.000030</w:t>
            </w:r>
          </w:p>
        </w:tc>
      </w:tr>
      <w:tr>
        <w:tc>
          <w:tcPr/>
          <w:p>
            <w:pPr>
              <w:pStyle w:val="Compact"/>
            </w:pPr>
            <w:r>
              <w:t xml:space="preserve">LogReg</w:t>
            </w:r>
          </w:p>
        </w:tc>
        <w:tc>
          <w:tcPr/>
          <w:p>
            <w:pPr>
              <w:pStyle w:val="Compact"/>
            </w:pPr>
            <w:r>
              <w:t xml:space="preserve">50</w:t>
            </w:r>
          </w:p>
        </w:tc>
        <w:tc>
          <w:tcPr/>
          <w:p>
            <w:pPr>
              <w:pStyle w:val="Compact"/>
            </w:pPr>
            <w:r>
              <w:t xml:space="preserve">0.2308</w:t>
            </w:r>
          </w:p>
        </w:tc>
        <w:tc>
          <w:tcPr/>
          <w:p>
            <w:pPr>
              <w:pStyle w:val="Compact"/>
            </w:pPr>
            <w:r>
              <w:t xml:space="preserve">0.1422</w:t>
            </w:r>
          </w:p>
        </w:tc>
        <w:tc>
          <w:tcPr/>
          <w:p>
            <w:pPr>
              <w:pStyle w:val="Compact"/>
            </w:pPr>
            <w:r>
              <w:t xml:space="preserve">[0.1140, 0.1737]</w:t>
            </w:r>
          </w:p>
        </w:tc>
        <w:tc>
          <w:tcPr/>
          <w:p>
            <w:pPr>
              <w:pStyle w:val="Compact"/>
            </w:pPr>
            <w:r>
              <w:t xml:space="preserve">0.000010</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0.0260</w:t>
            </w:r>
          </w:p>
        </w:tc>
        <w:tc>
          <w:tcPr/>
          <w:p>
            <w:pPr>
              <w:pStyle w:val="Compact"/>
            </w:pPr>
            <w:r>
              <w:t xml:space="preserve">[0.0000, 0.0624]</w:t>
            </w:r>
          </w:p>
        </w:tc>
        <w:tc>
          <w:tcPr/>
          <w:p>
            <w:pPr>
              <w:pStyle w:val="Compact"/>
            </w:pPr>
            <w:r>
              <w:t xml:space="preserve">0.799592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0.0629</w:t>
            </w:r>
          </w:p>
        </w:tc>
        <w:tc>
          <w:tcPr/>
          <w:p>
            <w:pPr>
              <w:pStyle w:val="Compact"/>
            </w:pPr>
            <w:r>
              <w:t xml:space="preserve">0.0522</w:t>
            </w:r>
          </w:p>
        </w:tc>
        <w:tc>
          <w:tcPr/>
          <w:p>
            <w:pPr>
              <w:pStyle w:val="Compact"/>
            </w:pPr>
            <w:r>
              <w:t xml:space="preserve">[0.0261, 0.0841]</w:t>
            </w:r>
          </w:p>
        </w:tc>
        <w:tc>
          <w:tcPr/>
          <w:p>
            <w:pPr>
              <w:pStyle w:val="Compact"/>
            </w:pPr>
            <w:r>
              <w:t xml:space="preserve">0.240838 (not significant)</w:t>
            </w:r>
          </w:p>
        </w:tc>
      </w:tr>
      <w:tr>
        <w:tc>
          <w:tcPr/>
          <w:p>
            <w:pPr>
              <w:pStyle w:val="Compact"/>
            </w:pPr>
            <w:r>
              <w:t xml:space="preserve">LightGBM</w:t>
            </w:r>
          </w:p>
        </w:tc>
        <w:tc>
          <w:tcPr/>
          <w:p>
            <w:pPr>
              <w:pStyle w:val="Compact"/>
            </w:pPr>
            <w:r>
              <w:t xml:space="preserve">50</w:t>
            </w:r>
          </w:p>
        </w:tc>
        <w:tc>
          <w:tcPr/>
          <w:p>
            <w:pPr>
              <w:pStyle w:val="Compact"/>
            </w:pPr>
            <w:r>
              <w:t xml:space="preserve">0.1665</w:t>
            </w:r>
          </w:p>
        </w:tc>
        <w:tc>
          <w:tcPr/>
          <w:p>
            <w:pPr>
              <w:pStyle w:val="Compact"/>
            </w:pPr>
            <w:r>
              <w:t xml:space="preserve">0.1422</w:t>
            </w:r>
          </w:p>
        </w:tc>
        <w:tc>
          <w:tcPr/>
          <w:p>
            <w:pPr>
              <w:pStyle w:val="Compact"/>
            </w:pPr>
            <w:r>
              <w:t xml:space="preserve">[0.1140, 0.1737]</w:t>
            </w:r>
          </w:p>
        </w:tc>
        <w:tc>
          <w:tcPr/>
          <w:p>
            <w:pPr>
              <w:pStyle w:val="Compact"/>
            </w:pPr>
            <w:r>
              <w:t xml:space="preserve">0.061309 (not significant)</w:t>
            </w:r>
          </w:p>
        </w:tc>
      </w:tr>
    </w:tbl>
    <w:p>
      <w:pPr>
        <w:pStyle w:val="BodyText"/>
      </w:pPr>
      <w:r>
        <w:t xml:space="preserve">Logistic regression remains significant at all three thresholds under this more realistic null. LightGBM is not significant at any of N=10/20/50 under this null, reversing the shared-pool-null result at N=20/50 (Table S7). We report this reversal directly: LightGBM’s apparent cross-cohort top-predictor overlap is not distinguishable from chance once the null model accounts for each cohort’s own genus-prevalence structure.</w:t>
      </w:r>
    </w:p>
    <w:p>
      <w:pPr>
        <w:pStyle w:val="BodyText"/>
      </w:pPr>
      <w:r>
        <w:rPr>
          <w:i/>
          <w:iCs/>
        </w:rPr>
        <w:t xml:space="preserve">Source data:</w:t>
      </w:r>
      <w:r>
        <w:t xml:space="preserve"> </w:t>
      </w:r>
      <w:r>
        <w:rPr>
          <w:rStyle w:val="VerbatimChar"/>
        </w:rPr>
        <w:t xml:space="preserve">results/tables/jaccard_prevalence_restricted_null.csv</w:t>
      </w:r>
      <w:r>
        <w:t xml:space="preserve">.</w:t>
      </w:r>
    </w:p>
    <w:p>
      <w:r>
        <w:pict>
          <v:rect style="width:0;height:1.5pt" o:hralign="center" o:hrstd="t" o:hr="t"/>
        </w:pict>
      </w:r>
    </w:p>
    <w:bookmarkEnd w:id="21"/>
    <w:bookmarkEnd w:id="22"/>
    <w:bookmarkStart w:id="43" w:name="supplementary-figures"/>
    <w:p>
      <w:pPr>
        <w:pStyle w:val="Heading2"/>
      </w:pPr>
      <w:r>
        <w:t xml:space="preserve">Supplementary Figures</w:t>
      </w:r>
    </w:p>
    <w:bookmarkStart w:id="26"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[0.94–1.00]. The near-perfect within-cohort AUC should be interpreted cautiously given the small sample size (30 per class); see Section 3.2 and Section 4.3 for discussion. Error bars = 95% CI from the diagnosis-stratified, participant-level bootstrap (10,000 replicates; Section 2.5.2), matching Table 2.</w:t>
      </w:r>
    </w:p>
    <w:p>
      <w:pPr>
        <w:pStyle w:val="BodyText"/>
      </w:pPr>
      <w:r>
        <w:rPr>
          <w:i/>
          <w:iCs/>
        </w:rPr>
        <w:t xml:space="preserve">Source data:</w:t>
      </w:r>
      <w:r>
        <w:t xml:space="preserve"> </w:t>
      </w:r>
      <w:r>
        <w:t xml:space="preserve">results/model_outputs/within_cohort_cv/shanghai2022_*.csv</w:t>
      </w:r>
      <w:r>
        <w:t xml:space="preserve"> </w:t>
      </w:r>
      <w:r>
        <w:drawing>
          <wp:inline>
            <wp:extent cx="3002280" cy="3425952"/>
            <wp:effectExtent b="0" l="0" r="0" t="0"/>
            <wp:docPr descr="Figure S1" title="" id="24" name="Picture"/>
            <a:graphic>
              <a:graphicData uri="http://schemas.openxmlformats.org/drawingml/2006/picture">
                <pic:pic>
                  <pic:nvPicPr>
                    <pic:cNvPr descr="/Users/arhan/Desktop/microbiome-ad-generalization/results/figures/final_supplementary/Figure_S1.jpg" id="25" name="Picture"/>
                    <pic:cNvPicPr>
                      <a:picLocks noChangeArrowheads="1" noChangeAspect="1"/>
                    </pic:cNvPicPr>
                  </pic:nvPicPr>
                  <pic:blipFill>
                    <a:blip r:embed="rId23"/>
                    <a:stretch>
                      <a:fillRect/>
                    </a:stretch>
                  </pic:blipFill>
                  <pic:spPr bwMode="auto">
                    <a:xfrm>
                      <a:off x="0" y="0"/>
                      <a:ext cx="3002280" cy="3425952"/>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results/figures/final_supplementary/Figure_S1.jpg</w:t>
      </w:r>
    </w:p>
    <w:p>
      <w:r>
        <w:pict>
          <v:rect style="width:0;height:1.5pt" o:hralign="center" o:hrstd="t" o:hr="t"/>
        </w:pict>
      </w:r>
    </w:p>
    <w:bookmarkEnd w:id="26"/>
    <w:bookmarkStart w:id="30"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 against the shared-pool null (p=0.0048 at N=20; not significant at N=10, p=0.45; Table S7) but not significant at any N against the prevalence-restricted null (Table S13).</w:t>
      </w:r>
      <w:r>
        <w:t xml:space="preserve"> </w:t>
      </w:r>
      <w:r>
        <w:rPr>
          <w:b/>
          <w:bCs/>
        </w:rPr>
        <w:t xml:space="preserve">No LightGBM directional-flip claim is made anywhere in this paper</w:t>
      </w:r>
      <w:r>
        <w:t xml:space="preserve">, because a tree ensemble has no single coefficient-like global direction (Section 2.8).</w:t>
      </w:r>
    </w:p>
    <w:p>
      <w:pPr>
        <w:pStyle w:val="CaptionedFigure"/>
      </w:pPr>
      <w:r>
        <w:drawing>
          <wp:inline>
            <wp:extent cx="5334000" cy="4957182"/>
            <wp:effectExtent b="0" l="0" r="0" t="0"/>
            <wp:docPr descr="Figure S2" title="" id="28" name="Picture"/>
            <a:graphic>
              <a:graphicData uri="http://schemas.openxmlformats.org/drawingml/2006/picture">
                <pic:pic>
                  <pic:nvPicPr>
                    <pic:cNvPr descr="/Users/arhan/Desktop/microbiome-ad-generalization/results/figures/final_supplementary/Figure_S2.jpg" id="29" name="Picture"/>
                    <pic:cNvPicPr>
                      <a:picLocks noChangeArrowheads="1" noChangeAspect="1"/>
                    </pic:cNvPicPr>
                  </pic:nvPicPr>
                  <pic:blipFill>
                    <a:blip r:embed="rId27"/>
                    <a:stretch>
                      <a:fillRect/>
                    </a:stretch>
                  </pic:blipFill>
                  <pic:spPr bwMode="auto">
                    <a:xfrm>
                      <a:off x="0" y="0"/>
                      <a:ext cx="5334000" cy="4957182"/>
                    </a:xfrm>
                    <a:prstGeom prst="rect">
                      <a:avLst/>
                    </a:prstGeom>
                    <a:noFill/>
                    <a:ln w="9525">
                      <a:noFill/>
                      <a:headEnd/>
                      <a:tailEnd/>
                    </a:ln>
                  </pic:spPr>
                </pic:pic>
              </a:graphicData>
            </a:graphic>
          </wp:inline>
        </w:drawing>
      </w:r>
    </w:p>
    <w:p>
      <w:pPr>
        <w:pStyle w:val="ImageCaption"/>
      </w:pPr>
      <w:r>
        <w:t xml:space="preserve">Figure S2</w:t>
      </w:r>
    </w:p>
    <w:p>
      <w:pPr>
        <w:pStyle w:val="BodyText"/>
      </w:pPr>
      <w:r>
        <w:rPr>
          <w:i/>
          <w:iCs/>
        </w:rPr>
        <w:t xml:space="preserve">Source figure:</w:t>
      </w:r>
      <w:r>
        <w:t xml:space="preserve"> </w:t>
      </w:r>
      <w:r>
        <w:rPr>
          <w:rStyle w:val="VerbatimChar"/>
        </w:rPr>
        <w:t xml:space="preserve">results/figures/final_supplementary/Figure_S2.jpg</w:t>
      </w:r>
    </w:p>
    <w:p>
      <w:r>
        <w:pict>
          <v:rect style="width:0;height:1.5pt" o:hralign="center" o:hrstd="t" o:hr="t"/>
        </w:pict>
      </w:r>
    </w:p>
    <w:bookmarkEnd w:id="30"/>
    <w:bookmarkStart w:id="34" w:name="X6fecba5033db8f27bce96d13754301a47ae5629"/>
    <w:p>
      <w:pPr>
        <w:pStyle w:val="Heading3"/>
      </w:pPr>
      <w:r>
        <w:t xml:space="preserve">Figure S3.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(1,000 resamples on the test-set predictions; the non-stratified procedure described in Section 2.5, not the diagnosis-stratified 10,000-replicate procedure used for the main four-cohort LOCO results).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drawing>
          <wp:inline>
            <wp:extent cx="5334000" cy="1861530"/>
            <wp:effectExtent b="0" l="0" r="0" t="0"/>
            <wp:docPr descr="Figure S3" title="" id="32" name="Picture"/>
            <a:graphic>
              <a:graphicData uri="http://schemas.openxmlformats.org/drawingml/2006/picture">
                <pic:pic>
                  <pic:nvPicPr>
                    <pic:cNvPr descr="/Users/arhan/Desktop/microbiome-ad-generalization/results/figures/final_supplementary/Figure_S3.jpg" id="33" name="Picture"/>
                    <pic:cNvPicPr>
                      <a:picLocks noChangeArrowheads="1" noChangeAspect="1"/>
                    </pic:cNvPicPr>
                  </pic:nvPicPr>
                  <pic:blipFill>
                    <a:blip r:embed="rId31"/>
                    <a:stretch>
                      <a:fillRect/>
                    </a:stretch>
                  </pic:blipFill>
                  <pic:spPr bwMode="auto">
                    <a:xfrm>
                      <a:off x="0" y="0"/>
                      <a:ext cx="5334000" cy="1861530"/>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results/figures/final_supplementary/Figure_S3.jpg</w:t>
      </w:r>
    </w:p>
    <w:p>
      <w:r>
        <w:pict>
          <v:rect style="width:0;height:1.5pt" o:hralign="center" o:hrstd="t" o:hr="t"/>
        </w:pict>
      </w:r>
    </w:p>
    <w:bookmarkEnd w:id="34"/>
    <w:bookmarkStart w:id="38" w:name="X64724aa74fe76fb874af47707bf13caf78cbcee"/>
    <w:p>
      <w:pPr>
        <w:pStyle w:val="Heading3"/>
      </w:pPr>
      <w:r>
        <w:t xml:space="preserve">Figure S4. Batch Correction, Label-Informed Design (Exploratory Sensitivity)</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Error bars = 95% bootstrap CI (1,000 resamples on the test-set predictions, the same non-stratified procedure used for Table 4/Figure 5; not part of the diagnosis-stratified 10,000-replicate regeneration in Section 2.5.2). This design is retained as an</w:t>
      </w:r>
      <w:r>
        <w:t xml:space="preserve"> </w:t>
      </w:r>
      <w:r>
        <w:rPr>
          <w:b/>
          <w:bCs/>
        </w:rPr>
        <w:t xml:space="preserve">explicitly-labeled exploratory sensitivity analysis only</w:t>
      </w:r>
      <w:r>
        <w:t xml:space="preserve">, because a correction step that is fit using every sample’s own true diagnosis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is the paper’s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drawing>
          <wp:inline>
            <wp:extent cx="5334000" cy="2230668"/>
            <wp:effectExtent b="0" l="0" r="0" t="0"/>
            <wp:docPr descr="Figure S4" title="" id="36" name="Picture"/>
            <a:graphic>
              <a:graphicData uri="http://schemas.openxmlformats.org/drawingml/2006/picture">
                <pic:pic>
                  <pic:nvPicPr>
                    <pic:cNvPr descr="/Users/arhan/Desktop/microbiome-ad-generalization/results/figures/final_supplementary/Figure_S4.jpg" id="37" name="Picture"/>
                    <pic:cNvPicPr>
                      <a:picLocks noChangeArrowheads="1" noChangeAspect="1"/>
                    </pic:cNvPicPr>
                  </pic:nvPicPr>
                  <pic:blipFill>
                    <a:blip r:embed="rId35"/>
                    <a:stretch>
                      <a:fillRect/>
                    </a:stretch>
                  </pic:blipFill>
                  <pic:spPr bwMode="auto">
                    <a:xfrm>
                      <a:off x="0" y="0"/>
                      <a:ext cx="5334000" cy="2230668"/>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results/figures/final_supplementary/Figure_S4.jpg</w:t>
      </w:r>
    </w:p>
    <w:p>
      <w:r>
        <w:pict>
          <v:rect style="width:0;height:1.5pt" o:hralign="center" o:hrstd="t" o:hr="t"/>
        </w:pict>
      </w:r>
    </w:p>
    <w:bookmarkEnd w:id="38"/>
    <w:bookmarkStart w:id="42" w:name="X19c9ed2781c446d999505ad52bd6760e3bfff58"/>
    <w:p>
      <w:pPr>
        <w:pStyle w:val="Heading3"/>
      </w:pPr>
      <w:r>
        <w:t xml:space="preserve">Figure S5. Zhu 2022 Robustness: Repeated Cross-Validation and Label Permutation</w:t>
      </w:r>
    </w:p>
    <w:p>
      <w:pPr>
        <w:pStyle w:val="FirstParagraph"/>
      </w:pPr>
      <w:r>
        <w:rPr>
          <w:b/>
          <w:bCs/>
        </w:rPr>
        <w:t xml:space="preserve">Caption:</w:t>
      </w:r>
      <w:r>
        <w:t xml:space="preserve"> </w:t>
      </w:r>
      <w:r>
        <w:t xml:space="preserve">Robustness analyses for Zhu 2022’s near-perfect within-cohort AUC (Section 2.4.1, Section 3.2), both run under the strict training-only feature-selection pipeline. Top row: distribution of pooled-OOF AUC across 50 repetitions of the nested-CV partition (different pre-specified seed per repetition) for logistic regression (left) and LightGBM (right), with the single-partition training-only AUC marked. Bottom row: null distribution of pooled-OOF AUC under label permutation (labels shuffled, class balance preserved; all label-dependent model fitting and hyperparameter tuning re-run inside every outer fold for each permutation, while fold-specific genus selection and CLR construction — which depend only on fold membership, not labels — were precomputed once per partition and reused across permutations), with the observed single-partition AUC marked and the empirical p-value shown in the panel title. The repeated-CV panels quantify sensitivity to fold assignment on the same 60 participants (not independent replication); the permutation panels are the formal test of whether the observed AUC exceeds a chance-label null.</w:t>
      </w:r>
    </w:p>
    <w:p>
      <w:pPr>
        <w:pStyle w:val="BodyText"/>
      </w:pPr>
      <w:r>
        <w:rPr>
          <w:i/>
          <w:iCs/>
        </w:rPr>
        <w:t xml:space="preserve">Source data:</w:t>
      </w:r>
      <w:r>
        <w:t xml:space="preserve"> </w:t>
      </w:r>
      <w:r>
        <w:rPr>
          <w:rStyle w:val="VerbatimChar"/>
        </w:rPr>
        <w:t xml:space="preserve">results/tables/zhu_repeated_nested_cv.csv</w:t>
      </w:r>
      <w:r>
        <w:t xml:space="preserve">,</w:t>
      </w:r>
      <w:r>
        <w:t xml:space="preserve"> </w:t>
      </w:r>
      <w:r>
        <w:rPr>
          <w:rStyle w:val="VerbatimChar"/>
        </w:rPr>
        <w:t xml:space="preserve">results/tables/zhu_label_permutation.csv</w:t>
      </w:r>
      <w:r>
        <w:t xml:space="preserve">.</w:t>
      </w:r>
      <w:r>
        <w:t xml:space="preserve"> </w:t>
      </w:r>
      <w:r>
        <w:drawing>
          <wp:inline>
            <wp:extent cx="4800600" cy="3593166"/>
            <wp:effectExtent b="0" l="0" r="0" t="0"/>
            <wp:docPr descr="Figure S5" title="" id="40" name="Picture"/>
            <a:graphic>
              <a:graphicData uri="http://schemas.openxmlformats.org/drawingml/2006/picture">
                <pic:pic>
                  <pic:nvPicPr>
                    <pic:cNvPr descr="/Users/arhan/Desktop/microbiome-ad-generalization/results/figures/final_supplementary/Figure_S5.png" id="41" name="Picture"/>
                    <pic:cNvPicPr>
                      <a:picLocks noChangeArrowheads="1" noChangeAspect="1"/>
                    </pic:cNvPicPr>
                  </pic:nvPicPr>
                  <pic:blipFill>
                    <a:blip r:embed="rId39"/>
                    <a:stretch>
                      <a:fillRect/>
                    </a:stretch>
                  </pic:blipFill>
                  <pic:spPr bwMode="auto">
                    <a:xfrm>
                      <a:off x="0" y="0"/>
                      <a:ext cx="4800600" cy="3593166"/>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results/figures/final_supplementary/Figure_S5.png</w:t>
      </w:r>
    </w:p>
    <w:p>
      <w:r>
        <w:pict>
          <v:rect style="width:0;height:1.5pt" o:hralign="center" o:hrstd="t" o:hr="t"/>
        </w:pict>
      </w:r>
    </w:p>
    <w:bookmarkEnd w:id="42"/>
    <w:bookmarkEnd w:id="43"/>
    <w:bookmarkStart w:id="47" w:name="supplementary-notes"/>
    <w:p>
      <w:pPr>
        <w:pStyle w:val="Heading2"/>
      </w:pPr>
      <w:r>
        <w:t xml:space="preserve">Supplementary Notes</w:t>
      </w:r>
    </w:p>
    <w:bookmarkStart w:id="44"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Kim/KBASE 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44"/>
    <w:bookmarkStart w:id="45"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bookmarkEnd w:id="45"/>
    <w:bookmarkStart w:id="46" w:name="Xb88876057350b14810a83397db7797e14021c36"/>
    <w:p>
      <w:pPr>
        <w:pStyle w:val="Heading3"/>
      </w:pPr>
      <w:r>
        <w:t xml:space="preserve">Note S3. LOCO SHAP Direction Not Reported</w:t>
      </w:r>
    </w:p>
    <w:p>
      <w:pPr>
        <w:pStyle w:val="FirstParagraph"/>
      </w:pPr>
      <w:r>
        <w:rPr>
          <w:b/>
          <w:bCs/>
        </w:rPr>
        <w:t xml:space="preserve">No figure or table showing a signed AD/CN direction for LOCO SHAP values is included in this paper.</w:t>
      </w:r>
      <w:r>
        <w:t xml:space="preserve"> </w:t>
      </w:r>
      <w:r>
        <w:t xml:space="preserve">Mean signed SHAP is not used here as a global fitted-direction statistic, because it is background-relative and does not identify the sign of the fitted logistic coefficient (Section 2.8),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is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top-importance genus per held-out cohort is: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p>
      <w:pPr>
        <w:pStyle w:val="FirstParagraph"/>
      </w:pPr>
      <w:r>
        <w:rPr>
          <w:i/>
          <w:iCs/>
        </w:rPr>
        <w:t xml:space="preserve">End of Supplementary Materials</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2026-09-14T23:11:55Z</dcterms:created>
  <dcterms:modified xsi:type="dcterms:W3CDTF">2026-09-14T23:11:55Z</dcterms:modified>
</cp:coreProperties>
</file>

<file path=docProps/custom.xml><?xml version="1.0" encoding="utf-8"?>
<Properties xmlns="http://schemas.openxmlformats.org/officeDocument/2006/custom-properties" xmlns:vt="http://schemas.openxmlformats.org/officeDocument/2006/docPropsVTypes"/>
</file>