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never been systematically quantified.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compositional variance (F=30.13, p=0.0001, 9,999 permutations) versus only 1.4% for disease label—an approximately 12-fold disparity (within-model marginal R²: 0.172 cohort vs. 0.014 diagnosis) that is consistent with the interpretation that batch correction cannot recover generalization: both ComBat-seq and MMUPHin worsened rather than improved LOCO AUC across all conditions.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mice colonized with gut microbiota from AD patients exhibited greater amyloid-β deposition than those colonized with microbiota from healthy donors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 mechanistic analysis of why batch correction methods fail to bridge the gap—questions that remain open even where multi-cohort classifiers have been attempted.</w:t>
      </w:r>
    </w:p>
    <w:p>
      <w:pPr>
        <w:pStyle w:val="BodyText"/>
      </w:pPr>
      <w:r>
        <w:t xml:space="preserve">Despite this recognized heterogeneity, no study has systematically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worsen rather than improve cross-cohort AUC;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Five cohorts meeting these criteria were included. The ALBION 2025 Greek cohort (PRJNA1297934) was identified but excluded because data had not yet been publicly released at the time of analysis. A sixth cohort (Kim/KBASE 2022, PRJEB50447, South Korea) was included in unsupervised analyses only; per-sample amyloid-PET diagnosis labels are IRB-restricted and not deposited in any public archive.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(60 AD, 60 MCI, 60 CN × 2 sample types = 180).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r>
                      <m:rPr>
                        <m:sty m:val="p"/>
                      </m:rPr>
                      <m:t>/</m:t>
                    </m:r>
                    <m:r>
                      <m:t>p</m:t>
                    </m:r>
                  </m:e>
                  <m:e>
                    <m:r>
                      <m:rPr>
                        <m:nor/>
                        <m:sty m:val="p"/>
                      </m:rPr>
                      <m:t>if </m:t>
                    </m:r>
                    <m:sSub>
                      <m:e>
                        <m:r>
                          <m:t>x</m:t>
                        </m:r>
                      </m:e>
                      <m:sub>
                        <m:r>
                          <m:t>i</m:t>
                        </m:r>
                      </m:sub>
                    </m:sSub>
                    <m:r>
                      <m:rPr>
                        <m:sty m:val="p"/>
                      </m:rPr>
                      <m:t>=</m:t>
                    </m:r>
                    <m:r>
                      <m:t>0</m:t>
                    </m:r>
                  </m:e>
                </m:mr>
                <m:mr>
                  <m:e>
                    <m:r>
                      <m:rPr>
                        <m:sty m:val="p"/>
                      </m:rPr>
                      <m:t>(</m:t>
                    </m:r>
                    <m:r>
                      <m:t>1</m:t>
                    </m:r>
                    <m:r>
                      <m:rPr>
                        <m:sty m:val="p"/>
                      </m:rPr>
                      <m:t>−</m:t>
                    </m:r>
                    <m:sSub>
                      <m:e>
                        <m:r>
                          <m:t>n</m:t>
                        </m:r>
                      </m:e>
                      <m:sub>
                        <m:r>
                          <m:t>0</m:t>
                        </m:r>
                      </m:sub>
                    </m:sSub>
                    <m:r>
                      <m:rPr>
                        <m:sty m:val="p"/>
                      </m:rPr>
                      <m:t>⋅</m:t>
                    </m:r>
                    <m:r>
                      <m:t>δ</m:t>
                    </m:r>
                    <m:r>
                      <m:rPr>
                        <m:sty m:val="p"/>
                      </m:rPr>
                      <m:t>/</m:t>
                    </m:r>
                    <m:r>
                      <m:t>p</m:t>
                    </m:r>
                    <m:r>
                      <m:rPr>
                        <m:sty m:val="p"/>
                      </m:rPr>
                      <m:t>)</m:t>
                    </m:r>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p</m:t>
        </m:r>
      </m:oMath>
      <w:r>
        <w:t xml:space="preserve"> </w:t>
      </w:r>
      <w:r>
        <w:t xml:space="preserve">is the total number of components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oMath>
      <w:r>
        <w:t xml:space="preserve"> </w:t>
      </w:r>
      <w:r>
        <w:t xml:space="preserve">sample total,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Two batch correction methods designed for microbiome data were applied, treating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best-case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SHAP in AD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genuine group differences in fecal composition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In both cases the LOCO model must rely on disease-relevant genera from other cohorts that lack the cohort-specific compositional patterns inflating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confirming a statistically reliable performance drop.</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the Kazakhstan cohort or to any single Chinese cohort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genuine compositional signal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mechanistic basis of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genuine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genuine directional flip across cohorts. For LightGBM,</w:t>
      </w:r>
      <w:r>
        <w:t xml:space="preserve"> </w:t>
      </w:r>
      <w:r>
        <w:rPr>
          <w:i/>
          <w:iCs/>
        </w:rPr>
        <w:t xml:space="preserve">Akkermansia</w:t>
      </w:r>
      <w:r>
        <w:t xml:space="preserve"> </w:t>
      </w:r>
      <w:r>
        <w:t xml:space="preserve">is the dominant predictor in Ling 2020 (|SHAP|=0.828,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standard batch correction methods worsen rather than improve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no linear correction method—however sophisticated—can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PERMANOVA diagnosis R²=0.094 (F=6.01, p=0.0001) is genuine—Zhu 2022 shows the highest within-cohort disease signal of the four labeled cohorts—but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reflect genuine between-population differences in the microbiome–disease relationship, not technical artifacts of sequencing. Standard batch correction methods cannot resolve directional disagreements because those disagreements are not technical noise—they are real biological differences in the meaning of a taxon’s abundance across populations.</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Only 180 of the 302 originally enrolled participants were deposited in the public archive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 corrected LOCO values represent an upper bound on what this transductive design could achieve, but cannot be extrapolated to a fully prospective deployment scenario.</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worsened rather than improved cross-cohort AUC.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cohort 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cannot be resolved by post-hoc batch correction.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2026-09-01T22:39:47Z</dcterms:created>
  <dcterms:modified xsi:type="dcterms:W3CDTF">2026-09-01T22:39:47Z</dcterms:modified>
</cp:coreProperties>
</file>

<file path=docProps/custom.xml><?xml version="1.0" encoding="utf-8"?>
<Properties xmlns="http://schemas.openxmlformats.org/officeDocument/2006/custom-properties" xmlns:vt="http://schemas.openxmlformats.org/officeDocument/2006/docPropsVTypes"/>
</file>