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Word count:</w:t>
      </w:r>
      <w:r>
        <w:t xml:space="preserve"> </w:t>
      </w:r>
      <w:r>
        <w:t xml:space="preserve">14,060 (main text, Introduction through Conclusion, including in-text citations; excludes abstract, headings, figure/table captions, table contents, funding, acknowledgements, and references)</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evaluation of whether two commonly used batch-correction approaches recover cross-cohort transferability—questions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cohort-associated versus diagnosis-associated compositional variance, as estimated by variance partitioning — noting that</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variance-partitioning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of taxa showing opposite, stable fitted-coefficient directions across cohorts. Together, these findings constitute a systematic quantification of cross-cohort generalization limitations among the evaluated publicly available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and we do not describe it as one; it is transparently identified as a global, all-cohort feature-selection step, and its effect on the paper’s conclusions is evaluated directly by a strict training-only sensitivity analysis (Section 2.5.1) rather than assumed to be negligible.</w:t>
      </w:r>
    </w:p>
    <w:p>
      <w:pPr>
        <w:pStyle w:val="BodyText"/>
      </w:pPr>
      <w:r>
        <w:rPr>
          <w:b/>
          <w:bCs/>
        </w:rPr>
        <w:t xml:space="preserve">Leakage status of every preprocessing step, stated explicitly.</w:t>
      </w:r>
      <w:r>
        <w:t xml:space="preserve"> </w:t>
      </w:r>
      <w:r>
        <w:t xml:space="preserve">To avoid any ambiguity about which steps could, in principle, leak held-out-cohort or held-out-sample information into a downstream evaluation, every preprocessing operation used in this paper is classified here: (1)</w:t>
      </w:r>
      <w:r>
        <w:t xml:space="preserve"> </w:t>
      </w:r>
      <w:r>
        <w:rPr>
          <w:i/>
          <w:iCs/>
        </w:rPr>
        <w:t xml:space="preserve">DADA2 ASV inference and error-model estimation</w:t>
      </w:r>
      <w:r>
        <w:t xml:space="preserve"> </w:t>
      </w:r>
      <w:r>
        <w:t xml:space="preserve">(this section) is performed independently per cohort using only that cohort’s own reads, is label-free (uses no diagnosis information), and cannot leak across cohorts or across AD/CN status by construction.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this is a genuine, acknowledged methodological limitation, not leakage-free, and its practical impact is bounded by the training-only sensitivity analysis in Section 2.5.1, which re-derives the feature set from only the training-side samples of every individual split and finds the qualitative generalization-failure conclusion unchanged. (3)</w:t>
      </w:r>
      <w:r>
        <w:t xml:space="preserve"> </w:t>
      </w:r>
      <w:r>
        <w:rPr>
          <w:i/>
          <w:iCs/>
        </w:rPr>
        <w:t xml:space="preserve">Zero-replacement and CLR transformation</w:t>
      </w:r>
      <w:r>
        <w:t xml:space="preserve"> </w:t>
      </w:r>
      <w:r>
        <w:t xml:space="preserve">(Section 2.3) are deterministic, closed-form functions applied independently to each sample’s own count vector; they use no information from any other sample, cohort, or diagnosis label, and are therefore sample-local operations with no leakage pathway of any kind. (4)</w:t>
      </w:r>
      <w:r>
        <w:t xml:space="preserve"> </w:t>
      </w:r>
      <w:r>
        <w:rPr>
          <w:i/>
          <w:iCs/>
        </w:rPr>
        <w:t xml:space="preserve">Model hyperparameter tuning and fitting</w:t>
      </w:r>
      <w:r>
        <w:t xml:space="preserve"> </w:t>
      </w:r>
      <w:r>
        <w:t xml:space="preserve">(Sections 2.4–2.5) use only the training-side samples of whichever split is being evaluated (inner CV within a training fold for within-cohort analyses; the training-cohort pool for LOCO/pairwise analyses), with test-side samples never used for tuning, fitting, or feature standardization. (5) The</w:t>
      </w:r>
      <w:r>
        <w:t xml:space="preserve"> </w:t>
      </w:r>
      <w:r>
        <w:rPr>
          <w:i/>
          <w:iCs/>
        </w:rPr>
        <w:t xml:space="preserve">strict training-only sensitivity re-derivation</w:t>
      </w:r>
      <w:r>
        <w:t xml:space="preserve"> </w:t>
      </w:r>
      <w:r>
        <w:t xml:space="preserve">(Section 2.5.1) additionally re-derives genus selection itself from only the training-side samples of every split, closing the one leakage pathway identified in (2) for that specific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The within-cohort 95% confidence intervals reported in Table 2 (and Supplementary Figure S1) use the diagnosis-stratified, participant-level percentile bootstrap described in Section 2.5.2 (10,000 replicates); this procedure superseded an earlier, non-stratified 1,000-resample bootstrap on the pooled out-of-fold predictions, which is retained only for CIs explicitly noted as using it elsewhere in this paper (Section 2.5). We also report sensitivity and specificity at the Youden’s J optimal threshold. For comparison with originally reported performance, the published AUC values from the original cohort papers are noted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both run under the strict training-only feature-selection pipeline (Section 2.5.1) rather than the global feature set, so that no step of either analysis could leak held-out-fold information.</w:t>
      </w:r>
    </w:p>
    <w:p>
      <w:pPr>
        <w:pStyle w:val="BodyText"/>
      </w:pPr>
      <w:r>
        <w:rPr>
          <w:b/>
          <w:bCs/>
        </w:rPr>
        <w:t xml:space="preserve">Repeated nested cross-validation.</w:t>
      </w:r>
      <w:r>
        <w:t xml:space="preserve"> </w:t>
      </w:r>
      <w:r>
        <w:t xml:space="preserve">The 10-fold outer / 5-fold inner nested-CV procedure (Section 2.4) was repeated 50 times, each repetition using a different, pre-specified deterministic random seed (seeds 1000–1049) for the stratified outer-fold partition, with genus selection, zero-replacement, CLR transformation, and model tuning re-derived independently within every outer fold of every repetition using only that fold’s training-side samples. We report the mean, standard deviation, median, 2.5th/97.5th percentile, minimum, and maximum pooled-OOF AUC across the 50 repetitions. This procedure quantifies sensitivity to the arbitrary choice of fold assignment; it is explicitly not a set of independent replications of the study (the underlying 60 participants are identical across all 50 repetitions), and we report it as fold-assignment stability rather than as an independent-sample validation.</w:t>
      </w:r>
    </w:p>
    <w:p>
      <w:pPr>
        <w:pStyle w:val="BodyText"/>
      </w:pPr>
      <w:r>
        <w:rPr>
          <w:b/>
          <w:bCs/>
        </w:rPr>
        <w:t xml:space="preserve">Label permutation test.</w:t>
      </w:r>
      <w:r>
        <w:t xml:space="preserve"> </w:t>
      </w:r>
      <w:r>
        <w:t xml:space="preserve">Under the same strict training-only pipeline and the same fixed outer-fold partition (random_state=42, matching the partition used throughout the rest of this paper), we additionally ran a label-permutation test: in each of exactly 1,000 permutations, the AD/CN labels were randomly shuffled across the 60 participants (preserving the 30/30 class split) using a pre-specified seed, and the entire training-only pipeline — genus selection, zero-replacement, CLR transformation, hyperparameter tuning, and model fitting — was re-run inside every outer fold using only that fold’s training-side samples and the permuted labels, producing a null pooled-OOF AUC for that permutation. Because genus selection and CLR feature construction depend only on which participants are in a fold’s training set (not on their labels), these steps were precomputed once per outer-fold partition and reused across all permutations — a pure implementation optimization with no effect on the statistical result, since the model itself is always refit on the permuted labels. The empirical p-value was computed as</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rPr>
            <m:sty m:val="p"/>
          </m:rPr>
          <m:t>(</m:t>
        </m:r>
        <m:r>
          <m:t>1000</m:t>
        </m:r>
        <m:r>
          <m:rPr>
            <m:sty m:val="p"/>
          </m:rPr>
          <m:t>+</m:t>
        </m:r>
        <m:r>
          <m:t>1</m:t>
        </m:r>
        <m:r>
          <m:rPr>
            <m:sty m:val="p"/>
          </m:rPr>
          <m:t>)</m:t>
        </m:r>
      </m:oMath>
      <w:r>
        <w:t xml:space="preserve">, using the training-only single-partition AUC as the observed value; the minimum attainable p-value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the floor itself.</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The uncorrected LOCO 95% CIs reported in Table 3 (and Figure 3A) use the diagnosis-stratified, participant-level bootstrap described in Section 2.5.2 (10,000 replicates); CIs on batch-corrected LOCO AUC (Table 4, Figure 5, Supplementary Figure S4) use the non-stratified 1,000-resample bootstrap described below, which was not part of that later regeneration. Non-overlap of two independently computed confidence intervals is not a formal statistical test of whether their difference is nonzero, and is not used as one anywhere in this paper; the AUC drop is instead evaluated with the paired bootstrap procedure described in Section 2.5.2.</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Pairwise transfer AUC 95% CIs (Supplementary Table S1) use a non-stratified 1,000-resample bootstrap on the test-set predictions; this pairwise design was not part of the diagnosis-stratified 10,000-replicate regeneration described in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confidence intervals are a heuristic, not a formal statistical comparison of two AUC values. To formally evaluate the within-cohort-versus-LOCO AUC difference for each of the eight cohort–model combinations, we performed a paired, diagnosis-stratified, participant-level bootstrap. For each cohort–model pair, the within-cohort out-of-fold prediction and the LOCO (that cohort held out) prediction refer to the same participants; each of 10,000 bootstrap replicates resampled participants with replacement, separately within the AD group and within the CN group, once per replicate, and used that same resampled index set to compute both the within-cohort AUC and the LOCO AUC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reflects a genuine paired comparison rather than the difference of two independently resampled statistics. We report the observed delta, the bootstrap mean delta, the 95% percentile CI of the bootstrap delta distribution, and the proportion of bootstrap replicates with</w:t>
      </w:r>
      <w:r>
        <w:t xml:space="preserve"> </w:t>
      </w:r>
      <m:oMath>
        <m:r>
          <m:rPr>
            <m:sty m:val="p"/>
          </m:rPr>
          <m:t>Δ</m:t>
        </m:r>
        <m:r>
          <m:rPr>
            <m:sty m:val="p"/>
          </m:rPr>
          <m:t>≤</m:t>
        </m:r>
        <m:r>
          <m:t>0</m:t>
        </m:r>
      </m:oMath>
      <w:r>
        <w:t xml:space="preserve">; this proportion is an empirical bootstrap quantity, not an exact parametric p-value, and we do not describe it as one. The within-cohort and uncorrected-LOCO confidence intervals reported in Tables 2 and 3 (and Figures 2 and 3A, and Supplementary Figure S1) were regenerated using this same diagnosis-stratified, participant-level percentile bootstrap (10,000 replicates), so that every within-cohort and uncorrected-LOCO CI in the paper is produced by one consistent, explicitly specified resampling procedure. This regeneration did not extend to the pairwise-transfer CIs (Supplementary Table S1) or to the batch-corrected LOCO CIs (Table 4, Figure 5, Supplementary Figure S4), which continue to use the original non-stratified 1,000-resample bootstrap described in Section 2.5; each table and figure in this paper states which of the two procedures its own CIs use.</w:t>
      </w:r>
    </w:p>
    <w:p>
      <w:pPr>
        <w:pStyle w:val="BodyText"/>
      </w:pPr>
      <w:r>
        <w:t xml:space="preserve">Within-cohort out-of-fold prediction files do not carry an explicit participant identifier; participant identity was recovered by replicating the exact data-loading and filtering sequence used to produce them and verified, before use, by an exact-match assertion between the recovered diagnosis vector and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 To identify which specific cohort pairs drive the overall dispersion difference, we additionally computed all pairwise betadisper comparisons among the five cohorts (Aitchison distance, 9,999 permutations per pair), with Holm and Benjamini-Hochberg multiplicity adjustment applied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used in this paper decomposes that total into its technical and biological components. To assess how sensitive the cohort-versus-diagnosis variance disparity (Section 3.4) is to this composite structure, we repeated the marginal PERMANOVA and betadisper analyses on a subset restricted to the three cohorts that are more technically comparable to one another — Zhuang 2018, Ling 2020, and Zhu 2022, all Chinese, paired-end MiSeq 2×300bp, V3–V4 studies — while still differing in recruitment site, exact diagnostic procedure, and other unmeasured factors, so this subset is more technically comparable, not technically identical. This sensitivity analysis used the same marginal (</w:t>
      </w:r>
      <w:r>
        <w:rPr>
          <w:rStyle w:val="VerbatimChar"/>
        </w:rPr>
        <w:t xml:space="preserve">by="margin"</w:t>
      </w:r>
      <w:r>
        <w:t xml:space="preserve">) two-variable (cohort + diagnosis) PERMANOVA specification and 9,999 permutations as the main four-cohort model, restricted to binary AD/CN samples from the three cohorts (n=317), together with betadisper/permutest and pairwise post-hoc comparisons on the same subset.</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sensitivity analysis (exploratory).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is fit using every sample’s own diagnosis label, including test-cohort samples. We retain this analysis only as an exploratory label-informed transductive sensitivity analysis. Because correction uses the true diagnosis labels of the eventual test-cohort samples, these results cannot estimate prospective external-validation performance and are not interpreted as a performance bound: access to test labels during correction can improve or worsen downstream classifier performance, so this design is not mathematically guaranteed to represent an upper or lower bound on what label-blind correction could achieve.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Two null distributions are reported. The primary, matched-statistic null was constructed to match the observed statistic’s own construction exactly: in each of 100,000 replicates, four independent random top-N gene sets were drawn (without replacement) from the full, shared 396-genus pool, and the same six unique pairwise Jaccard similarities among those four random sets were averaged to produce one null replicate.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drawing from the shared 396-genus pool: per-cohort genus prevalence varies substantially (e.g., Kazakhstan alone reaches ≥20% prevalence for 356 of 396 genera, versus 115–131 for the three MiSeq cohorts), so a genus essentially absent from a given cohort could still be drawn into that cohort’s random comparison set under the shared-pool null. For this sensitivity analysis, each cohort’s own top-N ranking and its random draws were both restricted to genera reaching ≥20% prevalence within that specific cohort’s own AD/CN-labeled samples — a per-cohort eligible universe rather than the shared pool — with 100,000 replicates per (model, N) combination and every cohort confirmed to have at least N eligible genera before running (no adaptation of N was required for N∈{10,20,50}). We report both nulls and do not assume that significance under the shared-pool null implies significance under the prevalence-restricted null, or vice versa. A genus was classified as a directional flip using the coefficient-stability criterion above, not from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reported in this paper. The initial classifier, PERMANOVA, batch-correction, and SHAP analyses (Sections 2.4–2.8, excluding the additions described below) used scikit-learn v1.5, lightgbm v4, shap v0.51, pandas v2.x, and numpy v1.x in a conda environment (Python 3.11), and vegan v2.6, sva v3.50 (ComBat-seq), and MMUPHin v1.15 in R v4.3. Analyses added in response to peer review — the training-only feature-selection sensitivity, label-blind batch correction, SHAP coefficient-stability screen, the matched-statistic Jaccard null (Sections 2.5.1, 2.7, 2.8), the Zhu 2022 repeated-CV and permutation robustness analyses (Section 2.4.1), the paired within-cohort-vs-LOCO AUC-difference bootstrap (Section 2.5.2), the pairwise beta-dispersion and Chinese-MiSeq PERMANOVA sensitivity analyses (Section 2.6), and the prevalence-restricted Jaccard null (Section 2.8) — were executed in Python 3.11.15 (scikit-learn 1.5.2, lightgbm 4.6.0, shap 0.51.0, matching the original Python package versions) and R 4.5.1 (vegan 2.7.1, sva 3.58.0, MMUPHin 1.24.0, newer than the initial R environment, reflecting routine system updates over the course of this project). This mixed provenance — original DADA2/R4.3 preprocessing feeding a downstream analysis that combines an unchanged Python environment with an updated R4.5.1 environment — is disclosed here rather than described as a single uniform environment.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 closely matching the single-partition training-only values (0.9956 and 0.9700, respectively) and showing that the near-perfect AUC is not an artifact of one particular fold assignment. This is a fold-assignment stability check, not an independent replication of the underlying 60-participant sample, which is identical across all 50 repetitions. A complementary label-permutation test under the same strict training-only pipeline and fixed outer-fold partition (1,000 permutations; Section 2.4.1) produced a null AUC distribution centered near chance for both models (logistic regression: null mean 0.473, SD 0.102, 95% range [0.280, 0.673]; LightGBM: null mean 0.472, SD 0.109, 95% range [0.264, 0.688]) — well below the observed training-only single-partition values of 0.9956 and 0.9700 respectively (Supplementary Table S9; Supplementary Figure S5). No permutation among the 1,000 drawn reached the observed AUC for either model, giving an empirical p-value at the resolution floor for this permutation count (p = 1/1,001 ≈ 0.000999 for both models); we report this p-value at its actual resolution and do not interpret it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described in Section 2.5.2 (10,000 replicates); see Section 2.5.2 for which other tables/figures in this paper use this same procedure versus the original 1,000-resample bootstrap.</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was used to formally compare the within-cohort and LOCO AUC difference for each of the eight cohort–model pairs, rather than relying on non-overlap of independently computed confidence intervals, which is not a formal test of a nonzero difference. Five of eight pairs showed a 95% bootstrap CI on the delta that excluded zero: Ling 2020 (logistic regression Δ=0.187, 95% CI [0.10, 0.28]; LightGBM Δ=0.188, 95% CI [0.10, 0.28]), Zhu 2022 (logistic regression Δ=0.184, 95% CI [0.07, 0.31]; LightGBM Δ=0.221, 95% CI [0.11, 0.35]), and Kazakhstan logistic regression (Δ=0.201, 95% CI [0.04, 0.36]). The remaining three pairs — Zhuang 2018 logistic regression (Δ=0.129, 95% CI [−0.05, 0.30], proportion of bootstrap replicates with Δ≤0: 0.079), Zhuang 2018 LightGBM (Δ=0.070, 95% CI [−0.10, 0.24], proportion Δ≤0: 0.214), and Kazakhstan LightGBM (Δ=0.104, 95% CI [−0.05, 0.26], proportion Δ≤0: 0.092) — showed the same-signed (within-cohort higher) point estimate but a 95% CI that included zero, and are not formally significant under this test despite the directional pattern being consistent across all eight pairs. We report this honestly rather than treating all eight LOCO drops as equally well-supported: the aggregate pattern of reduced cross-cohort performance is robust, but three of the eight individual cohort–model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S3).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formal significance for the AUC drop (Section 2.5.2; Supplementary Table S10): significant (95% CI on Δ excludes 0) for Ling 2020 (both models), Zhu 2022 (both models), and Kazakhstan LogReg; not significant at this sample size for Zhuang 2018 (both models) or Kazakhstan LGBM, despite all eight pairs showing the same-signed drop.</w:t>
      </w:r>
    </w:p>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not a decomposition of cohort into technical and biological components:</w:t>
      </w:r>
      <w:r>
        <w:t xml:space="preserve"> </w:t>
      </w:r>
      <w:r>
        <w:t xml:space="preserve">“cohort”</w:t>
      </w:r>
      <w:r>
        <w:t xml:space="preserve"> </w:t>
      </w:r>
      <w:r>
        <w:t xml:space="preserve">is a composite study-of-origin variable bundling sequencing platform, library preparation, recruitment site, diagnostic ascertainment, and unmeasured dietary/lifestyle factors, and PERMANOVA cannot separate these bundled sources (Section 2.6).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PERMANOVA specification to the three cohorts that are more technically comparable to one another — Zhuang 2018, Ling 2020, and Zhu 2022, all Chinese, paired-end MiSeq V3–V4 studies (Section 2.6) — reduced the disparity from approximately 12-fold to approximately 2.6-fold: cohort (marginal) R²=0.0588 (F=10.05, p=0.0001) versus diagnosis (marginal) R²=0.0229 (F=7.83, p=0.0001) in this n=317 subset (Supplementary Table S11). This subset is more technically comparable, not technically identical — recruitment site, exact diagnostic procedure, and unmeasured dietary factors still differ across these three studies — but removing Kazakhstan’s single-end/NovaSeq platform and Kim/KBASE’s separate country substantially changes the cohort-to-diagnosis variance ratio. We conclude that the ~12-fold figure computed on the full four-cohort set is not a stable, generalizable property of</w:t>
      </w:r>
      <w:r>
        <w:t xml:space="preserve"> </w:t>
      </w:r>
      <w:r>
        <w:t xml:space="preserve">“cohort effects versus disease effects”</w:t>
      </w:r>
      <w:r>
        <w:t xml:space="preserve"> </w:t>
      </w:r>
      <w:r>
        <w:t xml:space="preserve">in gut microbiome data; it is specific to the particular set of cohorts compared, and is driven substantially by the inclusion of cohorts that differ from one another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Pairwise post-hoc betadisper comparisons (Section 2.6; Supplementary Table S12) show this overall dispersion difference is not uniform across all cohort pairs: Ling 2020 differs significantly in dispersion from every other cohort (all Holm-adjusted p≤0.0063), and is the single cohort driving most of the significant pairwise comparisons, while shanghai2022 (Zhu 2022) vs. zhuang2018 (Holm p=0.439) and kazakhstan2022 vs. kbase2022 (Holm p=0.439) are not significantly different from one another in dispersion. Within the Chinese-MiSeq-only subset described above, dispersion remained significant (F=7.946, p=0.0004) and was again driven mainly by one cohort — zhuang2018 differed significantly from both ling2020 (p=0.0001) and shanghai2022 (p=0.026), while ling2020 and shanghai2022 did not differ significantly from each other (p=0.343). This dispersion heterogeneity is relevant to interpreting PERMANOVA effect sizes and is acknowledged in the Methods and Limitations sections.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8"/>
    <w:bookmarkStart w:id="29"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Under label-blind transductive adjustment, which did not use diagnosis labels during correction,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under this design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under the label-informed design was specific to that design — consistent with a correction model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therefore should not be interpreted as evidence that these correction methods generally degrade cross-cohort performance, or as evidence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provides a comparison free of diagnosis-label leakage during correction, because the label-blind correction never saw any sample’s diagnosis label. This comparison is not free of other confounding, however — it remains transductive (cohort membership and raw feature values are still used during correction) and retains whatever cohort/population confounding is otherwise present in the dataset.</w:t>
      </w:r>
      <w:r>
        <w:t xml:space="preserve"> </w:t>
      </w:r>
      <w:r>
        <w:rPr>
          <w:b/>
          <w:bCs/>
        </w:rPr>
        <w:t xml:space="preserve">We do not draw the same conclusion from within-cohort AUC on label-informed-corrected data — that comparison is additionally confounded by label use</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Concluding that</w:t>
      </w:r>
      <w:r>
        <w:t xml:space="preserve"> </w:t>
      </w:r>
      <w:r>
        <w:t xml:space="preserve">“within-cohort AUC preservation rules out indiscriminate signal removal”</w:t>
      </w:r>
      <w:r>
        <w:t xml:space="preserve"> </w:t>
      </w:r>
      <w:r>
        <w:t xml:space="preserve">requires a comparison free of diagnosis-label leakage during correction, which only the label-blind design provides; the label-blind within-cohort comparison supports this conclusion descriptively (Supplementary Table S5), without establishing it as strong biological evidence beyond the observed AUC values themselves, and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distribution constructed to match this statistic exactly (100,000 replicates, each averaging the six pairwise Jaccards among four random top-20 sets drawn from the full 396-genus pool; Section 2.8), logistic regression overlap was significantly above chance (null mean 0.027 [95% CI: 0.009–0.049]; p&lt;0.0001), and LightGBM overlap was also significantly above chance at this N (p=0.0048). A sensitivity check across N∈{10,20,50} under this same shared-pool null (Supplementary Table S7) shows logistic regression significant at all three thresholds, while LightGBM was significant at N=20 and N=50 but not at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every genus were equally available in every cohort, but per-cohort prevalence varies substantially (Section 2.8). Restricting each cohort’s top-N ranking and random draws to genera reaching ≥20% prevalence within that cohort’s own AD/CN samples (eligible universe sizes: 131 for Zhuang 2018, 126 for Ling 2020, 115 for Zhu 2022, 356 for Kazakhstan; 100,000 replicates per model/N) changes the LightGBM result: LightGBM overlap was</w:t>
      </w:r>
      <w:r>
        <w:t xml:space="preserve"> </w:t>
      </w:r>
      <w:r>
        <w:rPr>
          <w:b/>
          <w:bCs/>
        </w:rPr>
        <w:t xml:space="preserve">not significant at any of N=10, 20, or 50</w:t>
      </w:r>
      <w:r>
        <w:t xml:space="preserve"> </w:t>
      </w:r>
      <w:r>
        <w:t xml:space="preserve">under this prevalence-restricted null (observed mean Jaccard 0.018/0.063/0.167 vs. null mean 0.026/0.052/0.142; empirical p=0.80, 0.24, 0.061 respectively; Supplementary Table S13). Logistic regression remained significant at all three thresholds under the prevalence-restricted null (observed 0.085/0.135/0.231 vs. null mean 0.026/0.052/0.142; p=0.0017, 0.00003, 0.00001). We treat this as a genuine reversal rather than a discrepancy to be explained away: LightGBM’s cross-cohort top-predictor overlap, which appeared to be a real if small signal under the shared-pool null, is not distinguishable from chance once the null model accounts for each cohort’s own genus-prevalence structure. Logistic regression’s overlap is robust to this change and remains the stronger and more reliable cross-cohort taxonomic-overlap finding of the two models.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a smaller and more conservative set than a less rigorous alternative approach that classifies any genus with opposite-signed pooled mean SHAP across two cohorts as a</w:t>
      </w:r>
      <w:r>
        <w:t xml:space="preserve"> </w:t>
      </w:r>
      <w:r>
        <w:t xml:space="preserve">“flip”</w:t>
      </w:r>
      <w:r>
        <w:t xml:space="preserve"> </w:t>
      </w:r>
      <w:r>
        <w:t xml:space="preserve">— an approach that, applied to this dataset, would identify twelve such genera; the stability requirement removes genera whose apparent flip is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points for logistic regression and 0.146 for LightGBM, with one of eight model–cohort combinations near chance, demonstrates that within-cohort performance figures — whether from the original cohort publications or from this study’s own nested-CV estimates — cannot be taken as evidence of a generalizable diagnostic signal. A formal paired bootstrap test (Section 3.3) supports this drop for five of the eight cohort–model pairs at conventional significance; the remaining three pairs show the same directional pattern without reaching formal significance at this sample size, and we report this distinction rather than treating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2"/>
    <w:bookmarkStart w:id="33"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a fixed property of the data, however: restricted to the three more technically comparable Chinese paired-end MiSeq cohorts, the same marginal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w:t>
      </w:r>
      <w:r>
        <w:t xml:space="preserve"> </w:t>
      </w:r>
      <w:r>
        <w:t xml:space="preserve">“how separated”</w:t>
      </w:r>
      <w:r>
        <w:t xml:space="preserve"> </w:t>
      </w:r>
      <w:r>
        <w:t xml:space="preserve">cohorts are. Taken together, compositional structure was strongly associated with cohort-of-origin in the evaluated datasets, but the exact magnitude of that association is sensitive to cohort composition and dispersion structure, not a single stable number. Separately and equally empirically: batch correction, evaluated under a label-blind design that did not use any sample’s diagnosis label during correction,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Under the label-informed design, in which ComBat-seq and MMUPHin were both told every sample’s own true diagnosis label during a single joint fit across all four labeled cohorts (Section 2.7), ComBat-seq’s correction substantially worsened LOCO AUC (mean LogReg: 0.640→0.493, with one cohort collapsing to AUC=0.308). Repeating the identical comparison under a label-blind design — same cohorts, same raw features, same downstream LOCO classifiers, the only change being that no diagnosis label is supplied to the correction step — instead reproduces essentially flat LOCO AUC (Section 3.5, Table 4). This side-by-side comparison indicates that the severe degradation under the label-informed design was specific to that design and therefore should not be interpreted as evidence that these correction methods generally degrade cross-cohort performance, or as evidence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we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the label-blind transductive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The repeated-CV and label-permutation analyses (Section 2.4.1, Section 3.2) show this near-perfect estimate is stable to fold assignment and clearly distinguishable from a chance-label null; despite this stability, the estimate may still overstate population-level performance because it is derived from only 60 participants and has not been independently replicated.</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a hypothetical mixed-compartment analysis pooling fecal and blood samples together — a design this study avoided by excluding the blood samples at the outset (Section 2.4). We recommend that future AD microbiome studies report sample types explicitly and analyze each compartment independently before pooling.</w:t>
      </w:r>
    </w:p>
    <w:bookmarkEnd w:id="34"/>
    <w:bookmarkStart w:id="35" w:name="X8760b2c7f44609ac2536b415795b45d841bbb3a"/>
    <w:p>
      <w:pPr>
        <w:pStyle w:val="Heading3"/>
      </w:pPr>
      <w:r>
        <w:t xml:space="preserve">4.4 Coefficient-Sign Stability Screen: Descriptive Cross-Cohort Direction Heterogeneity</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contradictory directions of effect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A less conservative alternative approach — classifying a flip as any genus with opposite-signed</w:t>
      </w:r>
      <w:r>
        <w:t xml:space="preserve"> </w:t>
      </w:r>
      <w:r>
        <w:rPr>
          <w:i/>
          <w:iCs/>
        </w:rPr>
        <w:t xml:space="preserve">pooled mean SHAP</w:t>
      </w:r>
      <w:r>
        <w:t xml:space="preserve"> </w:t>
      </w:r>
      <w:r>
        <w:t xml:space="preserve">across two cohorts (a background-relative quantity, not the model’s coefficient; Section 2.8) — would identify twelve such genera for logistic regression and, using the same statistic, a further twelve for LightGBM. Requiring the direction to be reproducible across most of a cohort’s own outer folds, and grounding it in the fitted coefficient rather than a background-dependent SHAP quantity, is why this paper reports eight genera for logistic regression and none for LightGBM: a tree ensemble has no single coefficient-like global direction to test for stability in the first place (Section 2.8), so no LightGBM directional-flip count is reported anywhere in this paper.</w:t>
      </w:r>
    </w:p>
    <w:p>
      <w:pPr>
        <w:pStyle w:val="BodyText"/>
      </w:pPr>
      <w:r>
        <w:rPr>
          <w:i/>
          <w:iCs/>
        </w:rPr>
        <w:t xml:space="preserve">Romboutsia</w:t>
      </w:r>
      <w:r>
        <w:t xml:space="preserve"> </w:t>
      </w:r>
      <w:r>
        <w:t xml:space="preserve">shows the cleanest cohort-level pattern among the eight: a stable negative fitted coefficient in all three Chinese cohorts, and a stable positive coefficient in Kazakhstan; we offer no mechanistic hypothesis for this genus.</w:t>
      </w:r>
      <w:r>
        <w:t xml:space="preserve"> </w:t>
      </w:r>
      <w:r>
        <w:rPr>
          <w:i/>
          <w:iCs/>
        </w:rPr>
        <w:t xml:space="preserve">Lactobacillus</w:t>
      </w:r>
      <w:r>
        <w:t xml:space="preserve"> </w:t>
      </w:r>
      <w:r>
        <w:t xml:space="preserve">also meets the screen, but its per-cohort pattern (stable-negative in Zhuang 2018 only; stable-positive in the other three cohorts) does not cleanly separate by country. Diet is a plausible unmeasured confounder for genus-level cohort differences generally, but this dataset has no dietary covariate data, and we do not attribute any specific taxon’s pattern to diet or any other mechanism without such data.</w:t>
      </w:r>
    </w:p>
    <w:p>
      <w:pPr>
        <w:pStyle w:val="BodyText"/>
      </w:pPr>
      <w:r>
        <w:rPr>
          <w:i/>
          <w:iCs/>
        </w:rPr>
        <w:t xml:space="preserve">Akkermansia</w:t>
      </w:r>
      <w:r>
        <w:t xml:space="preserve"> </w:t>
      </w:r>
      <w:r>
        <w:t xml:space="preserve">illustrates why the coefficient-based, stability-gated definition matters: its pooled mean SHAP value appears to reverse sign between cohorts (Section 3.6), but its fitted logistic-regression coefficient is positive and stable (10 of 10 outer folds) in all four cohorts (Supplementary Table S6), meaning the model never learned an inconsistent direction for this genus; the apparent sign reversal is an artifact of the background-relative SHAP statistic, not a property of the fitted model.</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5"/>
    <w:bookmarkStart w:id="36"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clinical deployment across heterogeneous external cohorts without prospective validation. For example, a classifier trained on Zhuang 2018 and applied to Kazakhstan achieved AUC=0.566 for logistic regression and AUC=0.493 for LightGBM, performance near chance and inadequate for diagnostic deployment.</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PERMANOVA cannot decompose cohort into technical and biological sources, and the cohort-versus-diagnosis variance disparity is sensitive to which cohorts are compared.</w:t>
      </w:r>
      <w:r>
        <w:t xml:space="preserve"> </w:t>
      </w:r>
      <w:r>
        <w:t xml:space="preserve">“Cohort”</w:t>
      </w:r>
      <w:r>
        <w:t xml:space="preserve"> </w:t>
      </w:r>
      <w:r>
        <w:t xml:space="preserve">in this study is a composite study-of-origin variable bundling sequencing platform, library preparation, recruitment site, diagnostic ascertainment, and unmeasured dietary/lifestyle differences; PERMANOVA and betadisper estimate the total variance associated with this composite variable, not a technical-batch-effect estimate specifically, and no method used in this paper separates the two (Section 2.6). The approximately 12-fold cohort-versus-diagnosis disparity computed across all four labeled cohorts fell to approximately 2.6-fold when restricted to the three more technically comparable Chinese paired-end MiSeq cohorts (Section 3.4), indicating that this ratio is not a fixed property of</w:t>
      </w:r>
      <w:r>
        <w:t xml:space="preserve"> </w:t>
      </w:r>
      <w:r>
        <w:t xml:space="preserve">“cohort effects”</w:t>
      </w:r>
      <w:r>
        <w:t xml:space="preserve"> </w:t>
      </w:r>
      <w:r>
        <w:t xml:space="preserve">in gut microbiome data generally but depends substantially on which cohorts happen to be compared. Readers should not extrapolate the ~12-fold figure to other cohort sets.</w:t>
      </w:r>
    </w:p>
    <w:p>
      <w:pPr>
        <w:pStyle w:val="BodyText"/>
      </w:pPr>
      <w:r>
        <w:rPr>
          <w:b/>
          <w:bCs/>
        </w:rPr>
        <w:t xml:space="preserve">Jaccard overlap significance depends on the null model chosen, and one finding reverses depending on that choice.</w:t>
      </w:r>
      <w:r>
        <w:t xml:space="preserve"> </w:t>
      </w:r>
      <w:r>
        <w:t xml:space="preserve">LightGBM’s cross-cohort top-predictor overlap was significant at N=20/50 (not N=10) under a null that draws candidate genera uniformly from the shared 396-genus pool, but was not significant at any tested N under a null restricted to each cohort’s own ≥20%-prevalence genera (Section 3.6). We report both nulls and the resulting reversal rather than selecting whichever null supports a stronger claim. Logistic regression’s overlap was significant under both null designs at all tested N and is the more robust of the two cross-model findings.</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exploratory sensitivity analysis; its results (including the severe Kazakhstan collapse under label-informed ComBat-seq, Section 3.5) should not be read as evidence about batch correction’s effect on biological signal in general, since they are substantially confounded by the label-informed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in every repetition and therefore quantifies sensitivity to fold assignment, not sampling variability across independent samples; the label-permutation test in the same section is the analysis that formally tests whether the observed AUC exceeds chance. Separately, the formal paired bootstrap test of within-cohort-vs-LOCO AUC differences (Section 2.5.2, Section 3.3) found three of eight cohort–model pairs (Zhuang 2018, both models; Kazakhstan LightGBM) did not reach a 95% CI excluding zero, despite all eight showing the same-signed drop; we report this honestly rather than treating the aggregate mean drop as equally well-supported for every individual cohort–model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should be treated as empirical patterns worthy of targeted, covariate-adjusted, and independently-replicated follow-up, not as statistically confirmed mechanistic findings, and no dietary or other mechanistic attribution is made for any of them in the absence of covariate data. For LightGBM, no coefficient-like global direction exists, and no directional screen or flip count of any kind is reported for it anywhere in this paper.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this paper (</w:t>
      </w:r>
      <w:r>
        <w:rPr>
          <w:rStyle w:val="VerbatimChar"/>
        </w:rPr>
        <w:t xml:space="preserve">solver="saga"</w:t>
      </w:r>
      <w:r>
        <w:t xml:space="preserve">) are configured with</w:t>
      </w:r>
      <w:r>
        <w:t xml:space="preserve"> </w:t>
      </w:r>
      <w:r>
        <w:rPr>
          <w:rStyle w:val="VerbatimChar"/>
        </w:rPr>
        <w:t xml:space="preserve">penalty="l2"</w:t>
      </w:r>
      <w:r>
        <w:t xml:space="preserve"> </w:t>
      </w:r>
      <w:r>
        <w:t xml:space="preserve">(not</w:t>
      </w:r>
      <w:r>
        <w:t xml:space="preserve"> </w:t>
      </w:r>
      <w:r>
        <w:rPr>
          <w:rStyle w:val="VerbatimChar"/>
        </w:rPr>
        <w:t xml:space="preserve">"elasticnet"</w:t>
      </w:r>
      <w:r>
        <w:t xml:space="preserve">), and are therefore L2 (ridge)-regularized. An</w:t>
      </w:r>
      <w:r>
        <w:t xml:space="preserve"> </w:t>
      </w:r>
      <w:r>
        <w:rPr>
          <w:rStyle w:val="VerbatimChar"/>
        </w:rPr>
        <w:t xml:space="preserve">l1_ratio</w:t>
      </w:r>
      <w:r>
        <w:t xml:space="preserve"> </w:t>
      </w:r>
      <w:r>
        <w:t xml:space="preserve">parameter is present in the estimator configuration but is silently ignored by scikit-learn under the L2 penalty. One consequence is that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the near-perfect Zhu 2022 result was stable across 50 repeated cross-validation partitions (mean AUC=0.9955 for logistic regression and 0.9760 for LightGBM) and was distinguishable from a label-permutation null. LOCO cross-cohort AUC values fell to 0.504–0.813, a mean drop of 0.176 AUC points for logistic regression and 0.146 for LightGBM; a formal paired bootstrap test found this drop statistically supported for five of eight cohort–model pairs (Ling 2020 and Zhu 2022, both models; Kazakhstan logistic regression), with the remaining three pairs (Zhuang 2018, both models; Kazakhstan LightGBM) showing the same directional pattern without reaching formal statistical support at this sample size. This generalization-limitation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attributable in substantial part to the label-informed design itself rather than to an intrinsic property of the correction algorithms. PERMANOVA revealed that cohort identity explained substantially more compositional variance than disease status (marginal R²: 0.172 vs. 0.014, approximately 12-fold, across the four labeled cohorts) — an empirical measure of relative heterogeneity in a composite, study-of-origin variable that PERMANOVA cannot decompose into technical and biological sources, and that does not by itself explain the batch-correction results. This disparity is sensitive to cohort composition: restricted to the three more technically comparable Chinese MiSeq cohorts, it falls to approximately 2.6-fold (R²=0.059 vs. 0.023), and pairwise dispersion comparisons show the overall dispersion effect is driven predominantly by one cohort rather than uniformly. A cohort identity classifier achieved macro-AUC=0.9917, confirming that cohort structure dominates the feature space regardless of its technical or biological composition. Sensitivity analyses confirmed that generalization failure persists across all three prespecified cohort-exclusion configurations. Out-of-fold SHAP analysis identified near-zero taxon overlap between cohort-specific predictive signatures (mean Jaccard 0.135 for logistic regression and 0.058 for LightGBM); against a null matched to the observed statistic’s construction, logistic regression overlap was significant at all tested N, while LightGBM was significant at N=20/50 but not N=10 under a shared-genus-pool null, and was not significant at any N under a more realistic per-cohort prevalence-restricted null — a result we report as a genuine reversal rather than preserving the earlier, less rigorous finding. Using a pre-specified descriptive coefficient-sign-stability screen (not a formal hypothesis test), eight genera for logistic regression showed opposite, stable fitted-coefficient direction across cohorts; no comparable screen is applied to LightGBM, which has no single coefficient-like global direction. These findings demonstrate substantial cross-cohort generalization limitations among the evaluated publicly available 16S datasets; the two batch-correction methods tested under the label-blind transductive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2026-09-14T17:08:52Z</dcterms:created>
  <dcterms:modified xsi:type="dcterms:W3CDTF">2026-09-14T17:08:52Z</dcterms:modified>
</cp:coreProperties>
</file>

<file path=docProps/custom.xml><?xml version="1.0" encoding="utf-8"?>
<Properties xmlns="http://schemas.openxmlformats.org/officeDocument/2006/custom-properties" xmlns:vt="http://schemas.openxmlformats.org/officeDocument/2006/docPropsVTypes"/>
</file>