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31.jpg" ContentType="image/jpeg"/>
  <Override PartName="/word/media/rId35.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materials"/>
    <w:p>
      <w:pPr>
        <w:pStyle w:val="Heading1"/>
      </w:pPr>
      <w:r>
        <w:t xml:space="preserve">Supplementary Materials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cohort-level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country-level split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(zhuang2018=86, ling2020=171, shanghai2022/Zhu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 pairwise (Table S12): zhuang2018 vs. ling2020 p=0.0001, zhuang2018 vs. shanghai2022 p=0.026, ling2020 vs. shanghai2022 p=0.343 (not significant).</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F (observed)</w:t>
            </w:r>
          </w:p>
        </w:tc>
        <w:tc>
          <w:tcPr/>
          <w:p>
            <w:pPr>
              <w:pStyle w:val="Compact"/>
            </w:pPr>
            <w:r>
              <w:t xml:space="preserve">p (unadjusted)</w:t>
            </w:r>
          </w:p>
        </w:tc>
        <w:tc>
          <w:tcPr/>
          <w:p>
            <w:pPr>
              <w:pStyle w:val="Compact"/>
            </w:pPr>
            <w:r>
              <w:t xml:space="preserve">p (Holm)</w:t>
            </w:r>
          </w:p>
        </w:tc>
        <w:tc>
          <w:tcPr/>
          <w:p>
            <w:pPr>
              <w:pStyle w:val="Compact"/>
            </w:pPr>
            <w:r>
              <w:t xml:space="preserve">p (BH)</w:t>
            </w:r>
          </w:p>
        </w:tc>
      </w:tr>
      <w:tr>
        <w:tc>
          <w:tcPr/>
          <w:p>
            <w:pPr>
              <w:pStyle w:val="Compact"/>
            </w:pPr>
            <w:r>
              <w:t xml:space="preserve">kazakhstan2022–ling2020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kbase2022–ling2020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ling2020–zhuang2018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kazakhstan2022–shanghai2022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kbase2022–shanghai2022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ling2020–shanghai2022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kazakhstan2022–zhuang2018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kbase2022–zhuang2018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shanghai2022–zhuang2018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kazakhstan2022–kbase2022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Ling 2020 differs significantly in dispersion from every other cohort (all Holm-adjusted p≤0.0063) and is the cohort driving most of the overall significant dispersion difference (Section 3.4). shanghai2022 (Zhu 2022) vs. zhuang2018 and kazakhstan2022 vs. kbase2022 are not significantly different in dispersion after adjustment.</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zhuang2018=131, ling2020=126, shanghai2022=115, kazakhstan2022=356).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43" w:name="supplementary-figures"/>
    <w:p>
      <w:pPr>
        <w:pStyle w:val="Heading2"/>
      </w:pPr>
      <w:r>
        <w:t xml:space="preserve">Supplementary Figures</w:t>
      </w:r>
    </w:p>
    <w:bookmarkStart w:id="26"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[0.94–1.00]. The near-perfect within-cohort AUC should be interpreted cautiously given the small sample size (30 per class); see Section 3.2 and Section 4.3 for discussion. Error bars = 95% CI from the diagnosis-stratified, participant-level bootstrap (10,000 replicates; Section 2.5.2), matching Table 2.</w:t>
      </w:r>
    </w:p>
    <w:p>
      <w:pPr>
        <w:pStyle w:val="BodyText"/>
      </w:pPr>
      <w:r>
        <w:rPr>
          <w:i/>
          <w:iCs/>
        </w:rPr>
        <w:t xml:space="preserve">Source data:</w:t>
      </w:r>
      <w:r>
        <w:t xml:space="preserve"> </w:t>
      </w:r>
      <w:r>
        <w:t xml:space="preserve">results/model_outputs/within_cohort_cv/shanghai2022_*.csv</w:t>
      </w:r>
      <w:r>
        <w:t xml:space="preserve"> </w:t>
      </w:r>
      <w:r>
        <w:drawing>
          <wp:inline>
            <wp:extent cx="3002280" cy="3425952"/>
            <wp:effectExtent b="0" l="0" r="0" t="0"/>
            <wp:docPr descr="Figure S1" title="" id="24" name="Picture"/>
            <a:graphic>
              <a:graphicData uri="http://schemas.openxmlformats.org/drawingml/2006/picture">
                <pic:pic>
                  <pic:nvPicPr>
                    <pic:cNvPr descr="/Users/arhan/Desktop/microbiome-ad-generalization/results/figures/final_supplementary/Figure_S1.jpg" id="25" name="Picture"/>
                    <pic:cNvPicPr>
                      <a:picLocks noChangeArrowheads="1" noChangeAspect="1"/>
                    </pic:cNvPicPr>
                  </pic:nvPicPr>
                  <pic:blipFill>
                    <a:blip r:embed="rId23"/>
                    <a:stretch>
                      <a:fillRect/>
                    </a:stretch>
                  </pic:blipFill>
                  <pic:spPr bwMode="auto">
                    <a:xfrm>
                      <a:off x="0" y="0"/>
                      <a:ext cx="3002280" cy="3425952"/>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results/figures/final_supplementary/Figure_S1.jpg</w:t>
      </w:r>
    </w:p>
    <w:p>
      <w:r>
        <w:pict>
          <v:rect style="width:0;height:1.5pt" o:hralign="center" o:hrstd="t" o:hr="t"/>
        </w:pict>
      </w:r>
    </w:p>
    <w:bookmarkEnd w:id="26"/>
    <w:bookmarkStart w:id="30"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CaptionedFigure"/>
      </w:pPr>
      <w:r>
        <w:drawing>
          <wp:inline>
            <wp:extent cx="5334000" cy="4957182"/>
            <wp:effectExtent b="0" l="0" r="0" t="0"/>
            <wp:docPr descr="Figure S2" title="" id="28" name="Picture"/>
            <a:graphic>
              <a:graphicData uri="http://schemas.openxmlformats.org/drawingml/2006/picture">
                <pic:pic>
                  <pic:nvPicPr>
                    <pic:cNvPr descr="/Users/arhan/Desktop/microbiome-ad-generalization/results/figures/final_supplementary/Figure_S2.jpg" id="29" name="Picture"/>
                    <pic:cNvPicPr>
                      <a:picLocks noChangeArrowheads="1" noChangeAspect="1"/>
                    </pic:cNvPicPr>
                  </pic:nvPicPr>
                  <pic:blipFill>
                    <a:blip r:embed="rId27"/>
                    <a:stretch>
                      <a:fillRect/>
                    </a:stretch>
                  </pic:blipFill>
                  <pic:spPr bwMode="auto">
                    <a:xfrm>
                      <a:off x="0" y="0"/>
                      <a:ext cx="5334000" cy="4957182"/>
                    </a:xfrm>
                    <a:prstGeom prst="rect">
                      <a:avLst/>
                    </a:prstGeom>
                    <a:noFill/>
                    <a:ln w="9525">
                      <a:noFill/>
                      <a:headEnd/>
                      <a:tailEnd/>
                    </a:ln>
                  </pic:spPr>
                </pic:pic>
              </a:graphicData>
            </a:graphic>
          </wp:inline>
        </w:drawing>
      </w:r>
    </w:p>
    <w:p>
      <w:pPr>
        <w:pStyle w:val="ImageCaption"/>
      </w:pPr>
      <w:r>
        <w:t xml:space="preserve">Figure S2</w:t>
      </w:r>
    </w:p>
    <w:p>
      <w:pPr>
        <w:pStyle w:val="BodyText"/>
      </w:pPr>
      <w:r>
        <w:rPr>
          <w:i/>
          <w:iCs/>
        </w:rPr>
        <w:t xml:space="preserve">Source figure:</w:t>
      </w:r>
      <w:r>
        <w:t xml:space="preserve"> </w:t>
      </w:r>
      <w:r>
        <w:rPr>
          <w:rStyle w:val="VerbatimChar"/>
        </w:rPr>
        <w:t xml:space="preserve">results/figures/final_supplementary/Figure_S2.jpg</w:t>
      </w:r>
    </w:p>
    <w:p>
      <w:r>
        <w:pict>
          <v:rect style="width:0;height:1.5pt" o:hralign="center" o:hrstd="t" o:hr="t"/>
        </w:pict>
      </w:r>
    </w:p>
    <w:bookmarkEnd w:id="30"/>
    <w:bookmarkStart w:id="34" w:name="X6fecba5033db8f27bce96d13754301a47ae5629"/>
    <w:p>
      <w:pPr>
        <w:pStyle w:val="Heading3"/>
      </w:pPr>
      <w:r>
        <w:t xml:space="preserve">Figure S3.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(1,000 resamples on the test-set predictions; the non-stratified procedure described in Section 2.5, not the diagnosis-stratified 10,000-replicate procedure used for the main four-cohort LOCO results).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drawing>
          <wp:inline>
            <wp:extent cx="5334000" cy="1861530"/>
            <wp:effectExtent b="0" l="0" r="0" t="0"/>
            <wp:docPr descr="Figure S3" title="" id="32" name="Picture"/>
            <a:graphic>
              <a:graphicData uri="http://schemas.openxmlformats.org/drawingml/2006/picture">
                <pic:pic>
                  <pic:nvPicPr>
                    <pic:cNvPr descr="/Users/arhan/Desktop/microbiome-ad-generalization/results/figures/final_supplementary/Figure_S3.jpg" id="33" name="Picture"/>
                    <pic:cNvPicPr>
                      <a:picLocks noChangeArrowheads="1" noChangeAspect="1"/>
                    </pic:cNvPicPr>
                  </pic:nvPicPr>
                  <pic:blipFill>
                    <a:blip r:embed="rId31"/>
                    <a:stretch>
                      <a:fillRect/>
                    </a:stretch>
                  </pic:blipFill>
                  <pic:spPr bwMode="auto">
                    <a:xfrm>
                      <a:off x="0" y="0"/>
                      <a:ext cx="5334000" cy="1861530"/>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results/figures/final_supplementary/Figure_S3.jpg</w:t>
      </w:r>
    </w:p>
    <w:p>
      <w:r>
        <w:pict>
          <v:rect style="width:0;height:1.5pt" o:hralign="center" o:hrstd="t" o:hr="t"/>
        </w:pict>
      </w:r>
    </w:p>
    <w:bookmarkEnd w:id="34"/>
    <w:bookmarkStart w:id="38" w:name="X64724aa74fe76fb874af47707bf13caf78cbcee"/>
    <w:p>
      <w:pPr>
        <w:pStyle w:val="Heading3"/>
      </w:pPr>
      <w:r>
        <w:t xml:space="preserve">Figure S4.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Error bars = 95% bootstrap CI (1,000 resamples on the test-set predictions, the same non-stratified procedure used for Table 4/Figure 5; not part of the diagnosis-stratified 10,000-replicate regeneration in Section 2.5.2). This design is retained as an</w:t>
      </w:r>
      <w:r>
        <w:t xml:space="preserve"> </w:t>
      </w:r>
      <w:r>
        <w:rPr>
          <w:b/>
          <w:bCs/>
        </w:rPr>
        <w:t xml:space="preserve">explicitly-labeled exploratory sensitivity analysis only</w:t>
      </w:r>
      <w:r>
        <w:t xml:space="preserve">, because a correction step that is fit using every sample’s own true diagnosis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drawing>
          <wp:inline>
            <wp:extent cx="5334000" cy="2230668"/>
            <wp:effectExtent b="0" l="0" r="0" t="0"/>
            <wp:docPr descr="Figure S4" title="" id="36" name="Picture"/>
            <a:graphic>
              <a:graphicData uri="http://schemas.openxmlformats.org/drawingml/2006/picture">
                <pic:pic>
                  <pic:nvPicPr>
                    <pic:cNvPr descr="/Users/arhan/Desktop/microbiome-ad-generalization/results/figures/final_supplementary/Figure_S4.jpg" id="37" name="Picture"/>
                    <pic:cNvPicPr>
                      <a:picLocks noChangeArrowheads="1" noChangeAspect="1"/>
                    </pic:cNvPicPr>
                  </pic:nvPicPr>
                  <pic:blipFill>
                    <a:blip r:embed="rId35"/>
                    <a:stretch>
                      <a:fillRect/>
                    </a:stretch>
                  </pic:blipFill>
                  <pic:spPr bwMode="auto">
                    <a:xfrm>
                      <a:off x="0" y="0"/>
                      <a:ext cx="5334000" cy="2230668"/>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results/figures/final_supplementary/Figure_S4.jpg</w:t>
      </w:r>
    </w:p>
    <w:p>
      <w:r>
        <w:pict>
          <v:rect style="width:0;height:1.5pt" o:hralign="center" o:hrstd="t" o:hr="t"/>
        </w:pict>
      </w:r>
    </w:p>
    <w:bookmarkEnd w:id="38"/>
    <w:bookmarkStart w:id="42" w:name="X19c9ed2781c446d999505ad52bd6760e3bfff58"/>
    <w:p>
      <w:pPr>
        <w:pStyle w:val="Heading3"/>
      </w:pPr>
      <w:r>
        <w:t xml:space="preserve">Figure S5.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entire training-only pipeline re-run inside every outer fold for each permutation),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drawing>
          <wp:inline>
            <wp:extent cx="4800600" cy="3593166"/>
            <wp:effectExtent b="0" l="0" r="0" t="0"/>
            <wp:docPr descr="Figure S5" title="" id="40" name="Picture"/>
            <a:graphic>
              <a:graphicData uri="http://schemas.openxmlformats.org/drawingml/2006/picture">
                <pic:pic>
                  <pic:nvPicPr>
                    <pic:cNvPr descr="/Users/arhan/Desktop/microbiome-ad-generalization/results/figures/final_supplementary/Figure_S5.png" id="41" name="Picture"/>
                    <pic:cNvPicPr>
                      <a:picLocks noChangeArrowheads="1" noChangeAspect="1"/>
                    </pic:cNvPicPr>
                  </pic:nvPicPr>
                  <pic:blipFill>
                    <a:blip r:embed="rId39"/>
                    <a:stretch>
                      <a:fillRect/>
                    </a:stretch>
                  </pic:blipFill>
                  <pic:spPr bwMode="auto">
                    <a:xfrm>
                      <a:off x="0" y="0"/>
                      <a:ext cx="4800600" cy="3593166"/>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results/figures/final_supplementary/Figure_S5.png</w:t>
      </w:r>
    </w:p>
    <w:p>
      <w:r>
        <w:pict>
          <v:rect style="width:0;height:1.5pt" o:hralign="center" o:hrstd="t" o:hr="t"/>
        </w:pict>
      </w:r>
    </w:p>
    <w:bookmarkEnd w:id="42"/>
    <w:bookmarkEnd w:id="43"/>
    <w:bookmarkStart w:id="47" w:name="supplementary-notes"/>
    <w:p>
      <w:pPr>
        <w:pStyle w:val="Heading2"/>
      </w:pPr>
      <w:r>
        <w:t xml:space="preserve">Supplementary Notes</w:t>
      </w:r>
    </w:p>
    <w:bookmarkStart w:id="44"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44"/>
    <w:bookmarkStart w:id="45"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bookmarkEnd w:id="45"/>
    <w:bookmarkStart w:id="46" w:name="Xb88876057350b14810a83397db7797e14021c36"/>
    <w:p>
      <w:pPr>
        <w:pStyle w:val="Heading3"/>
      </w:pPr>
      <w:r>
        <w:t xml:space="preserve">Note S3. LOCO SHAP Direction Not Reported</w:t>
      </w:r>
    </w:p>
    <w:p>
      <w:pPr>
        <w:pStyle w:val="FirstParagraph"/>
      </w:pPr>
      <w:r>
        <w:rPr>
          <w:b/>
          <w:bCs/>
        </w:rPr>
        <w:t xml:space="preserve">No figure or table showing a signed AD/CN direction for LOCO SHAP values is included in this paper.</w:t>
      </w:r>
      <w:r>
        <w:t xml:space="preserve"> </w:t>
      </w:r>
      <w:r>
        <w:t xml:space="preserve">Mean signed SHAP is not a valid direction statistic in general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top-importance genus per held-out cohort is: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p>
      <w:pPr>
        <w:pStyle w:val="FirstParagraph"/>
      </w:pPr>
      <w:r>
        <w:rPr>
          <w:i/>
          <w:iCs/>
        </w:rPr>
        <w:t xml:space="preserve">End of Supplementary Materials</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2026-09-14T17:13:01Z</dcterms:created>
  <dcterms:modified xsi:type="dcterms:W3CDTF">2026-09-14T17:13:01Z</dcterms:modified>
</cp:coreProperties>
</file>

<file path=docProps/custom.xml><?xml version="1.0" encoding="utf-8"?>
<Properties xmlns="http://schemas.openxmlformats.org/officeDocument/2006/custom-properties" xmlns:vt="http://schemas.openxmlformats.org/officeDocument/2006/docPropsVTypes"/>
</file>