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End w:id="12"/>
    <w:bookmarkStart w:id="18" w:name="supplementary-figures"/>
    <w:p>
      <w:pPr>
        <w:pStyle w:val="Heading2"/>
      </w:pPr>
      <w:r>
        <w:t xml:space="preserve">Supplementary Figures</w:t>
      </w:r>
    </w:p>
    <w:bookmarkStart w:id="1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3"/>
    <w:bookmarkStart w:id="14"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Red bars = AD-associated (positive mean signed SHAP); blue bars = CN-associated (negative mean signed SHAP). Top taxon per cohort: Lachnoclostridium (Zhuang 2018, CN-associated, |SHAP|=0.560), Akkermansia (Ling 2020, CN-associated, |SHAP|=0.947), Bacteroides (Zhu 2022, AD-associated, |SHAP|=1.243), Castellaniella (Kazakhstan, CN-associated, |SHAP|=0.614). Mean pairwise Jaccard similarity at top-20: 0.058, within the null 95% CI of a random-draw baseline (Section 2.8). LightGBM directional flips (top-20, 12 taxa): Agathobacter, Akkermansia, Bacteroides, Colidextribacter, Faecalibacterium, Incertae Sedis, Lachnospira, Lactobacillus, Oscillibacter, Romboutsia, Roseburia, [Eubacterium] siraeum group.</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w:t>
      </w:r>
    </w:p>
    <w:p>
      <w:r>
        <w:pict>
          <v:rect style="width:0;height:1.5pt" o:hralign="center" o:hrstd="t" o:hr="t"/>
        </w:pict>
      </w:r>
    </w:p>
    <w:bookmarkEnd w:id="14"/>
    <w:bookmarkStart w:id="15" w:name="X5ae1b787fe659662284fc144d2c358c0628c584"/>
    <w:p>
      <w:pPr>
        <w:pStyle w:val="Heading3"/>
      </w:pPr>
      <w:r>
        <w:t xml:space="preserve">Figure S3a. LOCO SHAP Direction — Logistic Regression</w:t>
      </w:r>
    </w:p>
    <w:p>
      <w:pPr>
        <w:pStyle w:val="FirstParagraph"/>
      </w:pPr>
      <w:r>
        <w:rPr>
          <w:b/>
          <w:bCs/>
        </w:rPr>
        <w:t xml:space="preserve">Caption:</w:t>
      </w:r>
      <w:r>
        <w:t xml:space="preserve"> </w:t>
      </w:r>
      <w:r>
        <w:t xml:space="preserve">Out-of-fold SHAP values computed for LOCO-trained logistic regression classifiers (trained on the pooled other three cohorts, with that training pool as the SHAP background distribution) and evaluated on each held-out test cohort. Points show the top genera by mean |SHAP| on the held-out test data; x-position gives the signed mean SHAP value on the held-out cohort (positive = AD-associated, negative = CN-associated).</w:t>
      </w:r>
    </w:p>
    <w:p>
      <w:pPr>
        <w:pStyle w:val="BodyText"/>
      </w:pPr>
      <w:r>
        <w:t xml:space="preserve">Top-1 LOCO SHAP taxon per held-out cohort (logistic regression): held-out Zhuang 2018 —</w:t>
      </w:r>
      <w:r>
        <w:t xml:space="preserve"> </w:t>
      </w:r>
      <w:r>
        <w:rPr>
          <w:i/>
          <w:iCs/>
        </w:rPr>
        <w:t xml:space="preserve">Akkermansia</w:t>
      </w:r>
      <w:r>
        <w:t xml:space="preserve"> </w:t>
      </w:r>
      <w:r>
        <w:t xml:space="preserve">(CN-associated, |SHAP|=0.470); held-out Ling 2020 —</w:t>
      </w:r>
      <w:r>
        <w:t xml:space="preserve"> </w:t>
      </w:r>
      <w:r>
        <w:rPr>
          <w:i/>
          <w:iCs/>
        </w:rPr>
        <w:t xml:space="preserve">Subdoligranulum</w:t>
      </w:r>
      <w:r>
        <w:t xml:space="preserve"> </w:t>
      </w:r>
      <w:r>
        <w:t xml:space="preserve">(AD-associated, |SHAP|=0.269); held-out Zhu 2022 —</w:t>
      </w:r>
      <w:r>
        <w:t xml:space="preserve"> </w:t>
      </w:r>
      <w:r>
        <w:rPr>
          <w:i/>
          <w:iCs/>
        </w:rPr>
        <w:t xml:space="preserve">Akkermansia</w:t>
      </w:r>
      <w:r>
        <w:t xml:space="preserve"> </w:t>
      </w:r>
      <w:r>
        <w:t xml:space="preserve">(CN-associated, |SHAP|=0.372); held-out Kazakhstan —</w:t>
      </w:r>
      <w:r>
        <w:t xml:space="preserve"> </w:t>
      </w:r>
      <w:r>
        <w:rPr>
          <w:i/>
          <w:iCs/>
        </w:rPr>
        <w:t xml:space="preserve">Christensenellaceae</w:t>
      </w:r>
      <w:r>
        <w:t xml:space="preserve"> </w:t>
      </w:r>
      <w:r>
        <w:t xml:space="preserve">R-7 group (AD-associated, |SHAP|=0.368).</w:t>
      </w:r>
      <w:r>
        <w:t xml:space="preserve"> </w:t>
      </w:r>
      <w:r>
        <w:rPr>
          <w:i/>
          <w:iCs/>
        </w:rPr>
        <w:t xml:space="preserve">Akkermansia</w:t>
      </w:r>
      <w:r>
        <w:t xml:space="preserve"> </w:t>
      </w:r>
      <w:r>
        <w:t xml:space="preserve">is the top LOCO predictor for two of the four held-out cohorts (Zhuang 2018, Zhu 2022), both CN-associated in the LOCO setting; no genus is top-ranked in all four conditions. This recurrence does not indicate a stable transferable signal —</w:t>
      </w:r>
      <w:r>
        <w:t xml:space="preserve"> </w:t>
      </w:r>
      <w:r>
        <w:rPr>
          <w:i/>
          <w:iCs/>
        </w:rPr>
        <w:t xml:space="preserve">Akkermansia</w:t>
      </w:r>
      <w:r>
        <w:t xml:space="preserve">’s role is directionally inconsistent in the underlying within-cohort SHAP analysis (Figure 6; Section 3.6), where it is a directional-flip taxon with a 2/2 CN/AD split across the same four cohorts. The pattern is consistent with cross-cohort classifiers activating whichever genera most closely resemble their training-cohort signature rather than a disease marker that generalizes across populations.</w:t>
      </w:r>
    </w:p>
    <w:p>
      <w:pPr>
        <w:pStyle w:val="BodyText"/>
      </w:pPr>
      <w:r>
        <w:rPr>
          <w:i/>
          <w:iCs/>
        </w:rPr>
        <w:t xml:space="preserve">Source figure:</w:t>
      </w:r>
      <w:r>
        <w:t xml:space="preserve"> </w:t>
      </w:r>
      <w:r>
        <w:rPr>
          <w:rStyle w:val="VerbatimChar"/>
        </w:rPr>
        <w:t xml:space="preserve">results/figures/supp_fig_s3a.jpg</w:t>
      </w:r>
      <w:r>
        <w:t xml:space="preserve"> </w:t>
      </w:r>
      <w:r>
        <w:t xml:space="preserve">(built from</w:t>
      </w:r>
      <w:r>
        <w:t xml:space="preserve"> </w:t>
      </w:r>
      <w:r>
        <w:rPr>
          <w:rStyle w:val="VerbatimChar"/>
        </w:rPr>
        <w:t xml:space="preserve">results/figures/working/shap_loco_direction_logreg.png</w:t>
      </w:r>
      <w:r>
        <w:t xml:space="preserve">)</w:t>
      </w:r>
    </w:p>
    <w:p>
      <w:r>
        <w:pict>
          <v:rect style="width:0;height:1.5pt" o:hralign="center" o:hrstd="t" o:hr="t"/>
        </w:pict>
      </w:r>
    </w:p>
    <w:bookmarkEnd w:id="15"/>
    <w:bookmarkStart w:id="16" w:name="figure-s3b.-loco-shap-direction-lightgbm"/>
    <w:p>
      <w:pPr>
        <w:pStyle w:val="Heading3"/>
      </w:pPr>
      <w:r>
        <w:t xml:space="preserve">Figure S3b. LOCO SHAP Direction — LightGBM</w:t>
      </w:r>
    </w:p>
    <w:p>
      <w:pPr>
        <w:pStyle w:val="FirstParagraph"/>
      </w:pPr>
      <w:r>
        <w:rPr>
          <w:b/>
          <w:bCs/>
        </w:rPr>
        <w:t xml:space="preserve">Caption:</w:t>
      </w:r>
      <w:r>
        <w:t xml:space="preserve"> </w:t>
      </w:r>
      <w:r>
        <w:t xml:space="preserve">Out-of-fold SHAP values computed for LOCO-trained LightGBM classifiers, evaluated on each held-out test cohort, parallel to Figure S3a.</w:t>
      </w:r>
    </w:p>
    <w:p>
      <w:pPr>
        <w:pStyle w:val="BodyText"/>
      </w:pPr>
      <w:r>
        <w:t xml:space="preserve">Top-1 LOCO SHAP taxon per held-out cohort (LightGBM): held-out Zhuang 2018 —</w:t>
      </w:r>
      <w:r>
        <w:t xml:space="preserve"> </w:t>
      </w:r>
      <w:r>
        <w:rPr>
          <w:i/>
          <w:iCs/>
        </w:rPr>
        <w:t xml:space="preserve">Akkermansia</w:t>
      </w:r>
      <w:r>
        <w:t xml:space="preserve"> </w:t>
      </w:r>
      <w:r>
        <w:t xml:space="preserve">(CN-associated, |SHAP|=0.844); held-out Ling 2020 —</w:t>
      </w:r>
      <w:r>
        <w:t xml:space="preserve"> </w:t>
      </w:r>
      <w:r>
        <w:rPr>
          <w:i/>
          <w:iCs/>
        </w:rPr>
        <w:t xml:space="preserve">[Eubacterium] xylanophilum</w:t>
      </w:r>
      <w:r>
        <w:t xml:space="preserve"> </w:t>
      </w:r>
      <w:r>
        <w:t xml:space="preserve">group (AD-associated, |SHAP|=0.518); held-out Zhu 2022 —</w:t>
      </w:r>
      <w:r>
        <w:t xml:space="preserve"> </w:t>
      </w:r>
      <w:r>
        <w:rPr>
          <w:i/>
          <w:iCs/>
        </w:rPr>
        <w:t xml:space="preserve">Akkermansia</w:t>
      </w:r>
      <w:r>
        <w:t xml:space="preserve"> </w:t>
      </w:r>
      <w:r>
        <w:t xml:space="preserve">(CN-associated, |SHAP|=0.789); held-out Kazakhstan —</w:t>
      </w:r>
      <w:r>
        <w:t xml:space="preserve"> </w:t>
      </w:r>
      <w:r>
        <w:rPr>
          <w:i/>
          <w:iCs/>
        </w:rPr>
        <w:t xml:space="preserve">[Eubacterium] xylanophilum</w:t>
      </w:r>
      <w:r>
        <w:t xml:space="preserve"> </w:t>
      </w:r>
      <w:r>
        <w:t xml:space="preserve">group (CN-associated, |SHAP|=0.521). As with logistic regression,</w:t>
      </w:r>
      <w:r>
        <w:t xml:space="preserve"> </w:t>
      </w:r>
      <w:r>
        <w:rPr>
          <w:i/>
          <w:iCs/>
        </w:rPr>
        <w:t xml:space="preserve">Akkermansia</w:t>
      </w:r>
      <w:r>
        <w:t xml:space="preserve"> </w:t>
      </w:r>
      <w:r>
        <w:t xml:space="preserve">recurs as the top predictor for two of four held-out cohorts (both CN-associated) while</w:t>
      </w:r>
      <w:r>
        <w:t xml:space="preserve"> </w:t>
      </w:r>
      <w:r>
        <w:rPr>
          <w:i/>
          <w:iCs/>
        </w:rPr>
        <w:t xml:space="preserve">[Eubacterium] xylanophilum</w:t>
      </w:r>
      <w:r>
        <w:t xml:space="preserve"> </w:t>
      </w:r>
      <w:r>
        <w:t xml:space="preserve">group tops the other two with opposite directions between them (AD for Ling 2020, CN for Kazakhstan) — no single genus is both top-ranked and directionally consistent across all four held-out conditions for either model.</w:t>
      </w:r>
    </w:p>
    <w:p>
      <w:pPr>
        <w:pStyle w:val="BodyText"/>
      </w:pPr>
      <w:r>
        <w:rPr>
          <w:i/>
          <w:iCs/>
        </w:rPr>
        <w:t xml:space="preserve">Source figure:</w:t>
      </w:r>
      <w:r>
        <w:t xml:space="preserve"> </w:t>
      </w:r>
      <w:r>
        <w:rPr>
          <w:rStyle w:val="VerbatimChar"/>
        </w:rPr>
        <w:t xml:space="preserve">results/figures/supp_fig_s3b.jpg</w:t>
      </w:r>
      <w:r>
        <w:t xml:space="preserve"> </w:t>
      </w:r>
      <w:r>
        <w:t xml:space="preserve">(built from</w:t>
      </w:r>
      <w:r>
        <w:t xml:space="preserve"> </w:t>
      </w:r>
      <w:r>
        <w:rPr>
          <w:rStyle w:val="VerbatimChar"/>
        </w:rPr>
        <w:t xml:space="preserve">results/figures/working/shap_loco_direction_lgbm.png</w:t>
      </w:r>
      <w:r>
        <w:t xml:space="preserve">)</w:t>
      </w:r>
    </w:p>
    <w:p>
      <w:r>
        <w:pict>
          <v:rect style="width:0;height:1.5pt" o:hralign="center" o:hrstd="t" o:hr="t"/>
        </w:pict>
      </w:r>
    </w:p>
    <w:bookmarkEnd w:id="16"/>
    <w:bookmarkStart w:id="17"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results/figures/supp_sensitivity_loco.png</w:t>
      </w:r>
    </w:p>
    <w:p>
      <w:r>
        <w:pict>
          <v:rect style="width:0;height:1.5pt" o:hralign="center" o:hrstd="t" o:hr="t"/>
        </w:pict>
      </w:r>
    </w:p>
    <w:bookmarkEnd w:id="17"/>
    <w:bookmarkEnd w:id="18"/>
    <w:bookmarkStart w:id="21" w:name="supplementary-notes"/>
    <w:p>
      <w:pPr>
        <w:pStyle w:val="Heading2"/>
      </w:pPr>
      <w:r>
        <w:t xml:space="preserve">Supplementary Notes</w:t>
      </w:r>
    </w:p>
    <w:bookmarkStart w:id="19"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Inclusion required: (1) per-sample diagnosis labels (AD, MCI, or CN) accessible in public metadata; (2) raw FASTQ files or quality-filtered reads deposited in a public archive; (3) a minimum of 40 participants per cohort. Studies were excluded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19"/>
    <w:bookmarkStart w:id="20"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2026-09-02T00:37:13Z</dcterms:created>
  <dcterms:modified xsi:type="dcterms:W3CDTF">2026-09-02T00:37:13Z</dcterms:modified>
</cp:coreProperties>
</file>

<file path=docProps/custom.xml><?xml version="1.0" encoding="utf-8"?>
<Properties xmlns="http://schemas.openxmlformats.org/officeDocument/2006/custom-properties" xmlns:vt="http://schemas.openxmlformats.org/officeDocument/2006/docPropsVTypes"/>
</file>