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7.jpg" ContentType="image/jpeg"/>
  <Override PartName="/word/media/rId31.jpg" ContentType="image/jpeg"/>
  <Override PartName="/word/media/rId35.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supplementary-materials"/>
    <w:p>
      <w:pPr>
        <w:pStyle w:val="Heading1"/>
      </w:pPr>
      <w:r>
        <w:t xml:space="preserve">Supplementary Materials</w:t>
      </w:r>
    </w:p>
    <w:p>
      <w:r>
        <w:pict>
          <v:rect style="width:0;height:1.5pt" o:hralign="center" o:hrstd="t" o:hr="t"/>
        </w:pict>
      </w:r>
    </w:p>
    <w:bookmarkStart w:id="22"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0.583 [0.50–0.67]</w:t>
            </w:r>
          </w:p>
        </w:tc>
        <w:tc>
          <w:tcPr/>
          <w:p>
            <w:pPr>
              <w:pStyle w:val="Compact"/>
            </w:pPr>
            <w:r>
              <w:t xml:space="preserve">0.696 [0.54–0.82]</w:t>
            </w:r>
          </w:p>
        </w:tc>
        <w:tc>
          <w:tcPr/>
          <w:p>
            <w:pPr>
              <w:pStyle w:val="Compact"/>
            </w:pPr>
            <w:r>
              <w:t xml:space="preserve">0.566 [0.44–0.69]</w:t>
            </w:r>
          </w:p>
        </w:tc>
      </w:tr>
      <w:tr>
        <w:tc>
          <w:tcPr/>
          <w:p>
            <w:pPr>
              <w:pStyle w:val="Compact"/>
            </w:pPr>
            <w:r>
              <w:t xml:space="preserve">Ling 2020</w:t>
            </w:r>
          </w:p>
        </w:tc>
        <w:tc>
          <w:tcPr/>
          <w:p>
            <w:pPr>
              <w:pStyle w:val="Compact"/>
            </w:pPr>
            <w:r>
              <w:t xml:space="preserve">0.538 [0.41–0.66]</w:t>
            </w:r>
          </w:p>
        </w:tc>
        <w:tc>
          <w:tcPr/>
          <w:p>
            <w:pPr>
              <w:pStyle w:val="Compact"/>
            </w:pPr>
            <w:r>
              <w:t xml:space="preserve">—</w:t>
            </w:r>
          </w:p>
        </w:tc>
        <w:tc>
          <w:tcPr/>
          <w:p>
            <w:pPr>
              <w:pStyle w:val="Compact"/>
            </w:pPr>
            <w:r>
              <w:t xml:space="preserve">0.879 [0.77–0.96]</w:t>
            </w:r>
          </w:p>
        </w:tc>
        <w:tc>
          <w:tcPr/>
          <w:p>
            <w:pPr>
              <w:pStyle w:val="Compact"/>
            </w:pPr>
            <w:r>
              <w:t xml:space="preserve">0.593 [0.47–0.72]</w:t>
            </w:r>
          </w:p>
        </w:tc>
      </w:tr>
      <w:tr>
        <w:tc>
          <w:tcPr/>
          <w:p>
            <w:pPr>
              <w:pStyle w:val="Compact"/>
            </w:pPr>
            <w:r>
              <w:t xml:space="preserve">Zhu 2022</w:t>
            </w:r>
          </w:p>
        </w:tc>
        <w:tc>
          <w:tcPr/>
          <w:p>
            <w:pPr>
              <w:pStyle w:val="Compact"/>
            </w:pPr>
            <w:r>
              <w:t xml:space="preserve">0.579 [0.46–0.70]</w:t>
            </w:r>
          </w:p>
        </w:tc>
        <w:tc>
          <w:tcPr/>
          <w:p>
            <w:pPr>
              <w:pStyle w:val="Compact"/>
            </w:pPr>
            <w:r>
              <w:t xml:space="preserve">0.760 [0.68–0.83]</w:t>
            </w:r>
          </w:p>
        </w:tc>
        <w:tc>
          <w:tcPr/>
          <w:p>
            <w:pPr>
              <w:pStyle w:val="Compact"/>
            </w:pPr>
            <w:r>
              <w:t xml:space="preserve">—</w:t>
            </w:r>
          </w:p>
        </w:tc>
        <w:tc>
          <w:tcPr/>
          <w:p>
            <w:pPr>
              <w:pStyle w:val="Compact"/>
            </w:pPr>
            <w:r>
              <w:t xml:space="preserve">0.547 [0.43–0.67]</w:t>
            </w:r>
          </w:p>
        </w:tc>
      </w:tr>
      <w:tr>
        <w:tc>
          <w:tcPr/>
          <w:p>
            <w:pPr>
              <w:pStyle w:val="Compact"/>
            </w:pPr>
            <w:r>
              <w:t xml:space="preserve">Kazakhstan</w:t>
            </w:r>
          </w:p>
        </w:tc>
        <w:tc>
          <w:tcPr/>
          <w:p>
            <w:pPr>
              <w:pStyle w:val="Compact"/>
            </w:pPr>
            <w:r>
              <w:t xml:space="preserve">0.539 [0.42–0.67]</w:t>
            </w:r>
          </w:p>
        </w:tc>
        <w:tc>
          <w:tcPr/>
          <w:p>
            <w:pPr>
              <w:pStyle w:val="Compact"/>
            </w:pPr>
            <w:r>
              <w:t xml:space="preserve">0.739 [0.66–0.81]</w:t>
            </w:r>
          </w:p>
        </w:tc>
        <w:tc>
          <w:tcPr/>
          <w:p>
            <w:pPr>
              <w:pStyle w:val="Compact"/>
            </w:pPr>
            <w:r>
              <w:t xml:space="preserve">0.652 [0.50–0.78]</w:t>
            </w:r>
          </w:p>
        </w:tc>
        <w:tc>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0.598 [0.51–0.68]</w:t>
            </w:r>
          </w:p>
        </w:tc>
        <w:tc>
          <w:tcPr/>
          <w:p>
            <w:pPr>
              <w:pStyle w:val="Compact"/>
            </w:pPr>
            <w:r>
              <w:t xml:space="preserve">0.604 [0.46–0.74]</w:t>
            </w:r>
          </w:p>
        </w:tc>
        <w:tc>
          <w:tcPr/>
          <w:p>
            <w:pPr>
              <w:pStyle w:val="Compact"/>
            </w:pPr>
            <w:r>
              <w:t xml:space="preserve">0.493 [0.37–0.61]</w:t>
            </w:r>
          </w:p>
        </w:tc>
      </w:tr>
      <w:tr>
        <w:tc>
          <w:tcPr/>
          <w:p>
            <w:pPr>
              <w:pStyle w:val="Compact"/>
            </w:pPr>
            <w:r>
              <w:t xml:space="preserve">Ling 2020</w:t>
            </w:r>
          </w:p>
        </w:tc>
        <w:tc>
          <w:tcPr/>
          <w:p>
            <w:pPr>
              <w:pStyle w:val="Compact"/>
            </w:pPr>
            <w:r>
              <w:t xml:space="preserve">0.617 [0.49–0.74]</w:t>
            </w:r>
          </w:p>
        </w:tc>
        <w:tc>
          <w:tcPr/>
          <w:p>
            <w:pPr>
              <w:pStyle w:val="Compact"/>
            </w:pPr>
            <w:r>
              <w:t xml:space="preserve">—</w:t>
            </w:r>
          </w:p>
        </w:tc>
        <w:tc>
          <w:tcPr/>
          <w:p>
            <w:pPr>
              <w:pStyle w:val="Compact"/>
            </w:pPr>
            <w:r>
              <w:t xml:space="preserve">0.861 [0.77–0.94]</w:t>
            </w:r>
          </w:p>
        </w:tc>
        <w:tc>
          <w:tcPr/>
          <w:p>
            <w:pPr>
              <w:pStyle w:val="Compact"/>
            </w:pPr>
            <w:r>
              <w:t xml:space="preserve">0.602 [0.47–0.72]</w:t>
            </w:r>
          </w:p>
        </w:tc>
      </w:tr>
      <w:tr>
        <w:tc>
          <w:tcPr/>
          <w:p>
            <w:pPr>
              <w:pStyle w:val="Compact"/>
            </w:pPr>
            <w:r>
              <w:t xml:space="preserve">Zhu 2022</w:t>
            </w:r>
          </w:p>
        </w:tc>
        <w:tc>
          <w:tcPr/>
          <w:p>
            <w:pPr>
              <w:pStyle w:val="Compact"/>
            </w:pPr>
            <w:r>
              <w:t xml:space="preserve">0.528 [0.41–0.65]</w:t>
            </w:r>
          </w:p>
        </w:tc>
        <w:tc>
          <w:tcPr/>
          <w:p>
            <w:pPr>
              <w:pStyle w:val="Compact"/>
            </w:pPr>
            <w:r>
              <w:t xml:space="preserve">0.591 [0.50–0.68]</w:t>
            </w:r>
          </w:p>
        </w:tc>
        <w:tc>
          <w:tcPr/>
          <w:p>
            <w:pPr>
              <w:pStyle w:val="Compact"/>
            </w:pPr>
            <w:r>
              <w:t xml:space="preserve">—</w:t>
            </w:r>
          </w:p>
        </w:tc>
        <w:tc>
          <w:tcPr/>
          <w:p>
            <w:pPr>
              <w:pStyle w:val="Compact"/>
            </w:pPr>
            <w:r>
              <w:t xml:space="preserve">0.405 [0.28–0.53]</w:t>
            </w:r>
          </w:p>
        </w:tc>
      </w:tr>
      <w:tr>
        <w:tc>
          <w:tcPr/>
          <w:p>
            <w:pPr>
              <w:pStyle w:val="Compact"/>
            </w:pPr>
            <w:r>
              <w:t xml:space="preserve">Kazakhstan</w:t>
            </w:r>
          </w:p>
        </w:tc>
        <w:tc>
          <w:tcPr/>
          <w:p>
            <w:pPr>
              <w:pStyle w:val="Compact"/>
            </w:pPr>
            <w:r>
              <w:t xml:space="preserve">0.522 [0.40–0.64]</w:t>
            </w:r>
          </w:p>
        </w:tc>
        <w:tc>
          <w:tcPr/>
          <w:p>
            <w:pPr>
              <w:pStyle w:val="Compact"/>
            </w:pPr>
            <w:r>
              <w:t xml:space="preserve">0.580 [0.49–0.67]</w:t>
            </w:r>
          </w:p>
        </w:tc>
        <w:tc>
          <w:tcPr/>
          <w:p>
            <w:pPr>
              <w:pStyle w:val="Compact"/>
            </w:pPr>
            <w:r>
              <w:t xml:space="preserve">0.603 [0.45–0.75]</w:t>
            </w:r>
          </w:p>
        </w:tc>
        <w:tc>
          <w:tcPr/>
          <w:p>
            <w:pPr>
              <w:pStyle w:val="Compact"/>
            </w:pPr>
            <w:r>
              <w:t xml:space="preserve">—</w:t>
            </w:r>
          </w:p>
        </w:tc>
      </w:tr>
    </w:tbl>
    <w:p>
      <w:pPr>
        <w:pStyle w:val="BodyText"/>
      </w:pPr>
      <w:r>
        <w:t xml:space="preserve">Notable observations: The highest pairwise logistic regression AUC is Ling 2020 → Zhu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Country</w:t>
            </w:r>
          </w:p>
        </w:tc>
        <w:tc>
          <w:tcPr/>
          <w:p>
            <w:pPr>
              <w:pStyle w:val="Compact"/>
            </w:pPr>
            <w:r>
              <w:t xml:space="preserve">Mode</w:t>
            </w:r>
          </w:p>
        </w:tc>
        <w:tc>
          <w:tcPr/>
          <w:p>
            <w:pPr>
              <w:pStyle w:val="Compact"/>
            </w:pPr>
            <w:r>
              <w:t xml:space="preserve">N Samples</w:t>
            </w:r>
          </w:p>
        </w:tc>
        <w:tc>
          <w:tcPr/>
          <w:p>
            <w:pPr>
              <w:pStyle w:val="Compact"/>
            </w:pPr>
            <w:r>
              <w:t xml:space="preserve">Reads Input</w:t>
            </w:r>
          </w:p>
        </w:tc>
        <w:tc>
          <w:tcPr/>
          <w:p>
            <w:pPr>
              <w:pStyle w:val="Compact"/>
            </w:pPr>
            <w:r>
              <w:t xml:space="preserve">Reads Non-chimeric</w:t>
            </w:r>
          </w:p>
        </w:tc>
        <w:tc>
          <w:tcPr/>
          <w:p>
            <w:pPr>
              <w:pStyle w:val="Compact"/>
            </w:pPr>
            <w:r>
              <w:t xml:space="preserve">% Retention</w:t>
            </w:r>
          </w:p>
        </w:tc>
        <w:tc>
          <w:tcPr/>
          <w:p>
            <w:pPr>
              <w:pStyle w:val="Compact"/>
            </w:pPr>
            <w:r>
              <w:t xml:space="preserve">16S Region</w:t>
            </w:r>
          </w:p>
        </w:tc>
        <w:tc>
          <w:tcPr/>
          <w:p>
            <w:pPr>
              <w:pStyle w:val="Compact"/>
            </w:pPr>
            <w:r>
              <w:t xml:space="preserve">Platform</w:t>
            </w:r>
          </w:p>
        </w:tc>
      </w:tr>
      <w:tr>
        <w:tc>
          <w:tcPr/>
          <w:p>
            <w:pPr>
              <w:pStyle w:val="Compact"/>
            </w:pPr>
            <w:r>
              <w:t xml:space="preserve">Zhuang 2018</w:t>
            </w:r>
          </w:p>
        </w:tc>
        <w:tc>
          <w:tcPr/>
          <w:p>
            <w:pPr>
              <w:pStyle w:val="Compact"/>
            </w:pPr>
            <w:r>
              <w:t xml:space="preserve">China</w:t>
            </w:r>
          </w:p>
        </w:tc>
        <w:tc>
          <w:tcPr/>
          <w:p>
            <w:pPr>
              <w:pStyle w:val="Compact"/>
            </w:pPr>
            <w:r>
              <w:t xml:space="preserve">Paired-end</w:t>
            </w:r>
          </w:p>
        </w:tc>
        <w:tc>
          <w:tcPr/>
          <w:p>
            <w:pPr>
              <w:pStyle w:val="Compact"/>
            </w:pPr>
            <w:r>
              <w:t xml:space="preserve">86</w:t>
            </w:r>
          </w:p>
        </w:tc>
        <w:tc>
          <w:tcPr/>
          <w:p>
            <w:pPr>
              <w:pStyle w:val="Compact"/>
            </w:pPr>
            <w:r>
              <w:t xml:space="preserve">3,260,213</w:t>
            </w:r>
          </w:p>
        </w:tc>
        <w:tc>
          <w:tcPr/>
          <w:p>
            <w:pPr>
              <w:pStyle w:val="Compact"/>
            </w:pPr>
            <w:r>
              <w:t xml:space="preserve">2,551,870</w:t>
            </w:r>
          </w:p>
        </w:tc>
        <w:tc>
          <w:tcPr/>
          <w:p>
            <w:pPr>
              <w:pStyle w:val="Compact"/>
            </w:pPr>
            <w:r>
              <w:t xml:space="preserve">78.3%</w:t>
            </w:r>
          </w:p>
        </w:tc>
        <w:tc>
          <w:tcPr/>
          <w:p>
            <w:pPr>
              <w:pStyle w:val="Compact"/>
            </w:pPr>
            <w:r>
              <w:t xml:space="preserve">V3–V4</w:t>
            </w:r>
          </w:p>
        </w:tc>
        <w:tc>
          <w:tcPr/>
          <w:p>
            <w:pPr>
              <w:pStyle w:val="Compact"/>
            </w:pPr>
            <w:r>
              <w:t xml:space="preserve">MiSeq 2×300</w:t>
            </w:r>
          </w:p>
        </w:tc>
      </w:tr>
      <w:tr>
        <w:tc>
          <w:tcPr/>
          <w:p>
            <w:pPr>
              <w:pStyle w:val="Compact"/>
            </w:pPr>
            <w:r>
              <w:t xml:space="preserve">Ling 2020</w:t>
            </w:r>
          </w:p>
        </w:tc>
        <w:tc>
          <w:tcPr/>
          <w:p>
            <w:pPr>
              <w:pStyle w:val="Compact"/>
            </w:pPr>
            <w:r>
              <w:t xml:space="preserve">China</w:t>
            </w:r>
          </w:p>
        </w:tc>
        <w:tc>
          <w:tcPr/>
          <w:p>
            <w:pPr>
              <w:pStyle w:val="Compact"/>
            </w:pPr>
            <w:r>
              <w:t xml:space="preserve">Paired-end</w:t>
            </w:r>
          </w:p>
        </w:tc>
        <w:tc>
          <w:tcPr/>
          <w:p>
            <w:pPr>
              <w:pStyle w:val="Compact"/>
            </w:pPr>
            <w:r>
              <w:t xml:space="preserve">171</w:t>
            </w:r>
          </w:p>
        </w:tc>
        <w:tc>
          <w:tcPr/>
          <w:p>
            <w:pPr>
              <w:pStyle w:val="Compact"/>
            </w:pPr>
            <w:r>
              <w:t xml:space="preserve">8,556,209</w:t>
            </w:r>
          </w:p>
        </w:tc>
        <w:tc>
          <w:tcPr/>
          <w:p>
            <w:pPr>
              <w:pStyle w:val="Compact"/>
            </w:pPr>
            <w:r>
              <w:t xml:space="preserve">4,100,210</w:t>
            </w:r>
          </w:p>
        </w:tc>
        <w:tc>
          <w:tcPr/>
          <w:p>
            <w:pPr>
              <w:pStyle w:val="Compact"/>
            </w:pPr>
            <w:r>
              <w:t xml:space="preserve">47.9%</w:t>
            </w:r>
          </w:p>
        </w:tc>
        <w:tc>
          <w:tcPr/>
          <w:p>
            <w:pPr>
              <w:pStyle w:val="Compact"/>
            </w:pPr>
            <w:r>
              <w:t xml:space="preserve">V3–V4</w:t>
            </w:r>
          </w:p>
        </w:tc>
        <w:tc>
          <w:tcPr/>
          <w:p>
            <w:pPr>
              <w:pStyle w:val="Compact"/>
            </w:pPr>
            <w:r>
              <w:t xml:space="preserve">MiSeq 2×300</w:t>
            </w:r>
          </w:p>
        </w:tc>
      </w:tr>
      <w:tr>
        <w:tc>
          <w:tcPr/>
          <w:p>
            <w:pPr>
              <w:pStyle w:val="Compact"/>
            </w:pPr>
            <w:r>
              <w:t xml:space="preserve">Zhu 2022</w:t>
            </w:r>
          </w:p>
        </w:tc>
        <w:tc>
          <w:tcPr/>
          <w:p>
            <w:pPr>
              <w:pStyle w:val="Compact"/>
            </w:pPr>
            <w:r>
              <w:t xml:space="preserve">China</w:t>
            </w:r>
          </w:p>
        </w:tc>
        <w:tc>
          <w:tcPr/>
          <w:p>
            <w:pPr>
              <w:pStyle w:val="Compact"/>
            </w:pPr>
            <w:r>
              <w:t xml:space="preserve">Paired-end</w:t>
            </w:r>
          </w:p>
        </w:tc>
        <w:tc>
          <w:tcPr/>
          <w:p>
            <w:pPr>
              <w:pStyle w:val="Compact"/>
            </w:pPr>
            <w:r>
              <w:t xml:space="preserve">180</w:t>
            </w:r>
          </w:p>
        </w:tc>
        <w:tc>
          <w:tcPr/>
          <w:p>
            <w:pPr>
              <w:pStyle w:val="Compact"/>
            </w:pPr>
            <w:r>
              <w:t xml:space="preserve">7,275,079</w:t>
            </w:r>
          </w:p>
        </w:tc>
        <w:tc>
          <w:tcPr/>
          <w:p>
            <w:pPr>
              <w:pStyle w:val="Compact"/>
            </w:pPr>
            <w:r>
              <w:t xml:space="preserve">5,485,811</w:t>
            </w:r>
          </w:p>
        </w:tc>
        <w:tc>
          <w:tcPr/>
          <w:p>
            <w:pPr>
              <w:pStyle w:val="Compact"/>
            </w:pPr>
            <w:r>
              <w:t xml:space="preserve">75.4%</w:t>
            </w:r>
          </w:p>
        </w:tc>
        <w:tc>
          <w:tcPr/>
          <w:p>
            <w:pPr>
              <w:pStyle w:val="Compact"/>
            </w:pPr>
            <w:r>
              <w:t xml:space="preserve">V3–V4</w:t>
            </w:r>
          </w:p>
        </w:tc>
        <w:tc>
          <w:tcPr/>
          <w:p>
            <w:pPr>
              <w:pStyle w:val="Compact"/>
            </w:pPr>
            <w:r>
              <w:t xml:space="preserve">MiSeq 2×300</w:t>
            </w:r>
          </w:p>
        </w:tc>
      </w:tr>
      <w:tr>
        <w:tc>
          <w:tcPr/>
          <w:p>
            <w:pPr>
              <w:pStyle w:val="Compact"/>
            </w:pPr>
            <w:r>
              <w:t xml:space="preserve">Kim 2022</w:t>
            </w:r>
          </w:p>
        </w:tc>
        <w:tc>
          <w:tcPr/>
          <w:p>
            <w:pPr>
              <w:pStyle w:val="Compact"/>
            </w:pPr>
            <w:r>
              <w:t xml:space="preserve">South Korea</w:t>
            </w:r>
          </w:p>
        </w:tc>
        <w:tc>
          <w:tcPr/>
          <w:p>
            <w:pPr>
              <w:pStyle w:val="Compact"/>
            </w:pPr>
            <w:r>
              <w:t xml:space="preserve">Paired-end</w:t>
            </w:r>
          </w:p>
        </w:tc>
        <w:tc>
          <w:tcPr/>
          <w:p>
            <w:pPr>
              <w:pStyle w:val="Compact"/>
            </w:pPr>
            <w:r>
              <w:t xml:space="preserve">78</w:t>
            </w:r>
          </w:p>
        </w:tc>
        <w:tc>
          <w:tcPr/>
          <w:p>
            <w:pPr>
              <w:pStyle w:val="Compact"/>
            </w:pPr>
            <w:r>
              <w:t xml:space="preserve">13,514,374</w:t>
            </w:r>
          </w:p>
        </w:tc>
        <w:tc>
          <w:tcPr/>
          <w:p>
            <w:pPr>
              <w:pStyle w:val="Compact"/>
            </w:pPr>
            <w:r>
              <w:t xml:space="preserve">6,117,631</w:t>
            </w:r>
          </w:p>
        </w:tc>
        <w:tc>
          <w:tcPr/>
          <w:p>
            <w:pPr>
              <w:pStyle w:val="Compact"/>
            </w:pPr>
            <w:r>
              <w:t xml:space="preserve">45.3%</w:t>
            </w:r>
          </w:p>
        </w:tc>
        <w:tc>
          <w:tcPr/>
          <w:p>
            <w:pPr>
              <w:pStyle w:val="Compact"/>
            </w:pPr>
            <w:r>
              <w:t xml:space="preserve">V3–V4</w:t>
            </w:r>
          </w:p>
        </w:tc>
        <w:tc>
          <w:tcPr/>
          <w:p>
            <w:pPr>
              <w:pStyle w:val="Compact"/>
            </w:pPr>
            <w:r>
              <w:t xml:space="preserve">MiSeq 2×300</w:t>
            </w:r>
          </w:p>
        </w:tc>
      </w:tr>
      <w:tr>
        <w:tc>
          <w:tcPr/>
          <w:p>
            <w:pPr>
              <w:pStyle w:val="Compact"/>
            </w:pPr>
            <w:r>
              <w:t xml:space="preserve">Kaiyrlykyzy 2022</w:t>
            </w:r>
          </w:p>
        </w:tc>
        <w:tc>
          <w:tcPr/>
          <w:p>
            <w:pPr>
              <w:pStyle w:val="Compact"/>
            </w:pPr>
            <w:r>
              <w:t xml:space="preserve">Kazakhstan</w:t>
            </w:r>
          </w:p>
        </w:tc>
        <w:tc>
          <w:tcPr/>
          <w:p>
            <w:pPr>
              <w:pStyle w:val="Compact"/>
            </w:pPr>
            <w:r>
              <w:t xml:space="preserve">Single-end</w:t>
            </w:r>
          </w:p>
        </w:tc>
        <w:tc>
          <w:tcPr/>
          <w:p>
            <w:pPr>
              <w:pStyle w:val="Compact"/>
            </w:pPr>
            <w:r>
              <w:t xml:space="preserve">84</w:t>
            </w:r>
          </w:p>
        </w:tc>
        <w:tc>
          <w:tcPr/>
          <w:p>
            <w:pPr>
              <w:pStyle w:val="Compact"/>
            </w:pPr>
            <w:r>
              <w:t xml:space="preserve">9,467,007</w:t>
            </w:r>
          </w:p>
        </w:tc>
        <w:tc>
          <w:tcPr/>
          <w:p>
            <w:pPr>
              <w:pStyle w:val="Compact"/>
            </w:pPr>
            <w:r>
              <w:t xml:space="preserve">6,531,362</w:t>
            </w:r>
          </w:p>
        </w:tc>
        <w:tc>
          <w:tcPr/>
          <w:p>
            <w:pPr>
              <w:pStyle w:val="Compact"/>
            </w:pPr>
            <w:r>
              <w:t xml:space="preserve">69.0%</w:t>
            </w:r>
          </w:p>
        </w:tc>
        <w:tc>
          <w:tcPr/>
          <w:p>
            <w:pPr>
              <w:pStyle w:val="Compact"/>
            </w:pPr>
            <w:r>
              <w:t xml:space="preserve">V3–V4</w:t>
            </w:r>
          </w:p>
        </w:tc>
        <w:tc>
          <w:tcPr/>
          <w:p>
            <w:pPr>
              <w:pStyle w:val="Compact"/>
            </w:pPr>
            <w:r>
              <w:t xml:space="preserve">NovaSeq</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599</w:t>
            </w:r>
          </w:p>
        </w:tc>
        <w:tc>
          <w:tcPr/>
          <w:p>
            <w:pPr>
              <w:pStyle w:val="Compact"/>
            </w:pPr>
            <w:r>
              <w:rPr>
                <w:b/>
                <w:bCs/>
              </w:rPr>
              <w:t xml:space="preserve">42,072,882</w:t>
            </w:r>
          </w:p>
        </w:tc>
        <w:tc>
          <w:tcPr/>
          <w:p>
            <w:pPr>
              <w:pStyle w:val="Compact"/>
            </w:pPr>
            <w:r>
              <w:rPr>
                <w:b/>
                <w:bCs/>
              </w:rPr>
              <w:t xml:space="preserve">24,786,884</w:t>
            </w:r>
          </w:p>
        </w:tc>
        <w:tc>
          <w:tcPr/>
          <w:p>
            <w:pPr>
              <w:pStyle w:val="Compact"/>
            </w:pPr>
            <w:r>
              <w:rPr>
                <w:b/>
                <w:bCs/>
              </w:rPr>
              <w:t xml:space="preserve">58.9%</w:t>
            </w:r>
          </w:p>
        </w:tc>
        <w:tc>
          <w:tcPr/>
          <w:p>
            <w:pPr>
              <w:pStyle w:val="Compact"/>
            </w:pPr>
          </w:p>
        </w:tc>
        <w:tc>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Zhu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 With 9,999 permutations, the minimum attainable permutation p-value is 1/(9,999+1) = 0.0001; p-values reported below as 0.0001 indicate no permuted statistic met or exceeded the observed value (i.e., the true p-value is at or below this resolution limit, not literally less than it).</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67,760.8</w:t>
            </w:r>
          </w:p>
        </w:tc>
        <w:tc>
          <w:tcPr/>
          <w:p>
            <w:pPr>
              <w:pStyle w:val="Compact"/>
            </w:pPr>
            <w:r>
              <w:t xml:space="preserve">0.193</w:t>
            </w:r>
          </w:p>
        </w:tc>
        <w:tc>
          <w:tcPr/>
          <w:p>
            <w:pPr>
              <w:pStyle w:val="Compact"/>
            </w:pPr>
            <w:r>
              <w:t xml:space="preserve">30.13</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283,347.1</w:t>
            </w:r>
          </w:p>
        </w:tc>
        <w:tc>
          <w:tcPr/>
          <w:p>
            <w:pPr>
              <w:pStyle w:val="Compact"/>
            </w:pPr>
            <w:r>
              <w:t xml:space="preserve">0.807</w:t>
            </w:r>
          </w:p>
        </w:tc>
        <w:tc>
          <w:tcPr/>
          <w:p>
            <w:pPr>
              <w:pStyle w:val="Compact"/>
            </w:pPr>
            <w:r>
              <w:t xml:space="preserve">—</w:t>
            </w:r>
          </w:p>
        </w:tc>
        <w:tc>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20.80</w:t>
            </w:r>
          </w:p>
        </w:tc>
        <w:tc>
          <w:tcPr/>
          <w:p>
            <w:pPr>
              <w:pStyle w:val="Compact"/>
            </w:pPr>
            <w:r>
              <w:t xml:space="preserve">0.136</w:t>
            </w:r>
          </w:p>
        </w:tc>
        <w:tc>
          <w:tcPr/>
          <w:p>
            <w:pPr>
              <w:pStyle w:val="Compact"/>
            </w:pPr>
            <w:r>
              <w:t xml:space="preserve">19.80</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132.36</w:t>
            </w:r>
          </w:p>
        </w:tc>
        <w:tc>
          <w:tcPr/>
          <w:p>
            <w:pPr>
              <w:pStyle w:val="Compact"/>
            </w:pPr>
            <w:r>
              <w:t xml:space="preserve">0.864</w:t>
            </w:r>
          </w:p>
        </w:tc>
        <w:tc>
          <w:tcPr/>
          <w:p>
            <w:pPr>
              <w:pStyle w:val="Compact"/>
            </w:pPr>
            <w:r>
              <w:t xml:space="preserve">—</w:t>
            </w:r>
          </w:p>
        </w:tc>
        <w:tc>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3</w:t>
            </w:r>
          </w:p>
        </w:tc>
        <w:tc>
          <w:tcPr/>
          <w:p>
            <w:pPr>
              <w:pStyle w:val="Compact"/>
            </w:pPr>
            <w:r>
              <w:t xml:space="preserve">45,476.8</w:t>
            </w:r>
          </w:p>
        </w:tc>
        <w:tc>
          <w:tcPr/>
          <w:p>
            <w:pPr>
              <w:pStyle w:val="Compact"/>
            </w:pPr>
            <w:r>
              <w:t xml:space="preserve">0.172</w:t>
            </w:r>
          </w:p>
        </w:tc>
        <w:tc>
          <w:tcPr/>
          <w:p>
            <w:pPr>
              <w:pStyle w:val="Compact"/>
            </w:pPr>
            <w:r>
              <w:t xml:space="preserve">28.03</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3,689.7</w:t>
            </w:r>
          </w:p>
        </w:tc>
        <w:tc>
          <w:tcPr/>
          <w:p>
            <w:pPr>
              <w:pStyle w:val="Compact"/>
            </w:pPr>
            <w:r>
              <w:t xml:space="preserve">0.014</w:t>
            </w:r>
          </w:p>
        </w:tc>
        <w:tc>
          <w:tcPr/>
          <w:p>
            <w:pPr>
              <w:pStyle w:val="Compact"/>
            </w:pPr>
            <w:r>
              <w:t xml:space="preserve">6.82</w:t>
            </w:r>
          </w:p>
        </w:tc>
        <w:tc>
          <w:tcPr/>
          <w:p>
            <w:pPr>
              <w:pStyle w:val="Compact"/>
            </w:pPr>
            <w:r>
              <w:t xml:space="preserve">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r>
        <w:t xml:space="preserve"> </w:t>
      </w:r>
      <w:r>
        <w:t xml:space="preserve">“Cohort”</w:t>
      </w:r>
      <w:r>
        <w:t xml:space="preserve"> </w:t>
      </w:r>
      <w:r>
        <w:t xml:space="preserve">here is a composite study-of-origin variable (platform, library prep, recruitment site, diagnostic ascertainment, diet, and other unmeasured differences bundled together); this model does not, and cannot, decompose the cohort term into technical versus biological components (Section 2.6). See Table S11 for a sensitivity analysis showing this cohort-vs-diagnosis disparity is highly sensitive to which cohorts are included.</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Term</w:t>
            </w:r>
          </w:p>
        </w:tc>
        <w:tc>
          <w:tcPr/>
          <w:p>
            <w:pPr>
              <w:pStyle w:val="Compact"/>
            </w:pPr>
            <w:r>
              <w:t xml:space="preserve">Df</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Zhuang 2018</w:t>
            </w:r>
          </w:p>
        </w:tc>
        <w:tc>
          <w:tcPr/>
          <w:p>
            <w:pPr>
              <w:pStyle w:val="Compact"/>
            </w:pPr>
            <w:r>
              <w:t xml:space="preserve">Diagnosis</w:t>
            </w:r>
          </w:p>
        </w:tc>
        <w:tc>
          <w:tcPr/>
          <w:p>
            <w:pPr>
              <w:pStyle w:val="Compact"/>
            </w:pPr>
            <w:r>
              <w:t xml:space="preserve">1</w:t>
            </w:r>
          </w:p>
        </w:tc>
        <w:tc>
          <w:tcPr/>
          <w:p>
            <w:pPr>
              <w:pStyle w:val="Compact"/>
            </w:pPr>
            <w:r>
              <w:t xml:space="preserve">0.017</w:t>
            </w:r>
          </w:p>
        </w:tc>
        <w:tc>
          <w:tcPr/>
          <w:p>
            <w:pPr>
              <w:pStyle w:val="Compact"/>
            </w:pPr>
            <w:r>
              <w:t xml:space="preserve">1.47</w:t>
            </w:r>
          </w:p>
        </w:tc>
        <w:tc>
          <w:tcPr/>
          <w:p>
            <w:pPr>
              <w:pStyle w:val="Compact"/>
            </w:pPr>
            <w:r>
              <w:t xml:space="preserve">0.066</w:t>
            </w:r>
          </w:p>
        </w:tc>
      </w:tr>
      <w:tr>
        <w:tc>
          <w:tcPr/>
          <w:p>
            <w:pPr>
              <w:pStyle w:val="Compact"/>
            </w:pPr>
            <w:r>
              <w:t xml:space="preserve">Ling 2020</w:t>
            </w:r>
          </w:p>
        </w:tc>
        <w:tc>
          <w:tcPr/>
          <w:p>
            <w:pPr>
              <w:pStyle w:val="Compact"/>
            </w:pPr>
            <w:r>
              <w:t xml:space="preserve">Diagnosis</w:t>
            </w:r>
          </w:p>
        </w:tc>
        <w:tc>
          <w:tcPr/>
          <w:p>
            <w:pPr>
              <w:pStyle w:val="Compact"/>
            </w:pPr>
            <w:r>
              <w:t xml:space="preserve">1</w:t>
            </w:r>
          </w:p>
        </w:tc>
        <w:tc>
          <w:tcPr/>
          <w:p>
            <w:pPr>
              <w:pStyle w:val="Compact"/>
            </w:pPr>
            <w:r>
              <w:t xml:space="preserve">0.053</w:t>
            </w:r>
          </w:p>
        </w:tc>
        <w:tc>
          <w:tcPr/>
          <w:p>
            <w:pPr>
              <w:pStyle w:val="Compact"/>
            </w:pPr>
            <w:r>
              <w:t xml:space="preserve">9.53</w:t>
            </w:r>
          </w:p>
        </w:tc>
        <w:tc>
          <w:tcPr/>
          <w:p>
            <w:pPr>
              <w:pStyle w:val="Compact"/>
            </w:pPr>
            <w:r>
              <w:t xml:space="preserve">0.0001</w:t>
            </w:r>
          </w:p>
        </w:tc>
      </w:tr>
      <w:tr>
        <w:tc>
          <w:tcPr/>
          <w:p>
            <w:pPr>
              <w:pStyle w:val="Compact"/>
            </w:pPr>
            <w:r>
              <w:t xml:space="preserve">Zhu 2022</w:t>
            </w:r>
          </w:p>
        </w:tc>
        <w:tc>
          <w:tcPr/>
          <w:p>
            <w:pPr>
              <w:pStyle w:val="Compact"/>
            </w:pPr>
            <w:r>
              <w:t xml:space="preserve">Diagnosis</w:t>
            </w:r>
          </w:p>
        </w:tc>
        <w:tc>
          <w:tcPr/>
          <w:p>
            <w:pPr>
              <w:pStyle w:val="Compact"/>
            </w:pPr>
            <w:r>
              <w:t xml:space="preserve">1</w:t>
            </w:r>
          </w:p>
        </w:tc>
        <w:tc>
          <w:tcPr/>
          <w:p>
            <w:pPr>
              <w:pStyle w:val="Compact"/>
            </w:pPr>
            <w:r>
              <w:t xml:space="preserve">0.094</w:t>
            </w:r>
          </w:p>
        </w:tc>
        <w:tc>
          <w:tcPr/>
          <w:p>
            <w:pPr>
              <w:pStyle w:val="Compact"/>
            </w:pPr>
            <w:r>
              <w:t xml:space="preserve">6.01</w:t>
            </w:r>
          </w:p>
        </w:tc>
        <w:tc>
          <w:tcPr/>
          <w:p>
            <w:pPr>
              <w:pStyle w:val="Compact"/>
            </w:pPr>
            <w:r>
              <w:t xml:space="preserve">0.0001</w:t>
            </w:r>
          </w:p>
        </w:tc>
      </w:tr>
      <w:tr>
        <w:tc>
          <w:tcPr/>
          <w:p>
            <w:pPr>
              <w:pStyle w:val="Compact"/>
            </w:pPr>
            <w:r>
              <w:t xml:space="preserve">Kazakhstan</w:t>
            </w:r>
          </w:p>
        </w:tc>
        <w:tc>
          <w:tcPr/>
          <w:p>
            <w:pPr>
              <w:pStyle w:val="Compact"/>
            </w:pPr>
            <w:r>
              <w:t xml:space="preserve">Diagnosis</w:t>
            </w:r>
          </w:p>
        </w:tc>
        <w:tc>
          <w:tcPr/>
          <w:p>
            <w:pPr>
              <w:pStyle w:val="Compact"/>
            </w:pPr>
            <w:r>
              <w:t xml:space="preserve">1</w:t>
            </w:r>
          </w:p>
        </w:tc>
        <w:tc>
          <w:tcPr/>
          <w:p>
            <w:pPr>
              <w:pStyle w:val="Compact"/>
            </w:pPr>
            <w:r>
              <w:t xml:space="preserve">0.022</w:t>
            </w:r>
          </w:p>
        </w:tc>
        <w:tc>
          <w:tcPr/>
          <w:p>
            <w:pPr>
              <w:pStyle w:val="Compact"/>
            </w:pPr>
            <w:r>
              <w:t xml:space="preserve">1.83</w:t>
            </w:r>
          </w:p>
        </w:tc>
        <w:tc>
          <w:tcPr/>
          <w:p>
            <w:pPr>
              <w:pStyle w:val="Compact"/>
            </w:pPr>
            <w:r>
              <w:t xml:space="preserve">0.069</w:t>
            </w:r>
          </w:p>
        </w:tc>
      </w:tr>
    </w:tbl>
    <w:p>
      <w:pPr>
        <w:pStyle w:val="BodyText"/>
      </w:pPr>
      <w:r>
        <w:t xml:space="preserve">Zhu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F-statistic</w:t>
            </w:r>
          </w:p>
        </w:tc>
        <w:tc>
          <w:tcPr/>
          <w:p>
            <w:pPr>
              <w:pStyle w:val="Compact"/>
            </w:pPr>
            <w:r>
              <w:t xml:space="preserve">13.93</w:t>
            </w:r>
          </w:p>
        </w:tc>
      </w:tr>
      <w:tr>
        <w:tc>
          <w:tcPr/>
          <w:p>
            <w:pPr>
              <w:pStyle w:val="Compact"/>
            </w:pPr>
            <w:r>
              <w:t xml:space="preserve">Numerator df</w:t>
            </w:r>
          </w:p>
        </w:tc>
        <w:tc>
          <w:tcPr/>
          <w:p>
            <w:pPr>
              <w:pStyle w:val="Compact"/>
            </w:pPr>
            <w:r>
              <w:t xml:space="preserve">4</w:t>
            </w:r>
          </w:p>
        </w:tc>
      </w:tr>
      <w:tr>
        <w:tc>
          <w:tcPr/>
          <w:p>
            <w:pPr>
              <w:pStyle w:val="Compact"/>
            </w:pPr>
            <w:r>
              <w:t xml:space="preserve">Denominator df</w:t>
            </w:r>
          </w:p>
        </w:tc>
        <w:tc>
          <w:tcPr/>
          <w:p>
            <w:pPr>
              <w:pStyle w:val="Compact"/>
            </w:pPr>
            <w:r>
              <w:t xml:space="preserve">504</w:t>
            </w:r>
          </w:p>
        </w:tc>
      </w:tr>
      <w:tr>
        <w:tc>
          <w:tcPr/>
          <w:p>
            <w:pPr>
              <w:pStyle w:val="Compact"/>
            </w:pPr>
            <w:r>
              <w:t xml:space="preserve">p-value (permutation, 9,999 perms)</w:t>
            </w:r>
          </w:p>
        </w:tc>
        <w:tc>
          <w:tcPr/>
          <w:p>
            <w:pPr>
              <w:pStyle w:val="Compact"/>
            </w:pPr>
            <w:r>
              <w:t xml:space="preserve">0.0001</w:t>
            </w:r>
          </w:p>
        </w:tc>
      </w:tr>
      <w:tr>
        <w:tc>
          <w:tcPr/>
          <w:p>
            <w:pPr>
              <w:pStyle w:val="Compact"/>
            </w:pPr>
            <w:r>
              <w:t xml:space="preserve">Interpretation</w:t>
            </w:r>
          </w:p>
        </w:tc>
        <w:tc>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Start w:id="12" w:name="Xda60cb2a01f97194512e3d532379985ea78d0d6"/>
    <w:p>
      <w:pPr>
        <w:pStyle w:val="Heading3"/>
      </w:pPr>
      <w:r>
        <w:t xml:space="preserve">Table S4. Training-Only Feature-Selection Sensitivity</w:t>
      </w:r>
    </w:p>
    <w:p>
      <w:pPr>
        <w:pStyle w:val="FirstParagraph"/>
      </w:pPr>
      <w:r>
        <w:t xml:space="preserve">Genus retention (≥20% prevalence) re-derived independently within every split, using only that split’s training-side samples (Section 2.5.1), compared against the main analysis’s global (all-five-cohort) feature selection.</w:t>
      </w:r>
    </w:p>
    <w:p>
      <w:pPr>
        <w:pStyle w:val="BodyText"/>
      </w:pPr>
      <w:r>
        <w:rPr>
          <w:b/>
          <w:bCs/>
        </w:rPr>
        <w:t xml:space="preserve">LOCO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Original (Global-Feature) LOCO AUC</w:t>
            </w:r>
          </w:p>
        </w:tc>
        <w:tc>
          <w:tcPr/>
          <w:p>
            <w:pPr>
              <w:pStyle w:val="Compact"/>
            </w:pPr>
            <w:r>
              <w:t xml:space="preserve">Training-Only LOCO AUC</w:t>
            </w:r>
          </w:p>
        </w:tc>
        <w:tc>
          <w:tcPr/>
          <w:p>
            <w:pPr>
              <w:pStyle w:val="Compact"/>
            </w:pPr>
            <w:r>
              <w:t xml:space="preserve">Δ</w:t>
            </w:r>
          </w:p>
        </w:tc>
        <w:tc>
          <w:tcPr/>
          <w:p>
            <w:pPr>
              <w:pStyle w:val="Compact"/>
            </w:pPr>
            <w:r>
              <w:t xml:space="preserve">N Retained Genera (Training-Only)</w:t>
            </w:r>
          </w:p>
        </w:tc>
      </w:tr>
      <w:tr>
        <w:tc>
          <w:tcPr/>
          <w:p>
            <w:pPr>
              <w:pStyle w:val="Compact"/>
            </w:pPr>
            <w:r>
              <w:t xml:space="preserve">Zhuang 2018</w:t>
            </w:r>
          </w:p>
        </w:tc>
        <w:tc>
          <w:tcPr/>
          <w:p>
            <w:pPr>
              <w:pStyle w:val="Compact"/>
            </w:pPr>
            <w:r>
              <w:t xml:space="preserve">LogReg</w:t>
            </w:r>
          </w:p>
        </w:tc>
        <w:tc>
          <w:tcPr/>
          <w:p>
            <w:pPr>
              <w:pStyle w:val="Compact"/>
            </w:pPr>
            <w:r>
              <w:t xml:space="preserve">0.5041</w:t>
            </w:r>
          </w:p>
        </w:tc>
        <w:tc>
          <w:tcPr/>
          <w:p>
            <w:pPr>
              <w:pStyle w:val="Compact"/>
            </w:pPr>
            <w:r>
              <w:t xml:space="preserve">0.5057</w:t>
            </w:r>
          </w:p>
        </w:tc>
        <w:tc>
          <w:tcPr/>
          <w:p>
            <w:pPr>
              <w:pStyle w:val="Compact"/>
            </w:pPr>
            <w:r>
              <w:t xml:space="preserve">+0.0016</w:t>
            </w:r>
          </w:p>
        </w:tc>
        <w:tc>
          <w:tcPr/>
          <w:p>
            <w:pPr>
              <w:pStyle w:val="Compact"/>
            </w:pPr>
            <w:r>
              <w:t xml:space="preserve">370</w:t>
            </w:r>
          </w:p>
        </w:tc>
      </w:tr>
      <w:tr>
        <w:tc>
          <w:tcPr/>
          <w:p>
            <w:pPr>
              <w:pStyle w:val="Compact"/>
            </w:pPr>
            <w:r>
              <w:t xml:space="preserve">Zhuang 2018</w:t>
            </w:r>
          </w:p>
        </w:tc>
        <w:tc>
          <w:tcPr/>
          <w:p>
            <w:pPr>
              <w:pStyle w:val="Compact"/>
            </w:pPr>
            <w:r>
              <w:t xml:space="preserve">LGBM</w:t>
            </w:r>
          </w:p>
        </w:tc>
        <w:tc>
          <w:tcPr/>
          <w:p>
            <w:pPr>
              <w:pStyle w:val="Compact"/>
            </w:pPr>
            <w:r>
              <w:t xml:space="preserve">0.5646</w:t>
            </w:r>
          </w:p>
        </w:tc>
        <w:tc>
          <w:tcPr/>
          <w:p>
            <w:pPr>
              <w:pStyle w:val="Compact"/>
            </w:pPr>
            <w:r>
              <w:t xml:space="preserve">0.5960</w:t>
            </w:r>
          </w:p>
        </w:tc>
        <w:tc>
          <w:tcPr/>
          <w:p>
            <w:pPr>
              <w:pStyle w:val="Compact"/>
            </w:pPr>
            <w:r>
              <w:t xml:space="preserve">+0.0314</w:t>
            </w:r>
          </w:p>
        </w:tc>
        <w:tc>
          <w:tcPr/>
          <w:p>
            <w:pPr>
              <w:pStyle w:val="Compact"/>
            </w:pPr>
            <w:r>
              <w:t xml:space="preserve">370</w:t>
            </w:r>
          </w:p>
        </w:tc>
      </w:tr>
      <w:tr>
        <w:tc>
          <w:tcPr/>
          <w:p>
            <w:pPr>
              <w:pStyle w:val="Compact"/>
            </w:pPr>
            <w:r>
              <w:t xml:space="preserve">Ling 2020</w:t>
            </w:r>
          </w:p>
        </w:tc>
        <w:tc>
          <w:tcPr/>
          <w:p>
            <w:pPr>
              <w:pStyle w:val="Compact"/>
            </w:pPr>
            <w:r>
              <w:t xml:space="preserve">LogReg</w:t>
            </w:r>
          </w:p>
        </w:tc>
        <w:tc>
          <w:tcPr/>
          <w:p>
            <w:pPr>
              <w:pStyle w:val="Compact"/>
            </w:pPr>
            <w:r>
              <w:t xml:space="preserve">0.6775</w:t>
            </w:r>
          </w:p>
        </w:tc>
        <w:tc>
          <w:tcPr/>
          <w:p>
            <w:pPr>
              <w:pStyle w:val="Compact"/>
            </w:pPr>
            <w:r>
              <w:t xml:space="preserve">0.6794</w:t>
            </w:r>
          </w:p>
        </w:tc>
        <w:tc>
          <w:tcPr/>
          <w:p>
            <w:pPr>
              <w:pStyle w:val="Compact"/>
            </w:pPr>
            <w:r>
              <w:t xml:space="preserve">+0.0019</w:t>
            </w:r>
          </w:p>
        </w:tc>
        <w:tc>
          <w:tcPr/>
          <w:p>
            <w:pPr>
              <w:pStyle w:val="Compact"/>
            </w:pPr>
            <w:r>
              <w:t xml:space="preserve">370</w:t>
            </w:r>
          </w:p>
        </w:tc>
      </w:tr>
      <w:tr>
        <w:tc>
          <w:tcPr/>
          <w:p>
            <w:pPr>
              <w:pStyle w:val="Compact"/>
            </w:pPr>
            <w:r>
              <w:t xml:space="preserve">Ling 2020</w:t>
            </w:r>
          </w:p>
        </w:tc>
        <w:tc>
          <w:tcPr/>
          <w:p>
            <w:pPr>
              <w:pStyle w:val="Compact"/>
            </w:pPr>
            <w:r>
              <w:t xml:space="preserve">LGBM</w:t>
            </w:r>
          </w:p>
        </w:tc>
        <w:tc>
          <w:tcPr/>
          <w:p>
            <w:pPr>
              <w:pStyle w:val="Compact"/>
            </w:pPr>
            <w:r>
              <w:t xml:space="preserve">0.6735</w:t>
            </w:r>
          </w:p>
        </w:tc>
        <w:tc>
          <w:tcPr/>
          <w:p>
            <w:pPr>
              <w:pStyle w:val="Compact"/>
            </w:pPr>
            <w:r>
              <w:t xml:space="preserve">0.6534</w:t>
            </w:r>
          </w:p>
        </w:tc>
        <w:tc>
          <w:tcPr/>
          <w:p>
            <w:pPr>
              <w:pStyle w:val="Compact"/>
            </w:pPr>
            <w:r>
              <w:t xml:space="preserve">−0.0201</w:t>
            </w:r>
          </w:p>
        </w:tc>
        <w:tc>
          <w:tcPr/>
          <w:p>
            <w:pPr>
              <w:pStyle w:val="Compact"/>
            </w:pPr>
            <w:r>
              <w:t xml:space="preserve">370</w:t>
            </w:r>
          </w:p>
        </w:tc>
      </w:tr>
      <w:tr>
        <w:tc>
          <w:tcPr/>
          <w:p>
            <w:pPr>
              <w:pStyle w:val="Compact"/>
            </w:pPr>
            <w:r>
              <w:t xml:space="preserve">Zhu 2022</w:t>
            </w:r>
          </w:p>
        </w:tc>
        <w:tc>
          <w:tcPr/>
          <w:p>
            <w:pPr>
              <w:pStyle w:val="Compact"/>
            </w:pPr>
            <w:r>
              <w:t xml:space="preserve">LogReg</w:t>
            </w:r>
          </w:p>
        </w:tc>
        <w:tc>
          <w:tcPr/>
          <w:p>
            <w:pPr>
              <w:pStyle w:val="Compact"/>
            </w:pPr>
            <w:r>
              <w:t xml:space="preserve">0.8133</w:t>
            </w:r>
          </w:p>
        </w:tc>
        <w:tc>
          <w:tcPr/>
          <w:p>
            <w:pPr>
              <w:pStyle w:val="Compact"/>
            </w:pPr>
            <w:r>
              <w:t xml:space="preserve">0.8122</w:t>
            </w:r>
          </w:p>
        </w:tc>
        <w:tc>
          <w:tcPr/>
          <w:p>
            <w:pPr>
              <w:pStyle w:val="Compact"/>
            </w:pPr>
            <w:r>
              <w:t xml:space="preserve">−0.0011</w:t>
            </w:r>
          </w:p>
        </w:tc>
        <w:tc>
          <w:tcPr/>
          <w:p>
            <w:pPr>
              <w:pStyle w:val="Compact"/>
            </w:pPr>
            <w:r>
              <w:t xml:space="preserve">373</w:t>
            </w:r>
          </w:p>
        </w:tc>
      </w:tr>
      <w:tr>
        <w:tc>
          <w:tcPr/>
          <w:p>
            <w:pPr>
              <w:pStyle w:val="Compact"/>
            </w:pPr>
            <w:r>
              <w:t xml:space="preserve">Zhu 2022</w:t>
            </w:r>
          </w:p>
        </w:tc>
        <w:tc>
          <w:tcPr/>
          <w:p>
            <w:pPr>
              <w:pStyle w:val="Compact"/>
            </w:pPr>
            <w:r>
              <w:t xml:space="preserve">LGBM</w:t>
            </w:r>
          </w:p>
        </w:tc>
        <w:tc>
          <w:tcPr/>
          <w:p>
            <w:pPr>
              <w:pStyle w:val="Compact"/>
            </w:pPr>
            <w:r>
              <w:t xml:space="preserve">0.7578</w:t>
            </w:r>
          </w:p>
        </w:tc>
        <w:tc>
          <w:tcPr/>
          <w:p>
            <w:pPr>
              <w:pStyle w:val="Compact"/>
            </w:pPr>
            <w:r>
              <w:t xml:space="preserve">0.7878</w:t>
            </w:r>
          </w:p>
        </w:tc>
        <w:tc>
          <w:tcPr/>
          <w:p>
            <w:pPr>
              <w:pStyle w:val="Compact"/>
            </w:pPr>
            <w:r>
              <w:t xml:space="preserve">+0.0300</w:t>
            </w:r>
          </w:p>
        </w:tc>
        <w:tc>
          <w:tcPr/>
          <w:p>
            <w:pPr>
              <w:pStyle w:val="Compact"/>
            </w:pPr>
            <w:r>
              <w:t xml:space="preserve">373</w:t>
            </w:r>
          </w:p>
        </w:tc>
      </w:tr>
      <w:tr>
        <w:tc>
          <w:tcPr/>
          <w:p>
            <w:pPr>
              <w:pStyle w:val="Compact"/>
            </w:pPr>
            <w:r>
              <w:t xml:space="preserve">Kazakhstan</w:t>
            </w:r>
          </w:p>
        </w:tc>
        <w:tc>
          <w:tcPr/>
          <w:p>
            <w:pPr>
              <w:pStyle w:val="Compact"/>
            </w:pPr>
            <w:r>
              <w:t xml:space="preserve">LogReg</w:t>
            </w:r>
          </w:p>
        </w:tc>
        <w:tc>
          <w:tcPr/>
          <w:p>
            <w:pPr>
              <w:pStyle w:val="Compact"/>
            </w:pPr>
            <w:r>
              <w:t xml:space="preserve">0.5644</w:t>
            </w:r>
          </w:p>
        </w:tc>
        <w:tc>
          <w:tcPr/>
          <w:p>
            <w:pPr>
              <w:pStyle w:val="Compact"/>
            </w:pPr>
            <w:r>
              <w:t xml:space="preserve">0.6092</w:t>
            </w:r>
          </w:p>
        </w:tc>
        <w:tc>
          <w:tcPr/>
          <w:p>
            <w:pPr>
              <w:pStyle w:val="Compact"/>
            </w:pPr>
            <w:r>
              <w:t xml:space="preserve">+0.0448</w:t>
            </w:r>
          </w:p>
        </w:tc>
        <w:tc>
          <w:tcPr/>
          <w:p>
            <w:pPr>
              <w:pStyle w:val="Compact"/>
            </w:pPr>
            <w:r>
              <w:t xml:space="preserve">150</w:t>
            </w:r>
          </w:p>
        </w:tc>
      </w:tr>
      <w:tr>
        <w:tc>
          <w:tcPr/>
          <w:p>
            <w:pPr>
              <w:pStyle w:val="Compact"/>
            </w:pPr>
            <w:r>
              <w:t xml:space="preserve">Kazakhstan</w:t>
            </w:r>
          </w:p>
        </w:tc>
        <w:tc>
          <w:tcPr/>
          <w:p>
            <w:pPr>
              <w:pStyle w:val="Compact"/>
            </w:pPr>
            <w:r>
              <w:t xml:space="preserve">LGBM</w:t>
            </w:r>
          </w:p>
        </w:tc>
        <w:tc>
          <w:tcPr/>
          <w:p>
            <w:pPr>
              <w:pStyle w:val="Compact"/>
            </w:pPr>
            <w:r>
              <w:t xml:space="preserve">0.5905</w:t>
            </w:r>
          </w:p>
        </w:tc>
        <w:tc>
          <w:tcPr/>
          <w:p>
            <w:pPr>
              <w:pStyle w:val="Compact"/>
            </w:pPr>
            <w:r>
              <w:t xml:space="preserve">0.5247</w:t>
            </w:r>
          </w:p>
        </w:tc>
        <w:tc>
          <w:tcPr/>
          <w:p>
            <w:pPr>
              <w:pStyle w:val="Compact"/>
            </w:pPr>
            <w:r>
              <w:t xml:space="preserve">−0.0658</w:t>
            </w:r>
          </w:p>
        </w:tc>
        <w:tc>
          <w:tcPr/>
          <w:p>
            <w:pPr>
              <w:pStyle w:val="Compact"/>
            </w:pPr>
            <w:r>
              <w:t xml:space="preserve">150</w:t>
            </w:r>
          </w:p>
        </w:tc>
      </w:tr>
    </w:tbl>
    <w:p>
      <w:pPr>
        <w:pStyle w:val="BodyText"/>
      </w:pPr>
      <w:r>
        <w:rPr>
          <w:b/>
          <w:bCs/>
        </w:rPr>
        <w:t xml:space="preserve">Within-cohort nested CV</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Model</w:t>
            </w:r>
          </w:p>
        </w:tc>
        <w:tc>
          <w:tcPr/>
          <w:p>
            <w:pPr>
              <w:pStyle w:val="Compact"/>
            </w:pPr>
            <w:r>
              <w:t xml:space="preserve">Original (Global-Feature) AUC</w:t>
            </w:r>
          </w:p>
        </w:tc>
        <w:tc>
          <w:tcPr/>
          <w:p>
            <w:pPr>
              <w:pStyle w:val="Compact"/>
            </w:pPr>
            <w:r>
              <w:t xml:space="preserve">Training-Only AUC</w:t>
            </w:r>
          </w:p>
        </w:tc>
        <w:tc>
          <w:tcPr/>
          <w:p>
            <w:pPr>
              <w:pStyle w:val="Compact"/>
            </w:pPr>
            <w:r>
              <w:t xml:space="preserve">Δ</w:t>
            </w:r>
          </w:p>
        </w:tc>
      </w:tr>
      <w:tr>
        <w:tc>
          <w:tcPr/>
          <w:p>
            <w:pPr>
              <w:pStyle w:val="Compact"/>
            </w:pPr>
            <w:r>
              <w:t xml:space="preserve">Zhuang 2018</w:t>
            </w:r>
          </w:p>
        </w:tc>
        <w:tc>
          <w:tcPr/>
          <w:p>
            <w:pPr>
              <w:pStyle w:val="Compact"/>
            </w:pPr>
            <w:r>
              <w:t xml:space="preserve">LogReg</w:t>
            </w:r>
          </w:p>
        </w:tc>
        <w:tc>
          <w:tcPr/>
          <w:p>
            <w:pPr>
              <w:pStyle w:val="Compact"/>
            </w:pPr>
            <w:r>
              <w:t xml:space="preserve">0.6333</w:t>
            </w:r>
          </w:p>
        </w:tc>
        <w:tc>
          <w:tcPr/>
          <w:p>
            <w:pPr>
              <w:pStyle w:val="Compact"/>
            </w:pPr>
            <w:r>
              <w:t xml:space="preserve">0.6647</w:t>
            </w:r>
          </w:p>
        </w:tc>
        <w:tc>
          <w:tcPr/>
          <w:p>
            <w:pPr>
              <w:pStyle w:val="Compact"/>
            </w:pPr>
            <w:r>
              <w:t xml:space="preserve">+0.0314</w:t>
            </w:r>
          </w:p>
        </w:tc>
      </w:tr>
      <w:tr>
        <w:tc>
          <w:tcPr/>
          <w:p>
            <w:pPr>
              <w:pStyle w:val="Compact"/>
            </w:pPr>
            <w:r>
              <w:t xml:space="preserve">Zhuang 2018</w:t>
            </w:r>
          </w:p>
        </w:tc>
        <w:tc>
          <w:tcPr/>
          <w:p>
            <w:pPr>
              <w:pStyle w:val="Compact"/>
            </w:pPr>
            <w:r>
              <w:t xml:space="preserve">LGBM</w:t>
            </w:r>
          </w:p>
        </w:tc>
        <w:tc>
          <w:tcPr/>
          <w:p>
            <w:pPr>
              <w:pStyle w:val="Compact"/>
            </w:pPr>
            <w:r>
              <w:t xml:space="preserve">0.6349</w:t>
            </w:r>
          </w:p>
        </w:tc>
        <w:tc>
          <w:tcPr/>
          <w:p>
            <w:pPr>
              <w:pStyle w:val="Compact"/>
            </w:pPr>
            <w:r>
              <w:t xml:space="preserve">0.6733</w:t>
            </w:r>
          </w:p>
        </w:tc>
        <w:tc>
          <w:tcPr/>
          <w:p>
            <w:pPr>
              <w:pStyle w:val="Compact"/>
            </w:pPr>
            <w:r>
              <w:t xml:space="preserve">+0.0384</w:t>
            </w:r>
          </w:p>
        </w:tc>
      </w:tr>
      <w:tr>
        <w:tc>
          <w:tcPr/>
          <w:p>
            <w:pPr>
              <w:pStyle w:val="Compact"/>
            </w:pPr>
            <w:r>
              <w:t xml:space="preserve">Ling 2020</w:t>
            </w:r>
          </w:p>
        </w:tc>
        <w:tc>
          <w:tcPr/>
          <w:p>
            <w:pPr>
              <w:pStyle w:val="Compact"/>
            </w:pPr>
            <w:r>
              <w:t xml:space="preserve">LogReg</w:t>
            </w:r>
          </w:p>
        </w:tc>
        <w:tc>
          <w:tcPr/>
          <w:p>
            <w:pPr>
              <w:pStyle w:val="Compact"/>
            </w:pPr>
            <w:r>
              <w:t xml:space="preserve">0.8648</w:t>
            </w:r>
          </w:p>
        </w:tc>
        <w:tc>
          <w:tcPr/>
          <w:p>
            <w:pPr>
              <w:pStyle w:val="Compact"/>
            </w:pPr>
            <w:r>
              <w:t xml:space="preserve">0.8896</w:t>
            </w:r>
          </w:p>
        </w:tc>
        <w:tc>
          <w:tcPr/>
          <w:p>
            <w:pPr>
              <w:pStyle w:val="Compact"/>
            </w:pPr>
            <w:r>
              <w:t xml:space="preserve">+0.0248</w:t>
            </w:r>
          </w:p>
        </w:tc>
      </w:tr>
      <w:tr>
        <w:tc>
          <w:tcPr/>
          <w:p>
            <w:pPr>
              <w:pStyle w:val="Compact"/>
            </w:pPr>
            <w:r>
              <w:t xml:space="preserve">Ling 2020</w:t>
            </w:r>
          </w:p>
        </w:tc>
        <w:tc>
          <w:tcPr/>
          <w:p>
            <w:pPr>
              <w:pStyle w:val="Compact"/>
            </w:pPr>
            <w:r>
              <w:t xml:space="preserve">LGBM</w:t>
            </w:r>
          </w:p>
        </w:tc>
        <w:tc>
          <w:tcPr/>
          <w:p>
            <w:pPr>
              <w:pStyle w:val="Compact"/>
            </w:pPr>
            <w:r>
              <w:t xml:space="preserve">0.8618</w:t>
            </w:r>
          </w:p>
        </w:tc>
        <w:tc>
          <w:tcPr/>
          <w:p>
            <w:pPr>
              <w:pStyle w:val="Compact"/>
            </w:pPr>
            <w:r>
              <w:t xml:space="preserve">0.8415</w:t>
            </w:r>
          </w:p>
        </w:tc>
        <w:tc>
          <w:tcPr/>
          <w:p>
            <w:pPr>
              <w:pStyle w:val="Compact"/>
            </w:pPr>
            <w:r>
              <w:t xml:space="preserve">−0.0203</w:t>
            </w:r>
          </w:p>
        </w:tc>
      </w:tr>
      <w:tr>
        <w:tc>
          <w:tcPr/>
          <w:p>
            <w:pPr>
              <w:pStyle w:val="Compact"/>
            </w:pPr>
            <w:r>
              <w:t xml:space="preserve">Zhu 2022</w:t>
            </w:r>
          </w:p>
        </w:tc>
        <w:tc>
          <w:tcPr/>
          <w:p>
            <w:pPr>
              <w:pStyle w:val="Compact"/>
            </w:pPr>
            <w:r>
              <w:t xml:space="preserve">LogReg</w:t>
            </w:r>
          </w:p>
        </w:tc>
        <w:tc>
          <w:tcPr/>
          <w:p>
            <w:pPr>
              <w:pStyle w:val="Compact"/>
            </w:pPr>
            <w:r>
              <w:t xml:space="preserve">0.9978</w:t>
            </w:r>
          </w:p>
        </w:tc>
        <w:tc>
          <w:tcPr/>
          <w:p>
            <w:pPr>
              <w:pStyle w:val="Compact"/>
            </w:pPr>
            <w:r>
              <w:t xml:space="preserve">0.9956</w:t>
            </w:r>
          </w:p>
        </w:tc>
        <w:tc>
          <w:tcPr/>
          <w:p>
            <w:pPr>
              <w:pStyle w:val="Compact"/>
            </w:pPr>
            <w:r>
              <w:t xml:space="preserve">−0.0022</w:t>
            </w:r>
          </w:p>
        </w:tc>
      </w:tr>
      <w:tr>
        <w:tc>
          <w:tcPr/>
          <w:p>
            <w:pPr>
              <w:pStyle w:val="Compact"/>
            </w:pPr>
            <w:r>
              <w:t xml:space="preserve">Zhu 2022</w:t>
            </w:r>
          </w:p>
        </w:tc>
        <w:tc>
          <w:tcPr/>
          <w:p>
            <w:pPr>
              <w:pStyle w:val="Compact"/>
            </w:pPr>
            <w:r>
              <w:t xml:space="preserve">LGBM</w:t>
            </w:r>
          </w:p>
        </w:tc>
        <w:tc>
          <w:tcPr/>
          <w:p>
            <w:pPr>
              <w:pStyle w:val="Compact"/>
            </w:pPr>
            <w:r>
              <w:t xml:space="preserve">0.9789</w:t>
            </w:r>
          </w:p>
        </w:tc>
        <w:tc>
          <w:tcPr/>
          <w:p>
            <w:pPr>
              <w:pStyle w:val="Compact"/>
            </w:pPr>
            <w:r>
              <w:t xml:space="preserve">0.9700</w:t>
            </w:r>
          </w:p>
        </w:tc>
        <w:tc>
          <w:tcPr/>
          <w:p>
            <w:pPr>
              <w:pStyle w:val="Compact"/>
            </w:pPr>
            <w:r>
              <w:t xml:space="preserve">−0.0089</w:t>
            </w:r>
          </w:p>
        </w:tc>
      </w:tr>
      <w:tr>
        <w:tc>
          <w:tcPr/>
          <w:p>
            <w:pPr>
              <w:pStyle w:val="Compact"/>
            </w:pPr>
            <w:r>
              <w:t xml:space="preserve">Kazakhstan</w:t>
            </w:r>
          </w:p>
        </w:tc>
        <w:tc>
          <w:tcPr/>
          <w:p>
            <w:pPr>
              <w:pStyle w:val="Compact"/>
            </w:pPr>
            <w:r>
              <w:t xml:space="preserve">LogReg</w:t>
            </w:r>
          </w:p>
        </w:tc>
        <w:tc>
          <w:tcPr/>
          <w:p>
            <w:pPr>
              <w:pStyle w:val="Compact"/>
            </w:pPr>
            <w:r>
              <w:t xml:space="preserve">0.7657</w:t>
            </w:r>
          </w:p>
        </w:tc>
        <w:tc>
          <w:tcPr/>
          <w:p>
            <w:pPr>
              <w:pStyle w:val="Compact"/>
            </w:pPr>
            <w:r>
              <w:t xml:space="preserve">0.7368</w:t>
            </w:r>
          </w:p>
        </w:tc>
        <w:tc>
          <w:tcPr/>
          <w:p>
            <w:pPr>
              <w:pStyle w:val="Compact"/>
            </w:pPr>
            <w:r>
              <w:t xml:space="preserve">−0.0289</w:t>
            </w:r>
          </w:p>
        </w:tc>
      </w:tr>
      <w:tr>
        <w:tc>
          <w:tcPr/>
          <w:p>
            <w:pPr>
              <w:pStyle w:val="Compact"/>
            </w:pPr>
            <w:r>
              <w:t xml:space="preserve">Kazakhstan</w:t>
            </w:r>
          </w:p>
        </w:tc>
        <w:tc>
          <w:tcPr/>
          <w:p>
            <w:pPr>
              <w:pStyle w:val="Compact"/>
            </w:pPr>
            <w:r>
              <w:t xml:space="preserve">LGBM</w:t>
            </w:r>
          </w:p>
        </w:tc>
        <w:tc>
          <w:tcPr/>
          <w:p>
            <w:pPr>
              <w:pStyle w:val="Compact"/>
            </w:pPr>
            <w:r>
              <w:t xml:space="preserve">0.6943</w:t>
            </w:r>
          </w:p>
        </w:tc>
        <w:tc>
          <w:tcPr/>
          <w:p>
            <w:pPr>
              <w:pStyle w:val="Compact"/>
            </w:pPr>
            <w:r>
              <w:t xml:space="preserve">0.6109</w:t>
            </w:r>
          </w:p>
        </w:tc>
        <w:tc>
          <w:tcPr/>
          <w:p>
            <w:pPr>
              <w:pStyle w:val="Compact"/>
            </w:pPr>
            <w:r>
              <w:t xml:space="preserve">−0.0834</w:t>
            </w:r>
          </w:p>
        </w:tc>
      </w:tr>
    </w:tbl>
    <w:p>
      <w:pPr>
        <w:pStyle w:val="BodyText"/>
      </w:pPr>
      <w:r>
        <w:t xml:space="preserve">The retained genus count for LOCO training-only selection is lower when Kazakhstan is excluded from feature selection (150 genera) than when it is included in the training pool (370–373 genera), reflecting that Kazakhstan alone passes the 20%-prevalence threshold for many genera the Chinese/Korean-pipeline cohorts do not. No cohort–model combination changes qualitative classification (near-chance, intermediate, robust) between the global and training-only designs.</w:t>
      </w:r>
    </w:p>
    <w:p>
      <w:pPr>
        <w:pStyle w:val="BodyText"/>
      </w:pPr>
      <w:r>
        <w:rPr>
          <w:i/>
          <w:iCs/>
        </w:rPr>
        <w:t xml:space="preserve">Source data:</w:t>
      </w:r>
      <w:r>
        <w:t xml:space="preserve"> </w:t>
      </w:r>
      <w:r>
        <w:rPr>
          <w:rStyle w:val="VerbatimChar"/>
        </w:rPr>
        <w:t xml:space="preserve">results/tables/within_cohort_auc_training_only.csv</w:t>
      </w:r>
      <w:r>
        <w:t xml:space="preserve">,</w:t>
      </w:r>
      <w:r>
        <w:t xml:space="preserve"> </w:t>
      </w:r>
      <w:r>
        <w:rPr>
          <w:rStyle w:val="VerbatimChar"/>
        </w:rPr>
        <w:t xml:space="preserve">results/tables/loco_auc_training_only.csv</w:t>
      </w:r>
      <w:r>
        <w:t xml:space="preserve">,</w:t>
      </w:r>
      <w:r>
        <w:t xml:space="preserve"> </w:t>
      </w:r>
      <w:r>
        <w:rPr>
          <w:rStyle w:val="VerbatimChar"/>
        </w:rPr>
        <w:t xml:space="preserve">results/tables/pairwise_auc_training_only.csv</w:t>
      </w:r>
      <w:r>
        <w:t xml:space="preserve">,</w:t>
      </w:r>
      <w:r>
        <w:t xml:space="preserve"> </w:t>
      </w:r>
      <w:r>
        <w:rPr>
          <w:rStyle w:val="VerbatimChar"/>
        </w:rPr>
        <w:t xml:space="preserve">results/tables/training_only_feature_sensitivity_summary.csv</w:t>
      </w:r>
      <w:r>
        <w:t xml:space="preserve">,</w:t>
      </w:r>
      <w:r>
        <w:t xml:space="preserve"> </w:t>
      </w:r>
      <w:r>
        <w:rPr>
          <w:rStyle w:val="VerbatimChar"/>
        </w:rPr>
        <w:t xml:space="preserve">results/tables/training_only_feature_counts.csv</w:t>
      </w:r>
      <w:r>
        <w:t xml:space="preserve">,</w:t>
      </w:r>
      <w:r>
        <w:t xml:space="preserve"> </w:t>
      </w:r>
      <w:r>
        <w:rPr>
          <w:rStyle w:val="VerbatimChar"/>
        </w:rPr>
        <w:t xml:space="preserve">results/tables/training_only_feature_lists.csv</w:t>
      </w:r>
      <w:r>
        <w:t xml:space="preserve"> </w:t>
      </w:r>
      <w:r>
        <w:t xml:space="preserve">(full per-split retained-genus lists).</w:t>
      </w:r>
    </w:p>
    <w:p>
      <w:r>
        <w:pict>
          <v:rect style="width:0;height:1.5pt" o:hralign="center" o:hrstd="t" o:hr="t"/>
        </w:pict>
      </w:r>
    </w:p>
    <w:bookmarkEnd w:id="12"/>
    <w:bookmarkStart w:id="13" w:name="Xc5e2b452a6d51f0c57fa63b84e7f1f3025cec0b"/>
    <w:p>
      <w:pPr>
        <w:pStyle w:val="Heading3"/>
      </w:pPr>
      <w:r>
        <w:t xml:space="preserve">Table S5. Within-Cohort AUC on Batch-Corrected Data: Label-Blind vs. Label-Informed</w:t>
      </w:r>
    </w:p>
    <w:p>
      <w:pPr>
        <w:pStyle w:val="FirstParagraph"/>
      </w:pPr>
      <w:r>
        <w:t xml:space="preserve">Within-cohort nested-CV AUC (Section 2.4 procedure) computed on batch-corrected features, under both correction designs (Section 2.7). The label-blind comparison is free of diagnosis-label leakage during correction; the label-informed comparison is not (Section 3.5) and is shown only for completeness/continuity with the original analysis.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Model</w:t>
            </w:r>
          </w:p>
        </w:tc>
        <w:tc>
          <w:tcPr/>
          <w:p>
            <w:pPr>
              <w:pStyle w:val="Compact"/>
            </w:pPr>
            <w:r>
              <w:t xml:space="preserve">Uncorrected</w:t>
            </w:r>
          </w:p>
        </w:tc>
        <w:tc>
          <w:tcPr/>
          <w:p>
            <w:pPr>
              <w:pStyle w:val="Compact"/>
            </w:pPr>
            <w:r>
              <w:t xml:space="preserve">ComBat-seq (label-blind)</w:t>
            </w:r>
          </w:p>
        </w:tc>
        <w:tc>
          <w:tcPr/>
          <w:p>
            <w:pPr>
              <w:pStyle w:val="Compact"/>
            </w:pPr>
            <w:r>
              <w:t xml:space="preserve">MMUPHin (label-blind)</w:t>
            </w:r>
          </w:p>
        </w:tc>
        <w:tc>
          <w:tcPr/>
          <w:p>
            <w:pPr>
              <w:pStyle w:val="Compact"/>
            </w:pPr>
            <w:r>
              <w:t xml:space="preserve">ComBat-seq (label-informed, exploratory)</w:t>
            </w:r>
          </w:p>
        </w:tc>
        <w:tc>
          <w:tcPr/>
          <w:p>
            <w:pPr>
              <w:pStyle w:val="Compact"/>
            </w:pPr>
            <w:r>
              <w:t xml:space="preserve">MMUPHin (label-informed, exploratory)</w:t>
            </w:r>
          </w:p>
        </w:tc>
      </w:tr>
      <w:tr>
        <w:tc>
          <w:tcPr/>
          <w:p>
            <w:pPr>
              <w:pStyle w:val="Compact"/>
            </w:pPr>
            <w:r>
              <w:t xml:space="preserve">Zhuang 2018</w:t>
            </w:r>
          </w:p>
        </w:tc>
        <w:tc>
          <w:tcPr/>
          <w:p>
            <w:pPr>
              <w:pStyle w:val="Compact"/>
            </w:pPr>
            <w:r>
              <w:t xml:space="preserve">LogReg</w:t>
            </w:r>
          </w:p>
        </w:tc>
        <w:tc>
          <w:tcPr/>
          <w:p>
            <w:pPr>
              <w:pStyle w:val="Compact"/>
            </w:pPr>
            <w:r>
              <w:t xml:space="preserve">0.6333</w:t>
            </w:r>
          </w:p>
        </w:tc>
        <w:tc>
          <w:tcPr/>
          <w:p>
            <w:pPr>
              <w:pStyle w:val="Compact"/>
            </w:pPr>
            <w:r>
              <w:t xml:space="preserve">0.6604</w:t>
            </w:r>
          </w:p>
        </w:tc>
        <w:tc>
          <w:tcPr/>
          <w:p>
            <w:pPr>
              <w:pStyle w:val="Compact"/>
            </w:pPr>
            <w:r>
              <w:t xml:space="preserve">0.6171</w:t>
            </w:r>
          </w:p>
        </w:tc>
        <w:tc>
          <w:tcPr/>
          <w:p>
            <w:pPr>
              <w:pStyle w:val="Compact"/>
            </w:pPr>
            <w:r>
              <w:t xml:space="preserve">0.6647</w:t>
            </w:r>
          </w:p>
        </w:tc>
        <w:tc>
          <w:tcPr/>
          <w:p>
            <w:pPr>
              <w:pStyle w:val="Compact"/>
            </w:pPr>
            <w:r>
              <w:t xml:space="preserve">0.6393</w:t>
            </w:r>
          </w:p>
        </w:tc>
      </w:tr>
      <w:tr>
        <w:tc>
          <w:tcPr/>
          <w:p>
            <w:pPr>
              <w:pStyle w:val="Compact"/>
            </w:pPr>
            <w:r>
              <w:t xml:space="preserve">Zhuang 2018</w:t>
            </w:r>
          </w:p>
        </w:tc>
        <w:tc>
          <w:tcPr/>
          <w:p>
            <w:pPr>
              <w:pStyle w:val="Compact"/>
            </w:pPr>
            <w:r>
              <w:t xml:space="preserve">LGBM</w:t>
            </w:r>
          </w:p>
        </w:tc>
        <w:tc>
          <w:tcPr/>
          <w:p>
            <w:pPr>
              <w:pStyle w:val="Compact"/>
            </w:pPr>
            <w:r>
              <w:t xml:space="preserve">0.6349</w:t>
            </w:r>
          </w:p>
        </w:tc>
        <w:tc>
          <w:tcPr/>
          <w:p>
            <w:pPr>
              <w:pStyle w:val="Compact"/>
            </w:pPr>
            <w:r>
              <w:t xml:space="preserve">0.6479</w:t>
            </w:r>
          </w:p>
        </w:tc>
        <w:tc>
          <w:tcPr/>
          <w:p>
            <w:pPr>
              <w:pStyle w:val="Compact"/>
            </w:pPr>
            <w:r>
              <w:t xml:space="preserve">0.6247</w:t>
            </w:r>
          </w:p>
        </w:tc>
        <w:tc>
          <w:tcPr/>
          <w:p>
            <w:pPr>
              <w:pStyle w:val="Compact"/>
            </w:pPr>
            <w:r>
              <w:t xml:space="preserve">0.6544</w:t>
            </w:r>
          </w:p>
        </w:tc>
        <w:tc>
          <w:tcPr/>
          <w:p>
            <w:pPr>
              <w:pStyle w:val="Compact"/>
            </w:pPr>
            <w:r>
              <w:t xml:space="preserve">0.5765</w:t>
            </w:r>
          </w:p>
        </w:tc>
      </w:tr>
      <w:tr>
        <w:tc>
          <w:tcPr/>
          <w:p>
            <w:pPr>
              <w:pStyle w:val="Compact"/>
            </w:pPr>
            <w:r>
              <w:t xml:space="preserve">Ling 2020</w:t>
            </w:r>
          </w:p>
        </w:tc>
        <w:tc>
          <w:tcPr/>
          <w:p>
            <w:pPr>
              <w:pStyle w:val="Compact"/>
            </w:pPr>
            <w:r>
              <w:t xml:space="preserve">LogReg</w:t>
            </w:r>
          </w:p>
        </w:tc>
        <w:tc>
          <w:tcPr/>
          <w:p>
            <w:pPr>
              <w:pStyle w:val="Compact"/>
            </w:pPr>
            <w:r>
              <w:t xml:space="preserve">0.8648</w:t>
            </w:r>
          </w:p>
        </w:tc>
        <w:tc>
          <w:tcPr/>
          <w:p>
            <w:pPr>
              <w:pStyle w:val="Compact"/>
            </w:pPr>
            <w:r>
              <w:t xml:space="preserve">0.8701</w:t>
            </w:r>
          </w:p>
        </w:tc>
        <w:tc>
          <w:tcPr/>
          <w:p>
            <w:pPr>
              <w:pStyle w:val="Compact"/>
            </w:pPr>
            <w:r>
              <w:t xml:space="preserve">0.8690</w:t>
            </w:r>
          </w:p>
        </w:tc>
        <w:tc>
          <w:tcPr/>
          <w:p>
            <w:pPr>
              <w:pStyle w:val="Compact"/>
            </w:pPr>
            <w:r>
              <w:t xml:space="preserve">0.8754</w:t>
            </w:r>
          </w:p>
        </w:tc>
        <w:tc>
          <w:tcPr/>
          <w:p>
            <w:pPr>
              <w:pStyle w:val="Compact"/>
            </w:pPr>
            <w:r>
              <w:t xml:space="preserve">0.8863</w:t>
            </w:r>
          </w:p>
        </w:tc>
      </w:tr>
      <w:tr>
        <w:tc>
          <w:tcPr/>
          <w:p>
            <w:pPr>
              <w:pStyle w:val="Compact"/>
            </w:pPr>
            <w:r>
              <w:t xml:space="preserve">Ling 2020</w:t>
            </w:r>
          </w:p>
        </w:tc>
        <w:tc>
          <w:tcPr/>
          <w:p>
            <w:pPr>
              <w:pStyle w:val="Compact"/>
            </w:pPr>
            <w:r>
              <w:t xml:space="preserve">LGBM</w:t>
            </w:r>
          </w:p>
        </w:tc>
        <w:tc>
          <w:tcPr/>
          <w:p>
            <w:pPr>
              <w:pStyle w:val="Compact"/>
            </w:pPr>
            <w:r>
              <w:t xml:space="preserve">0.8618</w:t>
            </w:r>
          </w:p>
        </w:tc>
        <w:tc>
          <w:tcPr/>
          <w:p>
            <w:pPr>
              <w:pStyle w:val="Compact"/>
            </w:pPr>
            <w:r>
              <w:t xml:space="preserve">0.8255</w:t>
            </w:r>
          </w:p>
        </w:tc>
        <w:tc>
          <w:tcPr/>
          <w:p>
            <w:pPr>
              <w:pStyle w:val="Compact"/>
            </w:pPr>
            <w:r>
              <w:t xml:space="preserve">0.8689</w:t>
            </w:r>
          </w:p>
        </w:tc>
        <w:tc>
          <w:tcPr/>
          <w:p>
            <w:pPr>
              <w:pStyle w:val="Compact"/>
            </w:pPr>
            <w:r>
              <w:t xml:space="preserve">0.8659</w:t>
            </w:r>
          </w:p>
        </w:tc>
        <w:tc>
          <w:tcPr/>
          <w:p>
            <w:pPr>
              <w:pStyle w:val="Compact"/>
            </w:pPr>
            <w:r>
              <w:t xml:space="preserve">0.8844</w:t>
            </w:r>
          </w:p>
        </w:tc>
      </w:tr>
      <w:tr>
        <w:tc>
          <w:tcPr/>
          <w:p>
            <w:pPr>
              <w:pStyle w:val="Compact"/>
            </w:pPr>
            <w:r>
              <w:t xml:space="preserve">Zhu 2022</w:t>
            </w:r>
          </w:p>
        </w:tc>
        <w:tc>
          <w:tcPr/>
          <w:p>
            <w:pPr>
              <w:pStyle w:val="Compact"/>
            </w:pPr>
            <w:r>
              <w:t xml:space="preserve">LogReg</w:t>
            </w:r>
          </w:p>
        </w:tc>
        <w:tc>
          <w:tcPr/>
          <w:p>
            <w:pPr>
              <w:pStyle w:val="Compact"/>
            </w:pPr>
            <w:r>
              <w:t xml:space="preserve">0.9978</w:t>
            </w:r>
          </w:p>
        </w:tc>
        <w:tc>
          <w:tcPr/>
          <w:p>
            <w:pPr>
              <w:pStyle w:val="Compact"/>
            </w:pPr>
            <w:r>
              <w:t xml:space="preserve">0.9878</w:t>
            </w:r>
          </w:p>
        </w:tc>
        <w:tc>
          <w:tcPr/>
          <w:p>
            <w:pPr>
              <w:pStyle w:val="Compact"/>
            </w:pPr>
            <w:r>
              <w:t xml:space="preserve">0.9900</w:t>
            </w:r>
          </w:p>
        </w:tc>
        <w:tc>
          <w:tcPr/>
          <w:p>
            <w:pPr>
              <w:pStyle w:val="Compact"/>
            </w:pPr>
            <w:r>
              <w:t xml:space="preserve">0.9956</w:t>
            </w:r>
          </w:p>
        </w:tc>
        <w:tc>
          <w:tcPr/>
          <w:p>
            <w:pPr>
              <w:pStyle w:val="Compact"/>
            </w:pPr>
            <w:r>
              <w:t xml:space="preserve">0.9933</w:t>
            </w:r>
          </w:p>
        </w:tc>
      </w:tr>
      <w:tr>
        <w:tc>
          <w:tcPr/>
          <w:p>
            <w:pPr>
              <w:pStyle w:val="Compact"/>
            </w:pPr>
            <w:r>
              <w:t xml:space="preserve">Zhu 2022</w:t>
            </w:r>
          </w:p>
        </w:tc>
        <w:tc>
          <w:tcPr/>
          <w:p>
            <w:pPr>
              <w:pStyle w:val="Compact"/>
            </w:pPr>
            <w:r>
              <w:t xml:space="preserve">LGBM</w:t>
            </w:r>
          </w:p>
        </w:tc>
        <w:tc>
          <w:tcPr/>
          <w:p>
            <w:pPr>
              <w:pStyle w:val="Compact"/>
            </w:pPr>
            <w:r>
              <w:t xml:space="preserve">0.9789</w:t>
            </w:r>
          </w:p>
        </w:tc>
        <w:tc>
          <w:tcPr/>
          <w:p>
            <w:pPr>
              <w:pStyle w:val="Compact"/>
            </w:pPr>
            <w:r>
              <w:t xml:space="preserve">0.9533</w:t>
            </w:r>
          </w:p>
        </w:tc>
        <w:tc>
          <w:tcPr/>
          <w:p>
            <w:pPr>
              <w:pStyle w:val="Compact"/>
            </w:pPr>
            <w:r>
              <w:t xml:space="preserve">0.9600</w:t>
            </w:r>
          </w:p>
        </w:tc>
        <w:tc>
          <w:tcPr/>
          <w:p>
            <w:pPr>
              <w:pStyle w:val="Compact"/>
            </w:pPr>
            <w:r>
              <w:t xml:space="preserve">0.9622</w:t>
            </w:r>
          </w:p>
        </w:tc>
        <w:tc>
          <w:tcPr/>
          <w:p>
            <w:pPr>
              <w:pStyle w:val="Compact"/>
            </w:pPr>
            <w:r>
              <w:t xml:space="preserve">0.9650</w:t>
            </w:r>
          </w:p>
        </w:tc>
      </w:tr>
      <w:tr>
        <w:tc>
          <w:tcPr/>
          <w:p>
            <w:pPr>
              <w:pStyle w:val="Compact"/>
            </w:pPr>
            <w:r>
              <w:t xml:space="preserve">Kazakhstan</w:t>
            </w:r>
          </w:p>
        </w:tc>
        <w:tc>
          <w:tcPr/>
          <w:p>
            <w:pPr>
              <w:pStyle w:val="Compact"/>
            </w:pPr>
            <w:r>
              <w:t xml:space="preserve">LogReg</w:t>
            </w:r>
          </w:p>
        </w:tc>
        <w:tc>
          <w:tcPr/>
          <w:p>
            <w:pPr>
              <w:pStyle w:val="Compact"/>
            </w:pPr>
            <w:r>
              <w:t xml:space="preserve">0.7657</w:t>
            </w:r>
          </w:p>
        </w:tc>
        <w:tc>
          <w:tcPr/>
          <w:p>
            <w:pPr>
              <w:pStyle w:val="Compact"/>
            </w:pPr>
            <w:r>
              <w:t xml:space="preserve">0.6926</w:t>
            </w:r>
          </w:p>
        </w:tc>
        <w:tc>
          <w:tcPr/>
          <w:p>
            <w:pPr>
              <w:pStyle w:val="Compact"/>
            </w:pPr>
            <w:r>
              <w:t xml:space="preserve">0.7663</w:t>
            </w:r>
          </w:p>
        </w:tc>
        <w:tc>
          <w:tcPr/>
          <w:p>
            <w:pPr>
              <w:pStyle w:val="Compact"/>
            </w:pPr>
            <w:r>
              <w:t xml:space="preserve">0.7839</w:t>
            </w:r>
          </w:p>
        </w:tc>
        <w:tc>
          <w:tcPr/>
          <w:p>
            <w:pPr>
              <w:pStyle w:val="Compact"/>
            </w:pPr>
            <w:r>
              <w:t xml:space="preserve">0.7879</w:t>
            </w:r>
          </w:p>
        </w:tc>
      </w:tr>
      <w:tr>
        <w:tc>
          <w:tcPr/>
          <w:p>
            <w:pPr>
              <w:pStyle w:val="Compact"/>
            </w:pPr>
            <w:r>
              <w:t xml:space="preserve">Kazakhstan</w:t>
            </w:r>
          </w:p>
        </w:tc>
        <w:tc>
          <w:tcPr/>
          <w:p>
            <w:pPr>
              <w:pStyle w:val="Compact"/>
            </w:pPr>
            <w:r>
              <w:t xml:space="preserve">LGBM</w:t>
            </w:r>
          </w:p>
        </w:tc>
        <w:tc>
          <w:tcPr/>
          <w:p>
            <w:pPr>
              <w:pStyle w:val="Compact"/>
            </w:pPr>
            <w:r>
              <w:t xml:space="preserve">0.6943</w:t>
            </w:r>
          </w:p>
        </w:tc>
        <w:tc>
          <w:tcPr/>
          <w:p>
            <w:pPr>
              <w:pStyle w:val="Compact"/>
            </w:pPr>
            <w:r>
              <w:t xml:space="preserve">0.6829</w:t>
            </w:r>
          </w:p>
        </w:tc>
        <w:tc>
          <w:tcPr/>
          <w:p>
            <w:pPr>
              <w:pStyle w:val="Compact"/>
            </w:pPr>
            <w:r>
              <w:t xml:space="preserve">0.5621</w:t>
            </w:r>
          </w:p>
        </w:tc>
        <w:tc>
          <w:tcPr/>
          <w:p>
            <w:pPr>
              <w:pStyle w:val="Compact"/>
            </w:pPr>
            <w:r>
              <w:t xml:space="preserve">0.7351</w:t>
            </w:r>
          </w:p>
        </w:tc>
        <w:tc>
          <w:tcPr/>
          <w:p>
            <w:pPr>
              <w:pStyle w:val="Compact"/>
            </w:pPr>
            <w:r>
              <w:t xml:space="preserve">0.6858</w:t>
            </w:r>
          </w:p>
        </w:tc>
      </w:tr>
    </w:tbl>
    <w:p>
      <w:pPr>
        <w:pStyle w:val="BodyText"/>
      </w:pPr>
      <w:r>
        <w:rPr>
          <w:i/>
          <w:iCs/>
        </w:rPr>
        <w:t xml:space="preserve">Source data:</w:t>
      </w:r>
      <w:r>
        <w:t xml:space="preserve"> </w:t>
      </w:r>
      <w:r>
        <w:rPr>
          <w:rStyle w:val="VerbatimChar"/>
        </w:rPr>
        <w:t xml:space="preserve">results/tables/within_cohort_auc_corrected_labelblind.csv</w:t>
      </w:r>
      <w:r>
        <w:t xml:space="preserve">,</w:t>
      </w:r>
      <w:r>
        <w:t xml:space="preserve"> </w:t>
      </w:r>
      <w:r>
        <w:rPr>
          <w:rStyle w:val="VerbatimChar"/>
        </w:rPr>
        <w:t xml:space="preserve">results/tables/within_cohort_auc_corrected.csv</w:t>
      </w:r>
      <w:r>
        <w:t xml:space="preserve">,</w:t>
      </w:r>
      <w:r>
        <w:t xml:space="preserve"> </w:t>
      </w:r>
      <w:r>
        <w:rPr>
          <w:rStyle w:val="VerbatimChar"/>
        </w:rPr>
        <w:t xml:space="preserve">results/tables/within_cohort_auc.csv</w:t>
      </w:r>
      <w:r>
        <w:t xml:space="preserve">.</w:t>
      </w:r>
    </w:p>
    <w:p>
      <w:r>
        <w:pict>
          <v:rect style="width:0;height:1.5pt" o:hralign="center" o:hrstd="t" o:hr="t"/>
        </w:pict>
      </w:r>
    </w:p>
    <w:bookmarkEnd w:id="13"/>
    <w:bookmarkStart w:id="14" w:name="Xed29a43c3914fb60fdf4ef23560ebd4e359f279"/>
    <w:p>
      <w:pPr>
        <w:pStyle w:val="Heading3"/>
      </w:pPr>
      <w:r>
        <w:t xml:space="preserve">Table S6. Logistic-Regression Coefficient Sign Stability: Screened Candidates and the</w:t>
      </w:r>
      <w:r>
        <w:t xml:space="preserve"> </w:t>
      </w:r>
      <w:r>
        <w:rPr>
          <w:i/>
          <w:iCs/>
        </w:rPr>
        <w:t xml:space="preserve">Akkermansia</w:t>
      </w:r>
      <w:r>
        <w:t xml:space="preserve"> </w:t>
      </w:r>
      <w:r>
        <w:t xml:space="preserve">Negative Control</w:t>
      </w:r>
    </w:p>
    <w:p>
      <w:pPr>
        <w:pStyle w:val="FirstParagraph"/>
      </w:pPr>
      <w:r>
        <w:t xml:space="preserve">Per (cohort, genus), counts of positive/negative/zero fitted coefficients across the 10 outer OOF folds (Section 2.8).</w:t>
      </w:r>
      <w:r>
        <w:t xml:space="preserve"> </w:t>
      </w:r>
      <w:r>
        <w:rPr>
          <w:rStyle w:val="VerbatimChar"/>
        </w:rPr>
        <w:t xml:space="preserve">sign_stability</w:t>
      </w:r>
      <w:r>
        <w:t xml:space="preserve"> </w:t>
      </w:r>
      <w:r>
        <w:t xml:space="preserve">uses the pre-specified ≥8/10-fold threshold. This is a descriptive screen, not a hypothesis test: the 10 outer folds share overlapping training data and are not independent replications, so no p-value is assigned to any row. Full table (1,584 cohort×genus rows) in</w:t>
      </w:r>
      <w:r>
        <w:t xml:space="preserve"> </w:t>
      </w:r>
      <w:r>
        <w:rPr>
          <w:rStyle w:val="VerbatimChar"/>
        </w:rPr>
        <w:t xml:space="preserve">results/tables/logreg_coefficient_stability.csv</w:t>
      </w:r>
      <w:r>
        <w:t xml:space="preserve">; below,</w:t>
      </w:r>
      <w:r>
        <w:t xml:space="preserve"> </w:t>
      </w:r>
      <w:r>
        <w:rPr>
          <w:i/>
          <w:iCs/>
        </w:rPr>
        <w:t xml:space="preserve">Romboutsia</w:t>
      </w:r>
      <w:r>
        <w:t xml:space="preserve"> </w:t>
      </w:r>
      <w:r>
        <w:t xml:space="preserve">(the cleanest population-level pattern among the eight genera meeting the screen; Section 3.6) and</w:t>
      </w:r>
      <w:r>
        <w:t xml:space="preserve"> </w:t>
      </w:r>
      <w:r>
        <w:rPr>
          <w:i/>
          <w:iCs/>
        </w:rPr>
        <w:t xml:space="preserve">Akkermansia</w:t>
      </w:r>
      <w:r>
        <w:t xml:space="preserve"> </w:t>
      </w:r>
      <w:r>
        <w:t xml:space="preserve">(a negative-control illustration: appears to flip under the old, invalid mean-SHAP statistic but does not meet the coefficient-based screen; Section 3.6, Section 4.4).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Taxon</w:t>
            </w:r>
          </w:p>
        </w:tc>
        <w:tc>
          <w:tcPr/>
          <w:p>
            <w:pPr>
              <w:pStyle w:val="Compact"/>
            </w:pPr>
            <w:r>
              <w:t xml:space="preserve">n_positive/10</w:t>
            </w:r>
          </w:p>
        </w:tc>
        <w:tc>
          <w:tcPr/>
          <w:p>
            <w:pPr>
              <w:pStyle w:val="Compact"/>
            </w:pPr>
            <w:r>
              <w:t xml:space="preserve">n_negative/10</w:t>
            </w:r>
          </w:p>
        </w:tc>
        <w:tc>
          <w:tcPr/>
          <w:p>
            <w:pPr>
              <w:pStyle w:val="Compact"/>
            </w:pPr>
            <w:r>
              <w:t xml:space="preserve">Median Coefficient</w:t>
            </w:r>
          </w:p>
        </w:tc>
        <w:tc>
          <w:tcPr/>
          <w:p>
            <w:pPr>
              <w:pStyle w:val="Compact"/>
            </w:pPr>
            <w:r>
              <w:t xml:space="preserve">Sign Stability</w:t>
            </w:r>
          </w:p>
        </w:tc>
      </w:tr>
      <w:tr>
        <w:tc>
          <w:tcPr/>
          <w:p>
            <w:pPr>
              <w:pStyle w:val="Compact"/>
            </w:pPr>
            <w:r>
              <w:t xml:space="preserve">Zhuang 2018</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−0.0107</w:t>
            </w:r>
          </w:p>
        </w:tc>
        <w:tc>
          <w:tcPr/>
          <w:p>
            <w:pPr>
              <w:pStyle w:val="Compact"/>
            </w:pPr>
            <w:r>
              <w:t xml:space="preserve">stable_negative</w:t>
            </w:r>
          </w:p>
        </w:tc>
      </w:tr>
      <w:tr>
        <w:tc>
          <w:tcPr/>
          <w:p>
            <w:pPr>
              <w:pStyle w:val="Compact"/>
            </w:pPr>
            <w:r>
              <w:t xml:space="preserve">Ling 2020</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−0.1166</w:t>
            </w:r>
          </w:p>
        </w:tc>
        <w:tc>
          <w:tcPr/>
          <w:p>
            <w:pPr>
              <w:pStyle w:val="Compact"/>
            </w:pPr>
            <w:r>
              <w:t xml:space="preserve">stable_negative</w:t>
            </w:r>
          </w:p>
        </w:tc>
      </w:tr>
      <w:tr>
        <w:tc>
          <w:tcPr/>
          <w:p>
            <w:pPr>
              <w:pStyle w:val="Compact"/>
            </w:pPr>
            <w:r>
              <w:t xml:space="preserve">Zhu 2022</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−0.0190</w:t>
            </w:r>
          </w:p>
        </w:tc>
        <w:tc>
          <w:tcPr/>
          <w:p>
            <w:pPr>
              <w:pStyle w:val="Compact"/>
            </w:pPr>
            <w:r>
              <w:t xml:space="preserve">stable_negative</w:t>
            </w:r>
          </w:p>
        </w:tc>
      </w:tr>
      <w:tr>
        <w:tc>
          <w:tcPr/>
          <w:p>
            <w:pPr>
              <w:pStyle w:val="Compact"/>
            </w:pPr>
            <w:r>
              <w:t xml:space="preserve">Kazakhstan</w:t>
            </w:r>
          </w:p>
        </w:tc>
        <w:tc>
          <w:tcPr/>
          <w:p>
            <w:pPr>
              <w:pStyle w:val="Compact"/>
            </w:pPr>
            <w:r>
              <w:t xml:space="preserve">Romboutsia</w:t>
            </w:r>
          </w:p>
        </w:tc>
        <w:tc>
          <w:tcPr/>
          <w:p>
            <w:pPr>
              <w:pStyle w:val="Compact"/>
            </w:pPr>
            <w:r>
              <w:t xml:space="preserve">9</w:t>
            </w:r>
          </w:p>
        </w:tc>
        <w:tc>
          <w:tcPr/>
          <w:p>
            <w:pPr>
              <w:pStyle w:val="Compact"/>
            </w:pPr>
            <w:r>
              <w:t xml:space="preserve">1</w:t>
            </w:r>
          </w:p>
        </w:tc>
        <w:tc>
          <w:tcPr/>
          <w:p>
            <w:pPr>
              <w:pStyle w:val="Compact"/>
            </w:pPr>
            <w:r>
              <w:t xml:space="preserve">0.0109</w:t>
            </w:r>
          </w:p>
        </w:tc>
        <w:tc>
          <w:tcPr/>
          <w:p>
            <w:pPr>
              <w:pStyle w:val="Compact"/>
            </w:pPr>
            <w:r>
              <w:t xml:space="preserve">stable_positive</w:t>
            </w:r>
          </w:p>
        </w:tc>
      </w:tr>
      <w:tr>
        <w:tc>
          <w:tcPr/>
          <w:p>
            <w:pPr>
              <w:pStyle w:val="Compact"/>
            </w:pPr>
            <w:r>
              <w:t xml:space="preserve">Zhuang 2018</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0.0124</w:t>
            </w:r>
          </w:p>
        </w:tc>
        <w:tc>
          <w:tcPr/>
          <w:p>
            <w:pPr>
              <w:pStyle w:val="Compact"/>
            </w:pPr>
            <w:r>
              <w:t xml:space="preserve">stable_positive</w:t>
            </w:r>
          </w:p>
        </w:tc>
      </w:tr>
      <w:tr>
        <w:tc>
          <w:tcPr/>
          <w:p>
            <w:pPr>
              <w:pStyle w:val="Compact"/>
            </w:pPr>
            <w:r>
              <w:t xml:space="preserve">Ling 2020</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0.1181</w:t>
            </w:r>
          </w:p>
        </w:tc>
        <w:tc>
          <w:tcPr/>
          <w:p>
            <w:pPr>
              <w:pStyle w:val="Compact"/>
            </w:pPr>
            <w:r>
              <w:t xml:space="preserve">stable_positive</w:t>
            </w:r>
          </w:p>
        </w:tc>
      </w:tr>
      <w:tr>
        <w:tc>
          <w:tcPr/>
          <w:p>
            <w:pPr>
              <w:pStyle w:val="Compact"/>
            </w:pPr>
            <w:r>
              <w:t xml:space="preserve">Zhu 2022</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0.0709</w:t>
            </w:r>
          </w:p>
        </w:tc>
        <w:tc>
          <w:tcPr/>
          <w:p>
            <w:pPr>
              <w:pStyle w:val="Compact"/>
            </w:pPr>
            <w:r>
              <w:t xml:space="preserve">stable_positive</w:t>
            </w:r>
          </w:p>
        </w:tc>
      </w:tr>
      <w:tr>
        <w:tc>
          <w:tcPr/>
          <w:p>
            <w:pPr>
              <w:pStyle w:val="Compact"/>
            </w:pPr>
            <w:r>
              <w:t xml:space="preserve">Kazakhstan</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0.0682</w:t>
            </w:r>
          </w:p>
        </w:tc>
        <w:tc>
          <w:tcPr/>
          <w:p>
            <w:pPr>
              <w:pStyle w:val="Compact"/>
            </w:pPr>
            <w:r>
              <w:t xml:space="preserve">stable_positive</w:t>
            </w:r>
          </w:p>
        </w:tc>
      </w:tr>
    </w:tbl>
    <w:p>
      <w:pPr>
        <w:pStyle w:val="BodyText"/>
      </w:pPr>
      <w:r>
        <w:rPr>
          <w:i/>
          <w:iCs/>
        </w:rPr>
        <w:t xml:space="preserve">Romboutsia</w:t>
      </w:r>
      <w:r>
        <w:t xml:space="preserve"> </w:t>
      </w:r>
      <w:r>
        <w:t xml:space="preserve">is stable-negative in all three Chinese cohorts and stable-positive in Kazakhstan — the cleanest country-level split among the eight genera meeting the screen.</w:t>
      </w:r>
      <w:r>
        <w:t xml:space="preserve"> </w:t>
      </w:r>
      <w:r>
        <w:rPr>
          <w:i/>
          <w:iCs/>
        </w:rPr>
        <w:t xml:space="preserve">Akkermansia</w:t>
      </w:r>
      <w:r>
        <w:t xml:space="preserve">’s coefficient is stable and positive in all four cohorts — it does not meet the screen at all, despite its pooled mean SHAP value appearing to reverse sign (Section 3.6). See the full CSV for the corresponding rows for each of the eight genera meeting the descriptive screen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w:t>
      </w:r>
      <w:r>
        <w:t xml:space="preserve"> </w:t>
      </w:r>
      <w:r>
        <w:rPr>
          <w:i/>
          <w:iCs/>
        </w:rPr>
        <w:t xml:space="preserve">Ruminococcus gnavus group</w:t>
      </w:r>
      <w:r>
        <w:t xml:space="preserve">) and for</w:t>
      </w:r>
      <w:r>
        <w:t xml:space="preserve"> </w:t>
      </w:r>
      <w:r>
        <w:rPr>
          <w:rStyle w:val="VerbatimChar"/>
        </w:rPr>
        <w:t xml:space="preserve">logreg_directional_flips_stable.csv</w:t>
      </w:r>
      <w:r>
        <w:t xml:space="preserve">, which lists, per candidate taxon, which cohorts carried a stable positive vs. stable negative coefficient.</w:t>
      </w:r>
    </w:p>
    <w:p>
      <w:pPr>
        <w:pStyle w:val="BodyText"/>
      </w:pPr>
      <w:r>
        <w:rPr>
          <w:i/>
          <w:iCs/>
        </w:rPr>
        <w:t xml:space="preserve">Source data:</w:t>
      </w:r>
      <w:r>
        <w:t xml:space="preserve"> </w:t>
      </w:r>
      <w:r>
        <w:rPr>
          <w:rStyle w:val="VerbatimChar"/>
        </w:rPr>
        <w:t xml:space="preserve">results/tables/logreg_coefficient_stability.csv</w:t>
      </w:r>
      <w:r>
        <w:t xml:space="preserve">,</w:t>
      </w:r>
      <w:r>
        <w:t xml:space="preserve"> </w:t>
      </w:r>
      <w:r>
        <w:rPr>
          <w:rStyle w:val="VerbatimChar"/>
        </w:rPr>
        <w:t xml:space="preserve">results/tables/logreg_directional_flips_stable.csv</w:t>
      </w:r>
      <w:r>
        <w:t xml:space="preserve">.</w:t>
      </w:r>
    </w:p>
    <w:p>
      <w:r>
        <w:pict>
          <v:rect style="width:0;height:1.5pt" o:hralign="center" o:hrstd="t" o:hr="t"/>
        </w:pict>
      </w:r>
    </w:p>
    <w:bookmarkEnd w:id="14"/>
    <w:bookmarkStart w:id="15" w:name="Xbd1be582a7c04c46d20c9fbee47b1ae785fb393"/>
    <w:p>
      <w:pPr>
        <w:pStyle w:val="Heading3"/>
      </w:pPr>
      <w:r>
        <w:t xml:space="preserve">Table S7. Matched-Null (Shared-Pool) Jaccard Overlap Across Top-N Thresholds</w:t>
      </w:r>
    </w:p>
    <w:p>
      <w:pPr>
        <w:pStyle w:val="FirstParagraph"/>
      </w:pPr>
      <w:r>
        <w:t xml:space="preserve">Observed statistic = mean of the six unique pairwise Jaccard similarities among the four labeled cohorts’ top-N SHAP taxa sets. Null = 100,000 replicates, each drawing four independent random top-N gene sets from the shared 396-genus pool and averaging the same six pairwise Jaccards among them (Section 2.8). Empirical one-sided p = (1 + #{null ≥ observed}) / (n_perm + 1). See Table S13 for the prevalence-restricted (per-cohort eligible universe) sensitivity analysis, which reverses the LightGBM result reported here.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Top-N</w:t>
            </w:r>
          </w:p>
        </w:tc>
        <w:tc>
          <w:tcPr/>
          <w:p>
            <w:pPr>
              <w:pStyle w:val="Compact"/>
            </w:pPr>
            <w:r>
              <w:t xml:space="preserve">Observed Mean (6 pairs)</w:t>
            </w:r>
          </w:p>
        </w:tc>
        <w:tc>
          <w:tcPr/>
          <w:p>
            <w:pPr>
              <w:pStyle w:val="Compact"/>
            </w:pPr>
            <w:r>
              <w:t xml:space="preserve">Null Mean</w:t>
            </w:r>
          </w:p>
        </w:tc>
        <w:tc>
          <w:tcPr/>
          <w:p>
            <w:pPr>
              <w:pStyle w:val="Compact"/>
            </w:pPr>
            <w:r>
              <w:t xml:space="preserve">Null 95% CI</w:t>
            </w:r>
          </w:p>
        </w:tc>
        <w:tc>
          <w:tcPr/>
          <w:p>
            <w:pPr>
              <w:pStyle w:val="Compact"/>
            </w:pPr>
            <w:r>
              <w:t xml:space="preserve">Empirical p</w:t>
            </w:r>
          </w:p>
        </w:tc>
      </w:tr>
      <w:tr>
        <w:tc>
          <w:tcPr/>
          <w:p>
            <w:pPr>
              <w:pStyle w:val="Compact"/>
            </w:pPr>
            <w:r>
              <w:t xml:space="preserve">LogReg</w:t>
            </w:r>
          </w:p>
        </w:tc>
        <w:tc>
          <w:tcPr/>
          <w:p>
            <w:pPr>
              <w:pStyle w:val="Compact"/>
            </w:pPr>
            <w:r>
              <w:t xml:space="preserve">10</w:t>
            </w:r>
          </w:p>
        </w:tc>
        <w:tc>
          <w:tcPr/>
          <w:p>
            <w:pPr>
              <w:pStyle w:val="Compact"/>
            </w:pPr>
            <w:r>
              <w:t xml:space="preserve">0.0850</w:t>
            </w:r>
          </w:p>
        </w:tc>
        <w:tc>
          <w:tcPr/>
          <w:p>
            <w:pPr>
              <w:pStyle w:val="Compact"/>
            </w:pPr>
            <w:r>
              <w:t xml:space="preserve">0.0134</w:t>
            </w:r>
          </w:p>
        </w:tc>
        <w:tc>
          <w:tcPr/>
          <w:p>
            <w:pPr>
              <w:pStyle w:val="Compact"/>
            </w:pPr>
            <w:r>
              <w:t xml:space="preserve">[0.0000, 0.0361]</w:t>
            </w:r>
          </w:p>
        </w:tc>
        <w:tc>
          <w:tcPr/>
          <w:p>
            <w:pPr>
              <w:pStyle w:val="Compact"/>
            </w:pPr>
            <w:r>
              <w:t xml:space="preserve">&lt;0.0001</w:t>
            </w:r>
          </w:p>
        </w:tc>
      </w:tr>
      <w:tr>
        <w:tc>
          <w:tcPr/>
          <w:p>
            <w:pPr>
              <w:pStyle w:val="Compact"/>
            </w:pPr>
            <w:r>
              <w:t xml:space="preserve">LogReg</w:t>
            </w:r>
          </w:p>
        </w:tc>
        <w:tc>
          <w:tcPr/>
          <w:p>
            <w:pPr>
              <w:pStyle w:val="Compact"/>
            </w:pPr>
            <w:r>
              <w:rPr>
                <w:b/>
                <w:bCs/>
              </w:rPr>
              <w:t xml:space="preserve">20 (primary)</w:t>
            </w:r>
          </w:p>
        </w:tc>
        <w:tc>
          <w:tcPr/>
          <w:p>
            <w:pPr>
              <w:pStyle w:val="Compact"/>
            </w:pPr>
            <w:r>
              <w:rPr>
                <w:b/>
                <w:bCs/>
              </w:rPr>
              <w:t xml:space="preserve">0.1350</w:t>
            </w:r>
          </w:p>
        </w:tc>
        <w:tc>
          <w:tcPr/>
          <w:p>
            <w:pPr>
              <w:pStyle w:val="Compact"/>
            </w:pPr>
            <w:r>
              <w:t xml:space="preserve">0.0265</w:t>
            </w:r>
          </w:p>
        </w:tc>
        <w:tc>
          <w:tcPr/>
          <w:p>
            <w:pPr>
              <w:pStyle w:val="Compact"/>
            </w:pPr>
            <w:r>
              <w:t xml:space="preserve">[0.0085, 0.0491]</w:t>
            </w:r>
          </w:p>
        </w:tc>
        <w:tc>
          <w:tcPr/>
          <w:p>
            <w:pPr>
              <w:pStyle w:val="Compact"/>
            </w:pPr>
            <w:r>
              <w:rPr>
                <w:b/>
                <w:bCs/>
              </w:rPr>
              <w:t xml:space="preserve">&lt;0.0001</w:t>
            </w:r>
          </w:p>
        </w:tc>
      </w:tr>
      <w:tr>
        <w:tc>
          <w:tcPr/>
          <w:p>
            <w:pPr>
              <w:pStyle w:val="Compact"/>
            </w:pPr>
            <w:r>
              <w:t xml:space="preserve">LogReg</w:t>
            </w:r>
          </w:p>
        </w:tc>
        <w:tc>
          <w:tcPr/>
          <w:p>
            <w:pPr>
              <w:pStyle w:val="Compact"/>
            </w:pPr>
            <w:r>
              <w:t xml:space="preserve">50</w:t>
            </w:r>
          </w:p>
        </w:tc>
        <w:tc>
          <w:tcPr/>
          <w:p>
            <w:pPr>
              <w:pStyle w:val="Compact"/>
            </w:pPr>
            <w:r>
              <w:t xml:space="preserve">0.2296</w:t>
            </w:r>
          </w:p>
        </w:tc>
        <w:tc>
          <w:tcPr/>
          <w:p>
            <w:pPr>
              <w:pStyle w:val="Compact"/>
            </w:pPr>
            <w:r>
              <w:t xml:space="preserve">0.0680</w:t>
            </w:r>
          </w:p>
        </w:tc>
        <w:tc>
          <w:tcPr/>
          <w:p>
            <w:pPr>
              <w:pStyle w:val="Compact"/>
            </w:pPr>
            <w:r>
              <w:t xml:space="preserve">[0.0491, 0.0895]</w:t>
            </w:r>
          </w:p>
        </w:tc>
        <w:tc>
          <w:tcPr/>
          <w:p>
            <w:pPr>
              <w:pStyle w:val="Compact"/>
            </w:pPr>
            <w:r>
              <w:t xml:space="preserve">&lt;0.0001</w:t>
            </w:r>
          </w:p>
        </w:tc>
      </w:tr>
      <w:tr>
        <w:tc>
          <w:tcPr/>
          <w:p>
            <w:pPr>
              <w:pStyle w:val="Compact"/>
            </w:pPr>
            <w:r>
              <w:t xml:space="preserve">LightGBM</w:t>
            </w:r>
          </w:p>
        </w:tc>
        <w:tc>
          <w:tcPr/>
          <w:p>
            <w:pPr>
              <w:pStyle w:val="Compact"/>
            </w:pPr>
            <w:r>
              <w:t xml:space="preserve">10</w:t>
            </w:r>
          </w:p>
        </w:tc>
        <w:tc>
          <w:tcPr/>
          <w:p>
            <w:pPr>
              <w:pStyle w:val="Compact"/>
            </w:pPr>
            <w:r>
              <w:t xml:space="preserve">0.0175</w:t>
            </w:r>
          </w:p>
        </w:tc>
        <w:tc>
          <w:tcPr/>
          <w:p>
            <w:pPr>
              <w:pStyle w:val="Compact"/>
            </w:pPr>
            <w:r>
              <w:t xml:space="preserve">0.0135</w:t>
            </w:r>
          </w:p>
        </w:tc>
        <w:tc>
          <w:tcPr/>
          <w:p>
            <w:pPr>
              <w:pStyle w:val="Compact"/>
            </w:pPr>
            <w:r>
              <w:t xml:space="preserve">[0.0000, 0.0361]</w:t>
            </w:r>
          </w:p>
        </w:tc>
        <w:tc>
          <w:tcPr/>
          <w:p>
            <w:pPr>
              <w:pStyle w:val="Compact"/>
            </w:pPr>
            <w:r>
              <w:t xml:space="preserve">0.4494 (not significant)</w:t>
            </w:r>
          </w:p>
        </w:tc>
      </w:tr>
      <w:tr>
        <w:tc>
          <w:tcPr/>
          <w:p>
            <w:pPr>
              <w:pStyle w:val="Compact"/>
            </w:pPr>
            <w:r>
              <w:t xml:space="preserve">LightGBM</w:t>
            </w:r>
          </w:p>
        </w:tc>
        <w:tc>
          <w:tcPr/>
          <w:p>
            <w:pPr>
              <w:pStyle w:val="Compact"/>
            </w:pPr>
            <w:r>
              <w:rPr>
                <w:b/>
                <w:bCs/>
              </w:rPr>
              <w:t xml:space="preserve">20 (primary)</w:t>
            </w:r>
          </w:p>
        </w:tc>
        <w:tc>
          <w:tcPr/>
          <w:p>
            <w:pPr>
              <w:pStyle w:val="Compact"/>
            </w:pPr>
            <w:r>
              <w:rPr>
                <w:b/>
                <w:bCs/>
              </w:rPr>
              <w:t xml:space="preserve">0.0584</w:t>
            </w:r>
          </w:p>
        </w:tc>
        <w:tc>
          <w:tcPr/>
          <w:p>
            <w:pPr>
              <w:pStyle w:val="Compact"/>
            </w:pPr>
            <w:r>
              <w:t xml:space="preserve">0.0265</w:t>
            </w:r>
          </w:p>
        </w:tc>
        <w:tc>
          <w:tcPr/>
          <w:p>
            <w:pPr>
              <w:pStyle w:val="Compact"/>
            </w:pPr>
            <w:r>
              <w:t xml:space="preserve">[0.0085, 0.0491]</w:t>
            </w:r>
          </w:p>
        </w:tc>
        <w:tc>
          <w:tcPr/>
          <w:p>
            <w:pPr>
              <w:pStyle w:val="Compact"/>
            </w:pPr>
            <w:r>
              <w:rPr>
                <w:b/>
                <w:bCs/>
              </w:rPr>
              <w:t xml:space="preserve">0.0048</w:t>
            </w:r>
          </w:p>
        </w:tc>
      </w:tr>
      <w:tr>
        <w:tc>
          <w:tcPr/>
          <w:p>
            <w:pPr>
              <w:pStyle w:val="Compact"/>
            </w:pPr>
            <w:r>
              <w:t xml:space="preserve">LightGBM</w:t>
            </w:r>
          </w:p>
        </w:tc>
        <w:tc>
          <w:tcPr/>
          <w:p>
            <w:pPr>
              <w:pStyle w:val="Compact"/>
            </w:pPr>
            <w:r>
              <w:t xml:space="preserve">50</w:t>
            </w:r>
          </w:p>
        </w:tc>
        <w:tc>
          <w:tcPr/>
          <w:p>
            <w:pPr>
              <w:pStyle w:val="Compact"/>
            </w:pPr>
            <w:r>
              <w:t xml:space="preserve">0.1430</w:t>
            </w:r>
          </w:p>
        </w:tc>
        <w:tc>
          <w:tcPr/>
          <w:p>
            <w:pPr>
              <w:pStyle w:val="Compact"/>
            </w:pPr>
            <w:r>
              <w:t xml:space="preserve">0.0680</w:t>
            </w:r>
          </w:p>
        </w:tc>
        <w:tc>
          <w:tcPr/>
          <w:p>
            <w:pPr>
              <w:pStyle w:val="Compact"/>
            </w:pPr>
            <w:r>
              <w:t xml:space="preserve">[0.0492, 0.0894]</w:t>
            </w:r>
          </w:p>
        </w:tc>
        <w:tc>
          <w:tcPr/>
          <w:p>
            <w:pPr>
              <w:pStyle w:val="Compact"/>
            </w:pPr>
            <w:r>
              <w:t xml:space="preserve">&lt;0.0001</w:t>
            </w:r>
          </w:p>
        </w:tc>
      </w:tr>
    </w:tbl>
    <w:p>
      <w:pPr>
        <w:pStyle w:val="BodyText"/>
      </w:pPr>
      <w:r>
        <w:t xml:space="preserve">LightGBM’s overlap is significant at N=20 and N=50 but not at N=10 under this shared-pool null. Table S13 shows this result does not survive a prevalence-restricted null model.</w:t>
      </w:r>
    </w:p>
    <w:p>
      <w:pPr>
        <w:pStyle w:val="BodyText"/>
      </w:pPr>
      <w:r>
        <w:rPr>
          <w:i/>
          <w:iCs/>
        </w:rPr>
        <w:t xml:space="preserve">Source data:</w:t>
      </w:r>
      <w:r>
        <w:t xml:space="preserve"> </w:t>
      </w:r>
      <w:r>
        <w:rPr>
          <w:rStyle w:val="VerbatimChar"/>
        </w:rPr>
        <w:t xml:space="preserve">results/tables/jaccard_null_corrected.csv</w:t>
      </w:r>
      <w:r>
        <w:t xml:space="preserve">.</w:t>
      </w:r>
    </w:p>
    <w:p>
      <w:r>
        <w:pict>
          <v:rect style="width:0;height:1.5pt" o:hralign="center" o:hrstd="t" o:hr="t"/>
        </w:pict>
      </w:r>
    </w:p>
    <w:bookmarkEnd w:id="15"/>
    <w:bookmarkStart w:id="16" w:name="X71595d79ae018701605e8f9960eedf92b5a01b8"/>
    <w:p>
      <w:pPr>
        <w:pStyle w:val="Heading3"/>
      </w:pPr>
      <w:r>
        <w:t xml:space="preserve">Table S8. Zhu 2022 Repeated Nested Cross-Validation (Fold-Assignment Stability)</w:t>
      </w:r>
    </w:p>
    <w:p>
      <w:pPr>
        <w:pStyle w:val="FirstParagraph"/>
      </w:pPr>
      <w:r>
        <w:t xml:space="preserve">50 repetitions of the 10-fold outer / 5-fold inner nested-CV partition, each under a different pre-specified seed, strict training-only genus selection re-derived within every outer fold of every repetition (Section 2.4.1). This is a fold-assignment stability check on the same 60 participants, not an independent-sample replication.</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Model</w:t>
            </w:r>
          </w:p>
        </w:tc>
        <w:tc>
          <w:tcPr/>
          <w:p>
            <w:pPr>
              <w:pStyle w:val="Compact"/>
            </w:pPr>
            <w:r>
              <w:t xml:space="preserve">Historical Single-Partition AUC</w:t>
            </w:r>
          </w:p>
        </w:tc>
        <w:tc>
          <w:tcPr/>
          <w:p>
            <w:pPr>
              <w:pStyle w:val="Compact"/>
            </w:pPr>
            <w:r>
              <w:t xml:space="preserve">Training-Only Single-Partition AUC</w:t>
            </w:r>
          </w:p>
        </w:tc>
        <w:tc>
          <w:tcPr/>
          <w:p>
            <w:pPr>
              <w:pStyle w:val="Compact"/>
            </w:pPr>
            <w:r>
              <w:t xml:space="preserve">Repeated-CV Mean</w:t>
            </w:r>
          </w:p>
        </w:tc>
        <w:tc>
          <w:tcPr/>
          <w:p>
            <w:pPr>
              <w:pStyle w:val="Compact"/>
            </w:pPr>
            <w:r>
              <w:t xml:space="preserve">SD</w:t>
            </w:r>
          </w:p>
        </w:tc>
        <w:tc>
          <w:tcPr/>
          <w:p>
            <w:pPr>
              <w:pStyle w:val="Compact"/>
            </w:pPr>
            <w:r>
              <w:t xml:space="preserve">Median</w:t>
            </w:r>
          </w:p>
        </w:tc>
        <w:tc>
          <w:tcPr/>
          <w:p>
            <w:pPr>
              <w:pStyle w:val="Compact"/>
            </w:pPr>
            <w:r>
              <w:t xml:space="preserve">P2.5</w:t>
            </w:r>
          </w:p>
        </w:tc>
        <w:tc>
          <w:tcPr/>
          <w:p>
            <w:pPr>
              <w:pStyle w:val="Compact"/>
            </w:pPr>
            <w:r>
              <w:t xml:space="preserve">P97.5</w:t>
            </w:r>
          </w:p>
        </w:tc>
        <w:tc>
          <w:tcPr/>
          <w:p>
            <w:pPr>
              <w:pStyle w:val="Compact"/>
            </w:pPr>
            <w:r>
              <w:t xml:space="preserve">Min</w:t>
            </w:r>
          </w:p>
        </w:tc>
        <w:tc>
          <w:tcPr/>
          <w:p>
            <w:pPr>
              <w:pStyle w:val="Compact"/>
            </w:pPr>
            <w:r>
              <w:t xml:space="preserve">Max</w:t>
            </w:r>
          </w:p>
        </w:tc>
        <w:tc>
          <w:tcPr/>
          <w:p>
            <w:pPr>
              <w:pStyle w:val="Compact"/>
            </w:pPr>
            <w:r>
              <w:t xml:space="preserve">N Repeats</w:t>
            </w:r>
          </w:p>
        </w:tc>
      </w:tr>
      <w:tr>
        <w:tc>
          <w:tcPr/>
          <w:p>
            <w:pPr>
              <w:pStyle w:val="Compact"/>
            </w:pPr>
            <w:r>
              <w:t xml:space="preserve">LogReg</w:t>
            </w:r>
          </w:p>
        </w:tc>
        <w:tc>
          <w:tcPr/>
          <w:p>
            <w:pPr>
              <w:pStyle w:val="Compact"/>
            </w:pPr>
            <w:r>
              <w:t xml:space="preserve">0.998</w:t>
            </w:r>
          </w:p>
        </w:tc>
        <w:tc>
          <w:tcPr/>
          <w:p>
            <w:pPr>
              <w:pStyle w:val="Compact"/>
            </w:pPr>
            <w:r>
              <w:t xml:space="preserve">0.9956</w:t>
            </w:r>
          </w:p>
        </w:tc>
        <w:tc>
          <w:tcPr/>
          <w:p>
            <w:pPr>
              <w:pStyle w:val="Compact"/>
            </w:pPr>
            <w:r>
              <w:t xml:space="preserve">0.9955</w:t>
            </w:r>
          </w:p>
        </w:tc>
        <w:tc>
          <w:tcPr/>
          <w:p>
            <w:pPr>
              <w:pStyle w:val="Compact"/>
            </w:pPr>
            <w:r>
              <w:t xml:space="preserve">0.0027</w:t>
            </w:r>
          </w:p>
        </w:tc>
        <w:tc>
          <w:tcPr/>
          <w:p>
            <w:pPr>
              <w:pStyle w:val="Compact"/>
            </w:pPr>
            <w:r>
              <w:t xml:space="preserve">0.9956</w:t>
            </w:r>
          </w:p>
        </w:tc>
        <w:tc>
          <w:tcPr/>
          <w:p>
            <w:pPr>
              <w:pStyle w:val="Compact"/>
            </w:pPr>
            <w:r>
              <w:t xml:space="preserve">0.9900</w:t>
            </w:r>
          </w:p>
        </w:tc>
        <w:tc>
          <w:tcPr/>
          <w:p>
            <w:pPr>
              <w:pStyle w:val="Compact"/>
            </w:pPr>
            <w:r>
              <w:t xml:space="preserve">0.9989</w:t>
            </w:r>
          </w:p>
        </w:tc>
        <w:tc>
          <w:tcPr/>
          <w:p>
            <w:pPr>
              <w:pStyle w:val="Compact"/>
            </w:pPr>
            <w:r>
              <w:t xml:space="preserve">0.9889</w:t>
            </w:r>
          </w:p>
        </w:tc>
        <w:tc>
          <w:tcPr/>
          <w:p>
            <w:pPr>
              <w:pStyle w:val="Compact"/>
            </w:pPr>
            <w:r>
              <w:t xml:space="preserve">0.9989</w:t>
            </w:r>
          </w:p>
        </w:tc>
        <w:tc>
          <w:tcPr/>
          <w:p>
            <w:pPr>
              <w:pStyle w:val="Compact"/>
            </w:pPr>
            <w:r>
              <w:t xml:space="preserve">50</w:t>
            </w:r>
          </w:p>
        </w:tc>
      </w:tr>
      <w:tr>
        <w:tc>
          <w:tcPr/>
          <w:p>
            <w:pPr>
              <w:pStyle w:val="Compact"/>
            </w:pPr>
            <w:r>
              <w:t xml:space="preserve">LGBM</w:t>
            </w:r>
          </w:p>
        </w:tc>
        <w:tc>
          <w:tcPr/>
          <w:p>
            <w:pPr>
              <w:pStyle w:val="Compact"/>
            </w:pPr>
            <w:r>
              <w:t xml:space="preserve">0.979</w:t>
            </w:r>
          </w:p>
        </w:tc>
        <w:tc>
          <w:tcPr/>
          <w:p>
            <w:pPr>
              <w:pStyle w:val="Compact"/>
            </w:pPr>
            <w:r>
              <w:t xml:space="preserve">0.9700</w:t>
            </w:r>
          </w:p>
        </w:tc>
        <w:tc>
          <w:tcPr/>
          <w:p>
            <w:pPr>
              <w:pStyle w:val="Compact"/>
            </w:pPr>
            <w:r>
              <w:t xml:space="preserve">0.9760</w:t>
            </w:r>
          </w:p>
        </w:tc>
        <w:tc>
          <w:tcPr/>
          <w:p>
            <w:pPr>
              <w:pStyle w:val="Compact"/>
            </w:pPr>
            <w:r>
              <w:t xml:space="preserve">0.0103</w:t>
            </w:r>
          </w:p>
        </w:tc>
        <w:tc>
          <w:tcPr/>
          <w:p>
            <w:pPr>
              <w:pStyle w:val="Compact"/>
            </w:pPr>
            <w:r>
              <w:t xml:space="preserve">0.9767</w:t>
            </w:r>
          </w:p>
        </w:tc>
        <w:tc>
          <w:tcPr/>
          <w:p>
            <w:pPr>
              <w:pStyle w:val="Compact"/>
            </w:pPr>
            <w:r>
              <w:t xml:space="preserve">0.9519</w:t>
            </w:r>
          </w:p>
        </w:tc>
        <w:tc>
          <w:tcPr/>
          <w:p>
            <w:pPr>
              <w:pStyle w:val="Compact"/>
            </w:pPr>
            <w:r>
              <w:t xml:space="preserve">0.9917</w:t>
            </w:r>
          </w:p>
        </w:tc>
        <w:tc>
          <w:tcPr/>
          <w:p>
            <w:pPr>
              <w:pStyle w:val="Compact"/>
            </w:pPr>
            <w:r>
              <w:t xml:space="preserve">0.9378</w:t>
            </w:r>
          </w:p>
        </w:tc>
        <w:tc>
          <w:tcPr/>
          <w:p>
            <w:pPr>
              <w:pStyle w:val="Compact"/>
            </w:pPr>
            <w:r>
              <w:t xml:space="preserve">0.9944</w:t>
            </w:r>
          </w:p>
        </w:tc>
        <w:tc>
          <w:tcPr/>
          <w:p>
            <w:pPr>
              <w:pStyle w:val="Compact"/>
            </w:pPr>
            <w:r>
              <w:t xml:space="preserve">50</w:t>
            </w:r>
          </w:p>
        </w:tc>
      </w:tr>
    </w:tbl>
    <w:p>
      <w:pPr>
        <w:pStyle w:val="BodyText"/>
      </w:pPr>
      <w:r>
        <w:rPr>
          <w:i/>
          <w:iCs/>
        </w:rPr>
        <w:t xml:space="preserve">Source data:</w:t>
      </w:r>
      <w:r>
        <w:t xml:space="preserve"> </w:t>
      </w:r>
      <w:r>
        <w:rPr>
          <w:rStyle w:val="VerbatimChar"/>
        </w:rPr>
        <w:t xml:space="preserve">results/tables/zhu_repeated_nested_cv.csv</w:t>
      </w:r>
      <w:r>
        <w:t xml:space="preserve"> </w:t>
      </w:r>
      <w:r>
        <w:t xml:space="preserve">(per-repeat),</w:t>
      </w:r>
      <w:r>
        <w:t xml:space="preserve"> </w:t>
      </w:r>
      <w:r>
        <w:rPr>
          <w:rStyle w:val="VerbatimChar"/>
        </w:rPr>
        <w:t xml:space="preserve">results/tables/zhu_repeated_nested_cv_summary.csv</w:t>
      </w:r>
      <w:r>
        <w:t xml:space="preserve">.</w:t>
      </w:r>
    </w:p>
    <w:p>
      <w:r>
        <w:pict>
          <v:rect style="width:0;height:1.5pt" o:hralign="center" o:hrstd="t" o:hr="t"/>
        </w:pict>
      </w:r>
    </w:p>
    <w:bookmarkEnd w:id="16"/>
    <w:bookmarkStart w:id="17" w:name="Xab99acb304931f2a957786fe43fd7a0bd00d418"/>
    <w:p>
      <w:pPr>
        <w:pStyle w:val="Heading3"/>
      </w:pPr>
      <w:r>
        <w:t xml:space="preserve">Table S9. Zhu 2022 Label Permutation Test</w:t>
      </w:r>
    </w:p>
    <w:p>
      <w:pPr>
        <w:pStyle w:val="FirstParagraph"/>
      </w:pPr>
      <w:r>
        <w:t xml:space="preserve">Label-permutation test under the strict training-only pipeline and the fixed outer-fold partition (random_state=42; Section 2.4.1). Empirical p = (1 + #{null AUC ≥ observed}) / (n_perm + 1).</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Observed AUC (Training-Only)</w:t>
            </w:r>
          </w:p>
        </w:tc>
        <w:tc>
          <w:tcPr/>
          <w:p>
            <w:pPr>
              <w:pStyle w:val="Compact"/>
            </w:pPr>
            <w:r>
              <w:t xml:space="preserve">N Permutations</w:t>
            </w:r>
          </w:p>
        </w:tc>
        <w:tc>
          <w:tcPr/>
          <w:p>
            <w:pPr>
              <w:pStyle w:val="Compact"/>
            </w:pPr>
            <w:r>
              <w:t xml:space="preserve">Null Mean</w:t>
            </w:r>
          </w:p>
        </w:tc>
        <w:tc>
          <w:tcPr/>
          <w:p>
            <w:pPr>
              <w:pStyle w:val="Compact"/>
            </w:pPr>
            <w:r>
              <w:t xml:space="preserve">Null SD</w:t>
            </w:r>
          </w:p>
        </w:tc>
        <w:tc>
          <w:tcPr/>
          <w:p>
            <w:pPr>
              <w:pStyle w:val="Compact"/>
            </w:pPr>
            <w:r>
              <w:t xml:space="preserve">Null P2.5</w:t>
            </w:r>
          </w:p>
        </w:tc>
        <w:tc>
          <w:tcPr/>
          <w:p>
            <w:pPr>
              <w:pStyle w:val="Compact"/>
            </w:pPr>
            <w:r>
              <w:t xml:space="preserve">Null P97.5</w:t>
            </w:r>
          </w:p>
        </w:tc>
        <w:tc>
          <w:tcPr/>
          <w:p>
            <w:pPr>
              <w:pStyle w:val="Compact"/>
            </w:pPr>
            <w:r>
              <w:t xml:space="preserve">Empirical p</w:t>
            </w:r>
          </w:p>
        </w:tc>
        <w:tc>
          <w:tcPr/>
          <w:p>
            <w:pPr>
              <w:pStyle w:val="Compact"/>
            </w:pPr>
            <w:r>
              <w:t xml:space="preserve">p Resolution Floor</w:t>
            </w:r>
          </w:p>
        </w:tc>
      </w:tr>
      <w:tr>
        <w:tc>
          <w:tcPr/>
          <w:p>
            <w:pPr>
              <w:pStyle w:val="Compact"/>
            </w:pPr>
            <w:r>
              <w:t xml:space="preserve">LogReg</w:t>
            </w:r>
          </w:p>
        </w:tc>
        <w:tc>
          <w:tcPr/>
          <w:p>
            <w:pPr>
              <w:pStyle w:val="Compact"/>
            </w:pPr>
            <w:r>
              <w:t xml:space="preserve">0.9956</w:t>
            </w:r>
          </w:p>
        </w:tc>
        <w:tc>
          <w:tcPr/>
          <w:p>
            <w:pPr>
              <w:pStyle w:val="Compact"/>
            </w:pPr>
            <w:r>
              <w:t xml:space="preserve">1000</w:t>
            </w:r>
          </w:p>
        </w:tc>
        <w:tc>
          <w:tcPr/>
          <w:p>
            <w:pPr>
              <w:pStyle w:val="Compact"/>
            </w:pPr>
            <w:r>
              <w:t xml:space="preserve">0.4731</w:t>
            </w:r>
          </w:p>
        </w:tc>
        <w:tc>
          <w:tcPr/>
          <w:p>
            <w:pPr>
              <w:pStyle w:val="Compact"/>
            </w:pPr>
            <w:r>
              <w:t xml:space="preserve">0.1017</w:t>
            </w:r>
          </w:p>
        </w:tc>
        <w:tc>
          <w:tcPr/>
          <w:p>
            <w:pPr>
              <w:pStyle w:val="Compact"/>
            </w:pPr>
            <w:r>
              <w:t xml:space="preserve">0.2800</w:t>
            </w:r>
          </w:p>
        </w:tc>
        <w:tc>
          <w:tcPr/>
          <w:p>
            <w:pPr>
              <w:pStyle w:val="Compact"/>
            </w:pPr>
            <w:r>
              <w:t xml:space="preserve">0.6734</w:t>
            </w:r>
          </w:p>
        </w:tc>
        <w:tc>
          <w:tcPr/>
          <w:p>
            <w:pPr>
              <w:pStyle w:val="Compact"/>
            </w:pPr>
            <w:r>
              <w:t xml:space="preserve">0.000999</w:t>
            </w:r>
          </w:p>
        </w:tc>
        <w:tc>
          <w:tcPr/>
          <w:p>
            <w:pPr>
              <w:pStyle w:val="Compact"/>
            </w:pPr>
            <w:r>
              <w:t xml:space="preserve">0.000999</w:t>
            </w:r>
          </w:p>
        </w:tc>
      </w:tr>
      <w:tr>
        <w:tc>
          <w:tcPr/>
          <w:p>
            <w:pPr>
              <w:pStyle w:val="Compact"/>
            </w:pPr>
            <w:r>
              <w:t xml:space="preserve">LGBM</w:t>
            </w:r>
          </w:p>
        </w:tc>
        <w:tc>
          <w:tcPr/>
          <w:p>
            <w:pPr>
              <w:pStyle w:val="Compact"/>
            </w:pPr>
            <w:r>
              <w:t xml:space="preserve">0.9700</w:t>
            </w:r>
          </w:p>
        </w:tc>
        <w:tc>
          <w:tcPr/>
          <w:p>
            <w:pPr>
              <w:pStyle w:val="Compact"/>
            </w:pPr>
            <w:r>
              <w:t xml:space="preserve">1000</w:t>
            </w:r>
          </w:p>
        </w:tc>
        <w:tc>
          <w:tcPr/>
          <w:p>
            <w:pPr>
              <w:pStyle w:val="Compact"/>
            </w:pPr>
            <w:r>
              <w:t xml:space="preserve">0.4719</w:t>
            </w:r>
          </w:p>
        </w:tc>
        <w:tc>
          <w:tcPr/>
          <w:p>
            <w:pPr>
              <w:pStyle w:val="Compact"/>
            </w:pPr>
            <w:r>
              <w:t xml:space="preserve">0.1094</w:t>
            </w:r>
          </w:p>
        </w:tc>
        <w:tc>
          <w:tcPr/>
          <w:p>
            <w:pPr>
              <w:pStyle w:val="Compact"/>
            </w:pPr>
            <w:r>
              <w:t xml:space="preserve">0.2643</w:t>
            </w:r>
          </w:p>
        </w:tc>
        <w:tc>
          <w:tcPr/>
          <w:p>
            <w:pPr>
              <w:pStyle w:val="Compact"/>
            </w:pPr>
            <w:r>
              <w:t xml:space="preserve">0.6878</w:t>
            </w:r>
          </w:p>
        </w:tc>
        <w:tc>
          <w:tcPr/>
          <w:p>
            <w:pPr>
              <w:pStyle w:val="Compact"/>
            </w:pPr>
            <w:r>
              <w:t xml:space="preserve">0.000999</w:t>
            </w:r>
          </w:p>
        </w:tc>
        <w:tc>
          <w:tcPr/>
          <w:p>
            <w:pPr>
              <w:pStyle w:val="Compact"/>
            </w:pPr>
            <w:r>
              <w:t xml:space="preserve">0.000999</w:t>
            </w:r>
          </w:p>
        </w:tc>
      </w:tr>
    </w:tbl>
    <w:p>
      <w:pPr>
        <w:pStyle w:val="BodyText"/>
      </w:pPr>
      <w:r>
        <w:t xml:space="preserve">No permutation among the 1,000 drawn reached the observed AUC for either model; the empirical p-value is therefore at the resolution floor for this permutation count (1/1,001) and should not be interpreted as more precise than that floor.</w:t>
      </w:r>
    </w:p>
    <w:p>
      <w:pPr>
        <w:pStyle w:val="BodyText"/>
      </w:pPr>
      <w:r>
        <w:rPr>
          <w:i/>
          <w:iCs/>
        </w:rPr>
        <w:t xml:space="preserve">Source data:</w:t>
      </w:r>
      <w:r>
        <w:t xml:space="preserve"> </w:t>
      </w:r>
      <w:r>
        <w:rPr>
          <w:rStyle w:val="VerbatimChar"/>
        </w:rPr>
        <w:t xml:space="preserve">results/tables/zhu_label_permutation.csv</w:t>
      </w:r>
      <w:r>
        <w:t xml:space="preserve"> </w:t>
      </w:r>
      <w:r>
        <w:t xml:space="preserve">(per-permutation),</w:t>
      </w:r>
      <w:r>
        <w:t xml:space="preserve"> </w:t>
      </w:r>
      <w:r>
        <w:rPr>
          <w:rStyle w:val="VerbatimChar"/>
        </w:rPr>
        <w:t xml:space="preserve">results/tables/zhu_label_permutation_summary.csv</w:t>
      </w:r>
      <w:r>
        <w:t xml:space="preserve">.</w:t>
      </w:r>
    </w:p>
    <w:p>
      <w:r>
        <w:pict>
          <v:rect style="width:0;height:1.5pt" o:hralign="center" o:hrstd="t" o:hr="t"/>
        </w:pict>
      </w:r>
    </w:p>
    <w:bookmarkEnd w:id="17"/>
    <w:bookmarkStart w:id="18" w:name="Xdb7ffbf136e55fbb1fef38c1290ec962f92405d"/>
    <w:p>
      <w:pPr>
        <w:pStyle w:val="Heading3"/>
      </w:pPr>
      <w:r>
        <w:t xml:space="preserve">Table S10. Formal Within-Cohort vs. LOCO AUC Difference (Paired, Diagnosis-Stratified Bootstrap)</w:t>
      </w:r>
    </w:p>
    <w:p>
      <w:pPr>
        <w:pStyle w:val="FirstParagraph"/>
      </w:pPr>
      <w:r>
        <w:t xml:space="preserve">Paired, diagnosis-stratified, participant-level bootstrap (10,000 replicates; Section 2.5.2).</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computed on identical resampled participants for both AUC values in each replicate.</w:t>
      </w:r>
      <w:r>
        <w:t xml:space="preserve"> </w:t>
      </w:r>
      <w:r>
        <w:t xml:space="preserve">“Proportion Δ≤0”</w:t>
      </w:r>
      <w:r>
        <w:t xml:space="preserve"> </w:t>
      </w:r>
      <w:r>
        <w:t xml:space="preserve">is the fraction of bootstrap replicates with a non-positive delta.</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 Within</w:t>
            </w:r>
          </w:p>
        </w:tc>
        <w:tc>
          <w:tcPr/>
          <w:p>
            <w:pPr>
              <w:pStyle w:val="Compact"/>
            </w:pPr>
            <w:r>
              <w:t xml:space="preserve">AUC LOCO</w:t>
            </w:r>
          </w:p>
        </w:tc>
        <w:tc>
          <w:tcPr/>
          <w:p>
            <w:pPr>
              <w:pStyle w:val="Compact"/>
            </w:pPr>
            <w:r>
              <w:t xml:space="preserve">Observed Δ</w:t>
            </w:r>
          </w:p>
        </w:tc>
        <w:tc>
          <w:tcPr/>
          <w:p>
            <w:pPr>
              <w:pStyle w:val="Compact"/>
            </w:pPr>
            <w:r>
              <w:t xml:space="preserve">Bootstrap Mean Δ</w:t>
            </w:r>
          </w:p>
        </w:tc>
        <w:tc>
          <w:tcPr/>
          <w:p>
            <w:pPr>
              <w:pStyle w:val="Compact"/>
            </w:pPr>
            <w:r>
              <w:t xml:space="preserve">95% CI</w:t>
            </w:r>
          </w:p>
        </w:tc>
        <w:tc>
          <w:tcPr/>
          <w:p>
            <w:pPr>
              <w:pStyle w:val="Compact"/>
            </w:pPr>
            <w:r>
              <w:t xml:space="preserve">Proportion Δ≤0</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0.6333</w:t>
            </w:r>
          </w:p>
        </w:tc>
        <w:tc>
          <w:tcPr/>
          <w:p>
            <w:pPr>
              <w:pStyle w:val="Compact"/>
            </w:pPr>
            <w:r>
              <w:t xml:space="preserve">0.5041</w:t>
            </w:r>
          </w:p>
        </w:tc>
        <w:tc>
          <w:tcPr/>
          <w:p>
            <w:pPr>
              <w:pStyle w:val="Compact"/>
            </w:pPr>
            <w:r>
              <w:t xml:space="preserve">0.1293</w:t>
            </w:r>
          </w:p>
        </w:tc>
        <w:tc>
          <w:tcPr/>
          <w:p>
            <w:pPr>
              <w:pStyle w:val="Compact"/>
            </w:pPr>
            <w:r>
              <w:t xml:space="preserve">0.1280</w:t>
            </w:r>
          </w:p>
        </w:tc>
        <w:tc>
          <w:tcPr/>
          <w:p>
            <w:pPr>
              <w:pStyle w:val="Compact"/>
            </w:pPr>
            <w:r>
              <w:t xml:space="preserve">[−0.047, 0.303]</w:t>
            </w:r>
          </w:p>
        </w:tc>
        <w:tc>
          <w:tcPr/>
          <w:p>
            <w:pPr>
              <w:pStyle w:val="Compact"/>
            </w:pPr>
            <w:r>
              <w:t xml:space="preserve">0.0787</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0.6349</w:t>
            </w:r>
          </w:p>
        </w:tc>
        <w:tc>
          <w:tcPr/>
          <w:p>
            <w:pPr>
              <w:pStyle w:val="Compact"/>
            </w:pPr>
            <w:r>
              <w:t xml:space="preserve">0.5646</w:t>
            </w:r>
          </w:p>
        </w:tc>
        <w:tc>
          <w:tcPr/>
          <w:p>
            <w:pPr>
              <w:pStyle w:val="Compact"/>
            </w:pPr>
            <w:r>
              <w:t xml:space="preserve">0.0703</w:t>
            </w:r>
          </w:p>
        </w:tc>
        <w:tc>
          <w:tcPr/>
          <w:p>
            <w:pPr>
              <w:pStyle w:val="Compact"/>
            </w:pPr>
            <w:r>
              <w:t xml:space="preserve">0.0705</w:t>
            </w:r>
          </w:p>
        </w:tc>
        <w:tc>
          <w:tcPr/>
          <w:p>
            <w:pPr>
              <w:pStyle w:val="Compact"/>
            </w:pPr>
            <w:r>
              <w:t xml:space="preserve">[−0.100, 0.239]</w:t>
            </w:r>
          </w:p>
        </w:tc>
        <w:tc>
          <w:tcPr/>
          <w:p>
            <w:pPr>
              <w:pStyle w:val="Compact"/>
            </w:pPr>
            <w:r>
              <w:t xml:space="preserve">0.2138</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0.8648</w:t>
            </w:r>
          </w:p>
        </w:tc>
        <w:tc>
          <w:tcPr/>
          <w:p>
            <w:pPr>
              <w:pStyle w:val="Compact"/>
            </w:pPr>
            <w:r>
              <w:t xml:space="preserve">0.6775</w:t>
            </w:r>
          </w:p>
        </w:tc>
        <w:tc>
          <w:tcPr/>
          <w:p>
            <w:pPr>
              <w:pStyle w:val="Compact"/>
            </w:pPr>
            <w:r>
              <w:t xml:space="preserve">0.1873</w:t>
            </w:r>
          </w:p>
        </w:tc>
        <w:tc>
          <w:tcPr/>
          <w:p>
            <w:pPr>
              <w:pStyle w:val="Compact"/>
            </w:pPr>
            <w:r>
              <w:t xml:space="preserve">0.1871</w:t>
            </w:r>
          </w:p>
        </w:tc>
        <w:tc>
          <w:tcPr/>
          <w:p>
            <w:pPr>
              <w:pStyle w:val="Compact"/>
            </w:pPr>
            <w:r>
              <w:t xml:space="preserve">[0.097, 0.277]</w:t>
            </w:r>
          </w:p>
        </w:tc>
        <w:tc>
          <w:tcPr/>
          <w:p>
            <w:pPr>
              <w:pStyle w:val="Compact"/>
            </w:pPr>
            <w:r>
              <w:t xml:space="preserve">0.0001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0.8618</w:t>
            </w:r>
          </w:p>
        </w:tc>
        <w:tc>
          <w:tcPr/>
          <w:p>
            <w:pPr>
              <w:pStyle w:val="Compact"/>
            </w:pPr>
            <w:r>
              <w:t xml:space="preserve">0.6735</w:t>
            </w:r>
          </w:p>
        </w:tc>
        <w:tc>
          <w:tcPr/>
          <w:p>
            <w:pPr>
              <w:pStyle w:val="Compact"/>
            </w:pPr>
            <w:r>
              <w:t xml:space="preserve">0.1883</w:t>
            </w:r>
          </w:p>
        </w:tc>
        <w:tc>
          <w:tcPr/>
          <w:p>
            <w:pPr>
              <w:pStyle w:val="Compact"/>
            </w:pPr>
            <w:r>
              <w:t xml:space="preserve">0.1886</w:t>
            </w:r>
          </w:p>
        </w:tc>
        <w:tc>
          <w:tcPr/>
          <w:p>
            <w:pPr>
              <w:pStyle w:val="Compact"/>
            </w:pPr>
            <w:r>
              <w:t xml:space="preserve">[0.096, 0.284]</w:t>
            </w:r>
          </w:p>
        </w:tc>
        <w:tc>
          <w:tcPr/>
          <w:p>
            <w:pPr>
              <w:pStyle w:val="Compact"/>
            </w:pPr>
            <w:r>
              <w:t xml:space="preserve">0.0001</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0.9978</w:t>
            </w:r>
          </w:p>
        </w:tc>
        <w:tc>
          <w:tcPr/>
          <w:p>
            <w:pPr>
              <w:pStyle w:val="Compact"/>
            </w:pPr>
            <w:r>
              <w:t xml:space="preserve">0.8133</w:t>
            </w:r>
          </w:p>
        </w:tc>
        <w:tc>
          <w:tcPr/>
          <w:p>
            <w:pPr>
              <w:pStyle w:val="Compact"/>
            </w:pPr>
            <w:r>
              <w:t xml:space="preserve">0.1844</w:t>
            </w:r>
          </w:p>
        </w:tc>
        <w:tc>
          <w:tcPr/>
          <w:p>
            <w:pPr>
              <w:pStyle w:val="Compact"/>
            </w:pPr>
            <w:r>
              <w:t xml:space="preserve">0.1848</w:t>
            </w:r>
          </w:p>
        </w:tc>
        <w:tc>
          <w:tcPr/>
          <w:p>
            <w:pPr>
              <w:pStyle w:val="Compact"/>
            </w:pPr>
            <w:r>
              <w:t xml:space="preserve">[0.072, 0.312]</w:t>
            </w:r>
          </w:p>
        </w:tc>
        <w:tc>
          <w:tcPr/>
          <w:p>
            <w:pPr>
              <w:pStyle w:val="Compact"/>
            </w:pPr>
            <w:r>
              <w:t xml:space="preserve">0.0000</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0.9789</w:t>
            </w:r>
          </w:p>
        </w:tc>
        <w:tc>
          <w:tcPr/>
          <w:p>
            <w:pPr>
              <w:pStyle w:val="Compact"/>
            </w:pPr>
            <w:r>
              <w:t xml:space="preserve">0.7578</w:t>
            </w:r>
          </w:p>
        </w:tc>
        <w:tc>
          <w:tcPr/>
          <w:p>
            <w:pPr>
              <w:pStyle w:val="Compact"/>
            </w:pPr>
            <w:r>
              <w:t xml:space="preserve">0.2211</w:t>
            </w:r>
          </w:p>
        </w:tc>
        <w:tc>
          <w:tcPr/>
          <w:p>
            <w:pPr>
              <w:pStyle w:val="Compact"/>
            </w:pPr>
            <w:r>
              <w:t xml:space="preserve">0.2211</w:t>
            </w:r>
          </w:p>
        </w:tc>
        <w:tc>
          <w:tcPr/>
          <w:p>
            <w:pPr>
              <w:pStyle w:val="Compact"/>
            </w:pPr>
            <w:r>
              <w:t xml:space="preserve">[0.111, 0.346]</w:t>
            </w:r>
          </w:p>
        </w:tc>
        <w:tc>
          <w:tcPr/>
          <w:p>
            <w:pPr>
              <w:pStyle w:val="Compact"/>
            </w:pPr>
            <w:r>
              <w:t xml:space="preserve">0.0000</w:t>
            </w:r>
          </w:p>
        </w:tc>
      </w:tr>
      <w:tr>
        <w:tc>
          <w:tcPr/>
          <w:p>
            <w:pPr>
              <w:pStyle w:val="Compact"/>
            </w:pPr>
            <w:r>
              <w:t xml:space="preserve">Kazakhstan</w:t>
            </w:r>
          </w:p>
        </w:tc>
        <w:tc>
          <w:tcPr/>
          <w:p>
            <w:pPr>
              <w:pStyle w:val="Compact"/>
            </w:pPr>
            <w:r>
              <w:t xml:space="preserve">LogReg</w:t>
            </w:r>
          </w:p>
        </w:tc>
        <w:tc>
          <w:tcPr/>
          <w:p>
            <w:pPr>
              <w:pStyle w:val="Compact"/>
            </w:pPr>
            <w:r>
              <w:t xml:space="preserve">84</w:t>
            </w:r>
          </w:p>
        </w:tc>
        <w:tc>
          <w:tcPr/>
          <w:p>
            <w:pPr>
              <w:pStyle w:val="Compact"/>
            </w:pPr>
            <w:r>
              <w:t xml:space="preserve">0.7657</w:t>
            </w:r>
          </w:p>
        </w:tc>
        <w:tc>
          <w:tcPr/>
          <w:p>
            <w:pPr>
              <w:pStyle w:val="Compact"/>
            </w:pPr>
            <w:r>
              <w:t xml:space="preserve">0.5644</w:t>
            </w:r>
          </w:p>
        </w:tc>
        <w:tc>
          <w:tcPr/>
          <w:p>
            <w:pPr>
              <w:pStyle w:val="Compact"/>
            </w:pPr>
            <w:r>
              <w:t xml:space="preserve">0.2014</w:t>
            </w:r>
          </w:p>
        </w:tc>
        <w:tc>
          <w:tcPr/>
          <w:p>
            <w:pPr>
              <w:pStyle w:val="Compact"/>
            </w:pPr>
            <w:r>
              <w:t xml:space="preserve">0.2013</w:t>
            </w:r>
          </w:p>
        </w:tc>
        <w:tc>
          <w:tcPr/>
          <w:p>
            <w:pPr>
              <w:pStyle w:val="Compact"/>
            </w:pPr>
            <w:r>
              <w:t xml:space="preserve">[0.044, 0.357]</w:t>
            </w:r>
          </w:p>
        </w:tc>
        <w:tc>
          <w:tcPr/>
          <w:p>
            <w:pPr>
              <w:pStyle w:val="Compact"/>
            </w:pPr>
            <w:r>
              <w:t xml:space="preserve">0.0051</w:t>
            </w:r>
          </w:p>
        </w:tc>
      </w:tr>
      <w:tr>
        <w:tc>
          <w:tcPr/>
          <w:p>
            <w:pPr>
              <w:pStyle w:val="Compact"/>
            </w:pPr>
            <w:r>
              <w:t xml:space="preserve">Kazakhstan</w:t>
            </w:r>
          </w:p>
        </w:tc>
        <w:tc>
          <w:tcPr/>
          <w:p>
            <w:pPr>
              <w:pStyle w:val="Compact"/>
            </w:pPr>
            <w:r>
              <w:t xml:space="preserve">LGBM</w:t>
            </w:r>
          </w:p>
        </w:tc>
        <w:tc>
          <w:tcPr/>
          <w:p>
            <w:pPr>
              <w:pStyle w:val="Compact"/>
            </w:pPr>
            <w:r>
              <w:t xml:space="preserve">84</w:t>
            </w:r>
          </w:p>
        </w:tc>
        <w:tc>
          <w:tcPr/>
          <w:p>
            <w:pPr>
              <w:pStyle w:val="Compact"/>
            </w:pPr>
            <w:r>
              <w:t xml:space="preserve">0.6943</w:t>
            </w:r>
          </w:p>
        </w:tc>
        <w:tc>
          <w:tcPr/>
          <w:p>
            <w:pPr>
              <w:pStyle w:val="Compact"/>
            </w:pPr>
            <w:r>
              <w:t xml:space="preserve">0.5905</w:t>
            </w:r>
          </w:p>
        </w:tc>
        <w:tc>
          <w:tcPr/>
          <w:p>
            <w:pPr>
              <w:pStyle w:val="Compact"/>
            </w:pPr>
            <w:r>
              <w:t xml:space="preserve">0.1038</w:t>
            </w:r>
          </w:p>
        </w:tc>
        <w:tc>
          <w:tcPr/>
          <w:p>
            <w:pPr>
              <w:pStyle w:val="Compact"/>
            </w:pPr>
            <w:r>
              <w:t xml:space="preserve">0.1038</w:t>
            </w:r>
          </w:p>
        </w:tc>
        <w:tc>
          <w:tcPr/>
          <w:p>
            <w:pPr>
              <w:pStyle w:val="Compact"/>
            </w:pPr>
            <w:r>
              <w:t xml:space="preserve">[−0.049, 0.255]</w:t>
            </w:r>
          </w:p>
        </w:tc>
        <w:tc>
          <w:tcPr/>
          <w:p>
            <w:pPr>
              <w:pStyle w:val="Compact"/>
            </w:pPr>
            <w:r>
              <w:t xml:space="preserve">0.0917</w:t>
            </w:r>
          </w:p>
        </w:tc>
      </w:tr>
    </w:tbl>
    <w:p>
      <w:pPr>
        <w:pStyle w:val="BodyText"/>
      </w:pPr>
      <w:r>
        <w:t xml:space="preserve">Five of eight pairs have a 95% CI excluding zero (Ling 2020 both models, Zhu 2022 both models, Kazakhstan LogReg). Three (Zhuang 2018 both models, Kazakhstan LGBM) show the same-signed delta with a CI that includes zero and are not formally significant at this sample size.</w:t>
      </w:r>
    </w:p>
    <w:p>
      <w:pPr>
        <w:pStyle w:val="BodyText"/>
      </w:pPr>
      <w:r>
        <w:rPr>
          <w:i/>
          <w:iCs/>
        </w:rPr>
        <w:t xml:space="preserve">Source data:</w:t>
      </w:r>
      <w:r>
        <w:t xml:space="preserve"> </w:t>
      </w:r>
      <w:r>
        <w:rPr>
          <w:rStyle w:val="VerbatimChar"/>
        </w:rPr>
        <w:t xml:space="preserve">results/tables/within_vs_loco_auc_difference_bootstrap.csv</w:t>
      </w:r>
      <w:r>
        <w:t xml:space="preserve">,</w:t>
      </w:r>
      <w:r>
        <w:t xml:space="preserve"> </w:t>
      </w:r>
      <w:r>
        <w:rPr>
          <w:rStyle w:val="VerbatimChar"/>
        </w:rPr>
        <w:t xml:space="preserve">results/tables/within_cohort_auc_ci_stratified_bootstrap.csv</w:t>
      </w:r>
      <w:r>
        <w:t xml:space="preserve">,</w:t>
      </w:r>
      <w:r>
        <w:t xml:space="preserve"> </w:t>
      </w:r>
      <w:r>
        <w:rPr>
          <w:rStyle w:val="VerbatimChar"/>
        </w:rPr>
        <w:t xml:space="preserve">results/tables/loco_auc_ci_stratified_bootstrap.csv</w:t>
      </w:r>
      <w:r>
        <w:t xml:space="preserve">.</w:t>
      </w:r>
    </w:p>
    <w:p>
      <w:r>
        <w:pict>
          <v:rect style="width:0;height:1.5pt" o:hralign="center" o:hrstd="t" o:hr="t"/>
        </w:pict>
      </w:r>
    </w:p>
    <w:bookmarkEnd w:id="18"/>
    <w:bookmarkStart w:id="19" w:name="Xe1eb387f1646c1cd516991a1953a20361d57084"/>
    <w:p>
      <w:pPr>
        <w:pStyle w:val="Heading3"/>
      </w:pPr>
      <w:r>
        <w:t xml:space="preserve">Table S11. PERMANOVA Sensitivity: Chinese Paired-End MiSeq Cohorts Only (Zhuang 2018 + Ling 2020 + Zhu 2022)</w:t>
      </w:r>
    </w:p>
    <w:p>
      <w:pPr>
        <w:pStyle w:val="FirstParagraph"/>
      </w:pPr>
      <w:r>
        <w:t xml:space="preserve">Marginal PERMANOVA (Aitchison distance,</w:t>
      </w:r>
      <w:r>
        <w:t xml:space="preserve"> </w:t>
      </w:r>
      <w:r>
        <w:rPr>
          <w:rStyle w:val="VerbatimChar"/>
        </w:rPr>
        <w:t xml:space="preserve">by="margin"</w:t>
      </w:r>
      <w:r>
        <w:t xml:space="preserve">, 9,999 permutations), binary AD/CN only, restricted to the three cohorts that are more technically comparable to one another (same country, same paired-end MiSeq V3–V4 platform; Section 2.6). n=317 (zhuang2018=86, ling2020=171, shanghai2022/Zhu 2022=60).</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2</w:t>
            </w:r>
          </w:p>
        </w:tc>
        <w:tc>
          <w:tcPr/>
          <w:p>
            <w:pPr>
              <w:pStyle w:val="Compact"/>
            </w:pPr>
            <w:r>
              <w:t xml:space="preserve">17,532.9</w:t>
            </w:r>
          </w:p>
        </w:tc>
        <w:tc>
          <w:tcPr/>
          <w:p>
            <w:pPr>
              <w:pStyle w:val="Compact"/>
            </w:pPr>
            <w:r>
              <w:t xml:space="preserve">0.0588</w:t>
            </w:r>
          </w:p>
        </w:tc>
        <w:tc>
          <w:tcPr/>
          <w:p>
            <w:pPr>
              <w:pStyle w:val="Compact"/>
            </w:pPr>
            <w:r>
              <w:t xml:space="preserve">10.05</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6,821.2</w:t>
            </w:r>
          </w:p>
        </w:tc>
        <w:tc>
          <w:tcPr/>
          <w:p>
            <w:pPr>
              <w:pStyle w:val="Compact"/>
            </w:pPr>
            <w:r>
              <w:t xml:space="preserve">0.0229</w:t>
            </w:r>
          </w:p>
        </w:tc>
        <w:tc>
          <w:tcPr/>
          <w:p>
            <w:pPr>
              <w:pStyle w:val="Compact"/>
            </w:pPr>
            <w:r>
              <w:t xml:space="preserve">7.83</w:t>
            </w:r>
          </w:p>
        </w:tc>
        <w:tc>
          <w:tcPr/>
          <w:p>
            <w:pPr>
              <w:pStyle w:val="Compact"/>
            </w:pPr>
            <w:r>
              <w:t xml:space="preserve">0.0001</w:t>
            </w:r>
          </w:p>
        </w:tc>
      </w:tr>
    </w:tbl>
    <w:p>
      <w:pPr>
        <w:pStyle w:val="BodyText"/>
      </w:pPr>
      <w:r>
        <w:t xml:space="preserve">Compare to the full four-cohort marginal model (Table S3, Model 2): cohort R²=0.172, diagnosis R²=0.014 (~12-fold disparity). Restricted to this more technically comparable three-cohort subset, the disparity falls to ~2.6-fold (0.0588/0.0229). Beta-dispersion on this subset: F=7.946, p=0.0004 (9,999 permutations); pairwise (Table S12): zhuang2018 vs. ling2020 p=0.0001, zhuang2018 vs. shanghai2022 p=0.026, ling2020 vs. shanghai2022 p=0.343 (not significant).</w:t>
      </w:r>
    </w:p>
    <w:p>
      <w:pPr>
        <w:pStyle w:val="BodyText"/>
      </w:pPr>
      <w:r>
        <w:rPr>
          <w:i/>
          <w:iCs/>
        </w:rPr>
        <w:t xml:space="preserve">Source data:</w:t>
      </w:r>
      <w:r>
        <w:t xml:space="preserve"> </w:t>
      </w:r>
      <w:r>
        <w:rPr>
          <w:rStyle w:val="VerbatimChar"/>
        </w:rPr>
        <w:t xml:space="preserve">results/tables/permanova_chinese_miseq_sensitivity.csv</w:t>
      </w:r>
      <w:r>
        <w:t xml:space="preserve">,</w:t>
      </w:r>
      <w:r>
        <w:t xml:space="preserve"> </w:t>
      </w:r>
      <w:r>
        <w:rPr>
          <w:rStyle w:val="VerbatimChar"/>
        </w:rPr>
        <w:t xml:space="preserve">results/tables/betadisper_chinese_miseq_sensitivity.csv</w:t>
      </w:r>
      <w:r>
        <w:t xml:space="preserve">,</w:t>
      </w:r>
      <w:r>
        <w:t xml:space="preserve"> </w:t>
      </w:r>
      <w:r>
        <w:rPr>
          <w:rStyle w:val="VerbatimChar"/>
        </w:rPr>
        <w:t xml:space="preserve">results/tables/betadisper_chinese_miseq_pairwise.csv</w:t>
      </w:r>
      <w:r>
        <w:t xml:space="preserve">.</w:t>
      </w:r>
    </w:p>
    <w:p>
      <w:r>
        <w:pict>
          <v:rect style="width:0;height:1.5pt" o:hralign="center" o:hrstd="t" o:hr="t"/>
        </w:pict>
      </w:r>
    </w:p>
    <w:bookmarkEnd w:id="19"/>
    <w:bookmarkStart w:id="20" w:name="Xa4bf632d9f7675899723fa3edb562421a648ade"/>
    <w:p>
      <w:pPr>
        <w:pStyle w:val="Heading3"/>
      </w:pPr>
      <w:r>
        <w:t xml:space="preserve">Table S12. Pairwise Beta-Dispersion Post-Hoc Comparisons (All Five Cohorts, Aitchison Distance)</w:t>
      </w:r>
    </w:p>
    <w:p>
      <w:pPr>
        <w:pStyle w:val="FirstParagraph"/>
      </w:pPr>
      <w:r>
        <w:t xml:space="preserve">All 10 pairwise betadisper comparisons among the five cohorts (9,999 permutations per pair), with Holm and Benjamini-Hochberg (BH) multiplicity adjustment across the 10 comparisons (Section 2.6). Sorted by unadjusted 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F (observed)</w:t>
            </w:r>
          </w:p>
        </w:tc>
        <w:tc>
          <w:tcPr/>
          <w:p>
            <w:pPr>
              <w:pStyle w:val="Compact"/>
            </w:pPr>
            <w:r>
              <w:t xml:space="preserve">p (unadjusted)</w:t>
            </w:r>
          </w:p>
        </w:tc>
        <w:tc>
          <w:tcPr/>
          <w:p>
            <w:pPr>
              <w:pStyle w:val="Compact"/>
            </w:pPr>
            <w:r>
              <w:t xml:space="preserve">p (Holm)</w:t>
            </w:r>
          </w:p>
        </w:tc>
        <w:tc>
          <w:tcPr/>
          <w:p>
            <w:pPr>
              <w:pStyle w:val="Compact"/>
            </w:pPr>
            <w:r>
              <w:t xml:space="preserve">p (BH)</w:t>
            </w:r>
          </w:p>
        </w:tc>
      </w:tr>
      <w:tr>
        <w:tc>
          <w:tcPr/>
          <w:p>
            <w:pPr>
              <w:pStyle w:val="Compact"/>
            </w:pPr>
            <w:r>
              <w:t xml:space="preserve">kazakhstan2022–ling2020</w:t>
            </w:r>
          </w:p>
        </w:tc>
        <w:tc>
          <w:tcPr/>
          <w:p>
            <w:pPr>
              <w:pStyle w:val="Compact"/>
            </w:pPr>
            <w:r>
              <w:t xml:space="preserve">1.434×10⁻⁸</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kbase2022–ling2020</w:t>
            </w:r>
          </w:p>
        </w:tc>
        <w:tc>
          <w:tcPr/>
          <w:p>
            <w:pPr>
              <w:pStyle w:val="Compact"/>
            </w:pPr>
            <w:r>
              <w:t xml:space="preserve">4.178×10⁻⁹</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ling2020–zhuang2018</w:t>
            </w:r>
          </w:p>
        </w:tc>
        <w:tc>
          <w:tcPr/>
          <w:p>
            <w:pPr>
              <w:pStyle w:val="Compact"/>
            </w:pPr>
            <w:r>
              <w:t xml:space="preserve">5.442×10⁻⁵</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kazakhstan2022–shanghai2022</w:t>
            </w:r>
          </w:p>
        </w:tc>
        <w:tc>
          <w:tcPr/>
          <w:p>
            <w:pPr>
              <w:pStyle w:val="Compact"/>
            </w:pPr>
            <w:r>
              <w:t xml:space="preserve">1.313×10⁻³</w:t>
            </w:r>
          </w:p>
        </w:tc>
        <w:tc>
          <w:tcPr/>
          <w:p>
            <w:pPr>
              <w:pStyle w:val="Compact"/>
            </w:pPr>
            <w:r>
              <w:t xml:space="preserve">0.0009</w:t>
            </w:r>
          </w:p>
        </w:tc>
        <w:tc>
          <w:tcPr/>
          <w:p>
            <w:pPr>
              <w:pStyle w:val="Compact"/>
            </w:pPr>
            <w:r>
              <w:t xml:space="preserve">0.0063</w:t>
            </w:r>
          </w:p>
        </w:tc>
        <w:tc>
          <w:tcPr/>
          <w:p>
            <w:pPr>
              <w:pStyle w:val="Compact"/>
            </w:pPr>
            <w:r>
              <w:t xml:space="preserve">0.00225</w:t>
            </w:r>
          </w:p>
        </w:tc>
      </w:tr>
      <w:tr>
        <w:tc>
          <w:tcPr/>
          <w:p>
            <w:pPr>
              <w:pStyle w:val="Compact"/>
            </w:pPr>
            <w:r>
              <w:t xml:space="preserve">kbase2022–shanghai2022</w:t>
            </w:r>
          </w:p>
        </w:tc>
        <w:tc>
          <w:tcPr/>
          <w:p>
            <w:pPr>
              <w:pStyle w:val="Compact"/>
            </w:pPr>
            <w:r>
              <w:t xml:space="preserve">1.670×10⁻³</w:t>
            </w:r>
          </w:p>
        </w:tc>
        <w:tc>
          <w:tcPr/>
          <w:p>
            <w:pPr>
              <w:pStyle w:val="Compact"/>
            </w:pPr>
            <w:r>
              <w:t xml:space="preserve">0.0018</w:t>
            </w:r>
          </w:p>
        </w:tc>
        <w:tc>
          <w:tcPr/>
          <w:p>
            <w:pPr>
              <w:pStyle w:val="Compact"/>
            </w:pPr>
            <w:r>
              <w:t xml:space="preserve">0.0108</w:t>
            </w:r>
          </w:p>
        </w:tc>
        <w:tc>
          <w:tcPr/>
          <w:p>
            <w:pPr>
              <w:pStyle w:val="Compact"/>
            </w:pPr>
            <w:r>
              <w:t xml:space="preserve">0.0036</w:t>
            </w:r>
          </w:p>
        </w:tc>
      </w:tr>
      <w:tr>
        <w:tc>
          <w:tcPr/>
          <w:p>
            <w:pPr>
              <w:pStyle w:val="Compact"/>
            </w:pPr>
            <w:r>
              <w:t xml:space="preserve">ling2020–shanghai2022</w:t>
            </w:r>
          </w:p>
        </w:tc>
        <w:tc>
          <w:tcPr/>
          <w:p>
            <w:pPr>
              <w:pStyle w:val="Compact"/>
            </w:pPr>
            <w:r>
              <w:t xml:space="preserve">8.277×10⁻³</w:t>
            </w:r>
          </w:p>
        </w:tc>
        <w:tc>
          <w:tcPr/>
          <w:p>
            <w:pPr>
              <w:pStyle w:val="Compact"/>
            </w:pPr>
            <w:r>
              <w:t xml:space="preserve">0.0084</w:t>
            </w:r>
          </w:p>
        </w:tc>
        <w:tc>
          <w:tcPr/>
          <w:p>
            <w:pPr>
              <w:pStyle w:val="Compact"/>
            </w:pPr>
            <w:r>
              <w:t xml:space="preserve">0.0420</w:t>
            </w:r>
          </w:p>
        </w:tc>
        <w:tc>
          <w:tcPr/>
          <w:p>
            <w:pPr>
              <w:pStyle w:val="Compact"/>
            </w:pPr>
            <w:r>
              <w:t xml:space="preserve">0.0140</w:t>
            </w:r>
          </w:p>
        </w:tc>
      </w:tr>
      <w:tr>
        <w:tc>
          <w:tcPr/>
          <w:p>
            <w:pPr>
              <w:pStyle w:val="Compact"/>
            </w:pPr>
            <w:r>
              <w:t xml:space="preserve">kazakhstan2022–zhuang2018</w:t>
            </w:r>
          </w:p>
        </w:tc>
        <w:tc>
          <w:tcPr/>
          <w:p>
            <w:pPr>
              <w:pStyle w:val="Compact"/>
            </w:pPr>
            <w:r>
              <w:t xml:space="preserve">1.047×10⁻²</w:t>
            </w:r>
          </w:p>
        </w:tc>
        <w:tc>
          <w:tcPr/>
          <w:p>
            <w:pPr>
              <w:pStyle w:val="Compact"/>
            </w:pPr>
            <w:r>
              <w:t xml:space="preserve">0.0101</w:t>
            </w:r>
          </w:p>
        </w:tc>
        <w:tc>
          <w:tcPr/>
          <w:p>
            <w:pPr>
              <w:pStyle w:val="Compact"/>
            </w:pPr>
            <w:r>
              <w:t xml:space="preserve">0.0420</w:t>
            </w:r>
          </w:p>
        </w:tc>
        <w:tc>
          <w:tcPr/>
          <w:p>
            <w:pPr>
              <w:pStyle w:val="Compact"/>
            </w:pPr>
            <w:r>
              <w:t xml:space="preserve">0.01443</w:t>
            </w:r>
          </w:p>
        </w:tc>
      </w:tr>
      <w:tr>
        <w:tc>
          <w:tcPr/>
          <w:p>
            <w:pPr>
              <w:pStyle w:val="Compact"/>
            </w:pPr>
            <w:r>
              <w:t xml:space="preserve">kbase2022–zhuang2018</w:t>
            </w:r>
          </w:p>
        </w:tc>
        <w:tc>
          <w:tcPr/>
          <w:p>
            <w:pPr>
              <w:pStyle w:val="Compact"/>
            </w:pPr>
            <w:r>
              <w:t xml:space="preserve">2.507×10⁻²</w:t>
            </w:r>
          </w:p>
        </w:tc>
        <w:tc>
          <w:tcPr/>
          <w:p>
            <w:pPr>
              <w:pStyle w:val="Compact"/>
            </w:pPr>
            <w:r>
              <w:t xml:space="preserve">0.0216</w:t>
            </w:r>
          </w:p>
        </w:tc>
        <w:tc>
          <w:tcPr/>
          <w:p>
            <w:pPr>
              <w:pStyle w:val="Compact"/>
            </w:pPr>
            <w:r>
              <w:t xml:space="preserve">0.0648</w:t>
            </w:r>
          </w:p>
        </w:tc>
        <w:tc>
          <w:tcPr/>
          <w:p>
            <w:pPr>
              <w:pStyle w:val="Compact"/>
            </w:pPr>
            <w:r>
              <w:t xml:space="preserve">0.0270</w:t>
            </w:r>
          </w:p>
        </w:tc>
      </w:tr>
      <w:tr>
        <w:tc>
          <w:tcPr/>
          <w:p>
            <w:pPr>
              <w:pStyle w:val="Compact"/>
            </w:pPr>
            <w:r>
              <w:t xml:space="preserve">shanghai2022–zhuang2018</w:t>
            </w:r>
          </w:p>
        </w:tc>
        <w:tc>
          <w:tcPr/>
          <w:p>
            <w:pPr>
              <w:pStyle w:val="Compact"/>
            </w:pPr>
            <w:r>
              <w:t xml:space="preserve">2.213×10⁻¹</w:t>
            </w:r>
          </w:p>
        </w:tc>
        <w:tc>
          <w:tcPr/>
          <w:p>
            <w:pPr>
              <w:pStyle w:val="Compact"/>
            </w:pPr>
            <w:r>
              <w:t xml:space="preserve">0.2197</w:t>
            </w:r>
          </w:p>
        </w:tc>
        <w:tc>
          <w:tcPr/>
          <w:p>
            <w:pPr>
              <w:pStyle w:val="Compact"/>
            </w:pPr>
            <w:r>
              <w:t xml:space="preserve">0.4394</w:t>
            </w:r>
          </w:p>
        </w:tc>
        <w:tc>
          <w:tcPr/>
          <w:p>
            <w:pPr>
              <w:pStyle w:val="Compact"/>
            </w:pPr>
            <w:r>
              <w:t xml:space="preserve">0.2441</w:t>
            </w:r>
          </w:p>
        </w:tc>
      </w:tr>
      <w:tr>
        <w:tc>
          <w:tcPr/>
          <w:p>
            <w:pPr>
              <w:pStyle w:val="Compact"/>
            </w:pPr>
            <w:r>
              <w:t xml:space="preserve">kazakhstan2022–kbase2022</w:t>
            </w:r>
          </w:p>
        </w:tc>
        <w:tc>
          <w:tcPr/>
          <w:p>
            <w:pPr>
              <w:pStyle w:val="Compact"/>
            </w:pPr>
            <w:r>
              <w:t xml:space="preserve">3.487×10⁻¹</w:t>
            </w:r>
          </w:p>
        </w:tc>
        <w:tc>
          <w:tcPr/>
          <w:p>
            <w:pPr>
              <w:pStyle w:val="Compact"/>
            </w:pPr>
            <w:r>
              <w:t xml:space="preserve">0.3544</w:t>
            </w:r>
          </w:p>
        </w:tc>
        <w:tc>
          <w:tcPr/>
          <w:p>
            <w:pPr>
              <w:pStyle w:val="Compact"/>
            </w:pPr>
            <w:r>
              <w:t xml:space="preserve">0.4394</w:t>
            </w:r>
          </w:p>
        </w:tc>
        <w:tc>
          <w:tcPr/>
          <w:p>
            <w:pPr>
              <w:pStyle w:val="Compact"/>
            </w:pPr>
            <w:r>
              <w:t xml:space="preserve">0.3544</w:t>
            </w:r>
          </w:p>
        </w:tc>
      </w:tr>
    </w:tbl>
    <w:p>
      <w:pPr>
        <w:pStyle w:val="BodyText"/>
      </w:pPr>
      <w:r>
        <w:t xml:space="preserve">Ling 2020 differs significantly in dispersion from every other cohort (all Holm-adjusted p≤0.0063) and is the cohort driving most of the overall significant dispersion difference (Section 3.4). shanghai2022 (Zhu 2022) vs. zhuang2018 and kazakhstan2022 vs. kbase2022 are not significantly different in dispersion after adjustment.</w:t>
      </w:r>
    </w:p>
    <w:p>
      <w:pPr>
        <w:pStyle w:val="BodyText"/>
      </w:pPr>
      <w:r>
        <w:rPr>
          <w:i/>
          <w:iCs/>
        </w:rPr>
        <w:t xml:space="preserve">Source data:</w:t>
      </w:r>
      <w:r>
        <w:t xml:space="preserve"> </w:t>
      </w:r>
      <w:r>
        <w:rPr>
          <w:rStyle w:val="VerbatimChar"/>
        </w:rPr>
        <w:t xml:space="preserve">results/tables/betadisper_pairwise.csv</w:t>
      </w:r>
      <w:r>
        <w:t xml:space="preserve">.</w:t>
      </w:r>
    </w:p>
    <w:p>
      <w:r>
        <w:pict>
          <v:rect style="width:0;height:1.5pt" o:hralign="center" o:hrstd="t" o:hr="t"/>
        </w:pict>
      </w:r>
    </w:p>
    <w:bookmarkEnd w:id="20"/>
    <w:bookmarkStart w:id="21" w:name="X6a3f0f83f9ac9e1ec6868cd2d28ce5b5abc1138"/>
    <w:p>
      <w:pPr>
        <w:pStyle w:val="Heading3"/>
      </w:pPr>
      <w:r>
        <w:t xml:space="preserve">Table S13. Prevalence-Restricted Jaccard Null Sensitivity</w:t>
      </w:r>
    </w:p>
    <w:p>
      <w:pPr>
        <w:pStyle w:val="FirstParagraph"/>
      </w:pPr>
      <w:r>
        <w:t xml:space="preserve">Per-cohort eligible universe = genera reaching ≥20% prevalence within that cohort’s own AD/CN-labeled samples (eligible universe sizes: zhuang2018=131, ling2020=126, shanghai2022=115, kazakhstan2022=356). 100,000 replicates per (model, N) combination (Section 2.8). This supersedes the shared-pool null (Table S7) as the more realistic sensitivity check; the two null models disagree for LightGBM.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Top-N</w:t>
            </w:r>
          </w:p>
        </w:tc>
        <w:tc>
          <w:tcPr/>
          <w:p>
            <w:pPr>
              <w:pStyle w:val="Compact"/>
            </w:pPr>
            <w:r>
              <w:t xml:space="preserve">Observed Mean (6 pairs)</w:t>
            </w:r>
          </w:p>
        </w:tc>
        <w:tc>
          <w:tcPr/>
          <w:p>
            <w:pPr>
              <w:pStyle w:val="Compact"/>
            </w:pPr>
            <w:r>
              <w:t xml:space="preserve">Null Mean</w:t>
            </w:r>
          </w:p>
        </w:tc>
        <w:tc>
          <w:tcPr/>
          <w:p>
            <w:pPr>
              <w:pStyle w:val="Compact"/>
            </w:pPr>
            <w:r>
              <w:t xml:space="preserve">Null 95% CI</w:t>
            </w:r>
          </w:p>
        </w:tc>
        <w:tc>
          <w:tcPr/>
          <w:p>
            <w:pPr>
              <w:pStyle w:val="Compact"/>
            </w:pPr>
            <w:r>
              <w:t xml:space="preserve">Empirical p</w:t>
            </w:r>
          </w:p>
        </w:tc>
      </w:tr>
      <w:tr>
        <w:tc>
          <w:tcPr/>
          <w:p>
            <w:pPr>
              <w:pStyle w:val="Compact"/>
            </w:pPr>
            <w:r>
              <w:t xml:space="preserve">LogReg</w:t>
            </w:r>
          </w:p>
        </w:tc>
        <w:tc>
          <w:tcPr/>
          <w:p>
            <w:pPr>
              <w:pStyle w:val="Compact"/>
            </w:pPr>
            <w:r>
              <w:t xml:space="preserve">10</w:t>
            </w:r>
          </w:p>
        </w:tc>
        <w:tc>
          <w:tcPr/>
          <w:p>
            <w:pPr>
              <w:pStyle w:val="Compact"/>
            </w:pPr>
            <w:r>
              <w:t xml:space="preserve">0.0850</w:t>
            </w:r>
          </w:p>
        </w:tc>
        <w:tc>
          <w:tcPr/>
          <w:p>
            <w:pPr>
              <w:pStyle w:val="Compact"/>
            </w:pPr>
            <w:r>
              <w:t xml:space="preserve">0.0260</w:t>
            </w:r>
          </w:p>
        </w:tc>
        <w:tc>
          <w:tcPr/>
          <w:p>
            <w:pPr>
              <w:pStyle w:val="Compact"/>
            </w:pPr>
            <w:r>
              <w:t xml:space="preserve">[0.0000, 0.0624]</w:t>
            </w:r>
          </w:p>
        </w:tc>
        <w:tc>
          <w:tcPr/>
          <w:p>
            <w:pPr>
              <w:pStyle w:val="Compact"/>
            </w:pPr>
            <w:r>
              <w:t xml:space="preserve">0.001670</w:t>
            </w:r>
          </w:p>
        </w:tc>
      </w:tr>
      <w:tr>
        <w:tc>
          <w:tcPr/>
          <w:p>
            <w:pPr>
              <w:pStyle w:val="Compact"/>
            </w:pPr>
            <w:r>
              <w:t xml:space="preserve">LogReg</w:t>
            </w:r>
          </w:p>
        </w:tc>
        <w:tc>
          <w:tcPr/>
          <w:p>
            <w:pPr>
              <w:pStyle w:val="Compact"/>
            </w:pPr>
            <w:r>
              <w:rPr>
                <w:b/>
                <w:bCs/>
              </w:rPr>
              <w:t xml:space="preserve">20 (primary)</w:t>
            </w:r>
          </w:p>
        </w:tc>
        <w:tc>
          <w:tcPr/>
          <w:p>
            <w:pPr>
              <w:pStyle w:val="Compact"/>
            </w:pPr>
            <w:r>
              <w:rPr>
                <w:b/>
                <w:bCs/>
              </w:rPr>
              <w:t xml:space="preserve">0.1350</w:t>
            </w:r>
          </w:p>
        </w:tc>
        <w:tc>
          <w:tcPr/>
          <w:p>
            <w:pPr>
              <w:pStyle w:val="Compact"/>
            </w:pPr>
            <w:r>
              <w:t xml:space="preserve">0.0522</w:t>
            </w:r>
          </w:p>
        </w:tc>
        <w:tc>
          <w:tcPr/>
          <w:p>
            <w:pPr>
              <w:pStyle w:val="Compact"/>
            </w:pPr>
            <w:r>
              <w:t xml:space="preserve">[0.0261, 0.0841]</w:t>
            </w:r>
          </w:p>
        </w:tc>
        <w:tc>
          <w:tcPr/>
          <w:p>
            <w:pPr>
              <w:pStyle w:val="Compact"/>
            </w:pPr>
            <w:r>
              <w:rPr>
                <w:b/>
                <w:bCs/>
              </w:rPr>
              <w:t xml:space="preserve">0.000030</w:t>
            </w:r>
          </w:p>
        </w:tc>
      </w:tr>
      <w:tr>
        <w:tc>
          <w:tcPr/>
          <w:p>
            <w:pPr>
              <w:pStyle w:val="Compact"/>
            </w:pPr>
            <w:r>
              <w:t xml:space="preserve">LogReg</w:t>
            </w:r>
          </w:p>
        </w:tc>
        <w:tc>
          <w:tcPr/>
          <w:p>
            <w:pPr>
              <w:pStyle w:val="Compact"/>
            </w:pPr>
            <w:r>
              <w:t xml:space="preserve">50</w:t>
            </w:r>
          </w:p>
        </w:tc>
        <w:tc>
          <w:tcPr/>
          <w:p>
            <w:pPr>
              <w:pStyle w:val="Compact"/>
            </w:pPr>
            <w:r>
              <w:t xml:space="preserve">0.2308</w:t>
            </w:r>
          </w:p>
        </w:tc>
        <w:tc>
          <w:tcPr/>
          <w:p>
            <w:pPr>
              <w:pStyle w:val="Compact"/>
            </w:pPr>
            <w:r>
              <w:t xml:space="preserve">0.1422</w:t>
            </w:r>
          </w:p>
        </w:tc>
        <w:tc>
          <w:tcPr/>
          <w:p>
            <w:pPr>
              <w:pStyle w:val="Compact"/>
            </w:pPr>
            <w:r>
              <w:t xml:space="preserve">[0.1140, 0.1737]</w:t>
            </w:r>
          </w:p>
        </w:tc>
        <w:tc>
          <w:tcPr/>
          <w:p>
            <w:pPr>
              <w:pStyle w:val="Compact"/>
            </w:pPr>
            <w:r>
              <w:t xml:space="preserve">0.000010</w:t>
            </w:r>
          </w:p>
        </w:tc>
      </w:tr>
      <w:tr>
        <w:tc>
          <w:tcPr/>
          <w:p>
            <w:pPr>
              <w:pStyle w:val="Compact"/>
            </w:pPr>
            <w:r>
              <w:t xml:space="preserve">LightGBM</w:t>
            </w:r>
          </w:p>
        </w:tc>
        <w:tc>
          <w:tcPr/>
          <w:p>
            <w:pPr>
              <w:pStyle w:val="Compact"/>
            </w:pPr>
            <w:r>
              <w:t xml:space="preserve">10</w:t>
            </w:r>
          </w:p>
        </w:tc>
        <w:tc>
          <w:tcPr/>
          <w:p>
            <w:pPr>
              <w:pStyle w:val="Compact"/>
            </w:pPr>
            <w:r>
              <w:t xml:space="preserve">0.0175</w:t>
            </w:r>
          </w:p>
        </w:tc>
        <w:tc>
          <w:tcPr/>
          <w:p>
            <w:pPr>
              <w:pStyle w:val="Compact"/>
            </w:pPr>
            <w:r>
              <w:t xml:space="preserve">0.0260</w:t>
            </w:r>
          </w:p>
        </w:tc>
        <w:tc>
          <w:tcPr/>
          <w:p>
            <w:pPr>
              <w:pStyle w:val="Compact"/>
            </w:pPr>
            <w:r>
              <w:t xml:space="preserve">[0.0000, 0.0624]</w:t>
            </w:r>
          </w:p>
        </w:tc>
        <w:tc>
          <w:tcPr/>
          <w:p>
            <w:pPr>
              <w:pStyle w:val="Compact"/>
            </w:pPr>
            <w:r>
              <w:t xml:space="preserve">0.799592 (not significant)</w:t>
            </w:r>
          </w:p>
        </w:tc>
      </w:tr>
      <w:tr>
        <w:tc>
          <w:tcPr/>
          <w:p>
            <w:pPr>
              <w:pStyle w:val="Compact"/>
            </w:pPr>
            <w:r>
              <w:t xml:space="preserve">LightGBM</w:t>
            </w:r>
          </w:p>
        </w:tc>
        <w:tc>
          <w:tcPr/>
          <w:p>
            <w:pPr>
              <w:pStyle w:val="Compact"/>
            </w:pPr>
            <w:r>
              <w:rPr>
                <w:b/>
                <w:bCs/>
              </w:rPr>
              <w:t xml:space="preserve">20 (primary)</w:t>
            </w:r>
          </w:p>
        </w:tc>
        <w:tc>
          <w:tcPr/>
          <w:p>
            <w:pPr>
              <w:pStyle w:val="Compact"/>
            </w:pPr>
            <w:r>
              <w:rPr>
                <w:b/>
                <w:bCs/>
              </w:rPr>
              <w:t xml:space="preserve">0.0629</w:t>
            </w:r>
          </w:p>
        </w:tc>
        <w:tc>
          <w:tcPr/>
          <w:p>
            <w:pPr>
              <w:pStyle w:val="Compact"/>
            </w:pPr>
            <w:r>
              <w:t xml:space="preserve">0.0522</w:t>
            </w:r>
          </w:p>
        </w:tc>
        <w:tc>
          <w:tcPr/>
          <w:p>
            <w:pPr>
              <w:pStyle w:val="Compact"/>
            </w:pPr>
            <w:r>
              <w:t xml:space="preserve">[0.0261, 0.0841]</w:t>
            </w:r>
          </w:p>
        </w:tc>
        <w:tc>
          <w:tcPr/>
          <w:p>
            <w:pPr>
              <w:pStyle w:val="Compact"/>
            </w:pPr>
            <w:r>
              <w:t xml:space="preserve">0.240838 (not significant)</w:t>
            </w:r>
          </w:p>
        </w:tc>
      </w:tr>
      <w:tr>
        <w:tc>
          <w:tcPr/>
          <w:p>
            <w:pPr>
              <w:pStyle w:val="Compact"/>
            </w:pPr>
            <w:r>
              <w:t xml:space="preserve">LightGBM</w:t>
            </w:r>
          </w:p>
        </w:tc>
        <w:tc>
          <w:tcPr/>
          <w:p>
            <w:pPr>
              <w:pStyle w:val="Compact"/>
            </w:pPr>
            <w:r>
              <w:t xml:space="preserve">50</w:t>
            </w:r>
          </w:p>
        </w:tc>
        <w:tc>
          <w:tcPr/>
          <w:p>
            <w:pPr>
              <w:pStyle w:val="Compact"/>
            </w:pPr>
            <w:r>
              <w:t xml:space="preserve">0.1665</w:t>
            </w:r>
          </w:p>
        </w:tc>
        <w:tc>
          <w:tcPr/>
          <w:p>
            <w:pPr>
              <w:pStyle w:val="Compact"/>
            </w:pPr>
            <w:r>
              <w:t xml:space="preserve">0.1422</w:t>
            </w:r>
          </w:p>
        </w:tc>
        <w:tc>
          <w:tcPr/>
          <w:p>
            <w:pPr>
              <w:pStyle w:val="Compact"/>
            </w:pPr>
            <w:r>
              <w:t xml:space="preserve">[0.1140, 0.1737]</w:t>
            </w:r>
          </w:p>
        </w:tc>
        <w:tc>
          <w:tcPr/>
          <w:p>
            <w:pPr>
              <w:pStyle w:val="Compact"/>
            </w:pPr>
            <w:r>
              <w:t xml:space="preserve">0.061309 (not significant)</w:t>
            </w:r>
          </w:p>
        </w:tc>
      </w:tr>
    </w:tbl>
    <w:p>
      <w:pPr>
        <w:pStyle w:val="BodyText"/>
      </w:pPr>
      <w:r>
        <w:t xml:space="preserve">Logistic regression remains significant at all three thresholds under this more realistic null. LightGBM is not significant at any of N=10/20/50 under this null, reversing the shared-pool-null result at N=20/50 (Table S7). We report this reversal directly: LightGBM’s apparent cross-cohort top-predictor overlap is not distinguishable from chance once the null model accounts for each cohort’s own genus-prevalence structure.</w:t>
      </w:r>
    </w:p>
    <w:p>
      <w:pPr>
        <w:pStyle w:val="BodyText"/>
      </w:pPr>
      <w:r>
        <w:rPr>
          <w:i/>
          <w:iCs/>
        </w:rPr>
        <w:t xml:space="preserve">Source data:</w:t>
      </w:r>
      <w:r>
        <w:t xml:space="preserve"> </w:t>
      </w:r>
      <w:r>
        <w:rPr>
          <w:rStyle w:val="VerbatimChar"/>
        </w:rPr>
        <w:t xml:space="preserve">results/tables/jaccard_prevalence_restricted_null.csv</w:t>
      </w:r>
      <w:r>
        <w:t xml:space="preserve">.</w:t>
      </w:r>
    </w:p>
    <w:p>
      <w:r>
        <w:pict>
          <v:rect style="width:0;height:1.5pt" o:hralign="center" o:hrstd="t" o:hr="t"/>
        </w:pict>
      </w:r>
    </w:p>
    <w:bookmarkEnd w:id="21"/>
    <w:bookmarkEnd w:id="22"/>
    <w:bookmarkStart w:id="43" w:name="supplementary-figures"/>
    <w:p>
      <w:pPr>
        <w:pStyle w:val="Heading2"/>
      </w:pPr>
      <w:r>
        <w:t xml:space="preserve">Supplementary Figures</w:t>
      </w:r>
    </w:p>
    <w:bookmarkStart w:id="26" w:name="Xa8f402e2b6d4b37ecfbe0e3fe1af4eed207c1c5"/>
    <w:p>
      <w:pPr>
        <w:pStyle w:val="Heading3"/>
      </w:pPr>
      <w:r>
        <w:t xml:space="preserve">Figure S1. Zhu 2022: Fecal-Only Within-Cohort AUC</w:t>
      </w:r>
    </w:p>
    <w:p>
      <w:pPr>
        <w:pStyle w:val="FirstParagraph"/>
      </w:pPr>
      <w:r>
        <w:rPr>
          <w:b/>
          <w:bCs/>
        </w:rPr>
        <w:t xml:space="preserve">Caption:</w:t>
      </w:r>
      <w:r>
        <w:t xml:space="preserve"> </w:t>
      </w:r>
      <w:r>
        <w:t xml:space="preserve">Within-cohort AUC-ROC for Zhu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[0.94–1.00]. The near-perfect within-cohort AUC should be interpreted cautiously given the small sample size (30 per class); see Section 3.2 and Section 4.3 for discussion. Error bars = 95% CI from the diagnosis-stratified, participant-level bootstrap (10,000 replicates; Section 2.5.2), matching Table 2.</w:t>
      </w:r>
    </w:p>
    <w:p>
      <w:pPr>
        <w:pStyle w:val="BodyText"/>
      </w:pPr>
      <w:r>
        <w:rPr>
          <w:i/>
          <w:iCs/>
        </w:rPr>
        <w:t xml:space="preserve">Source data:</w:t>
      </w:r>
      <w:r>
        <w:t xml:space="preserve"> </w:t>
      </w:r>
      <w:r>
        <w:t xml:space="preserve">results/model_outputs/within_cohort_cv/shanghai2022_*.csv</w:t>
      </w:r>
      <w:r>
        <w:t xml:space="preserve"> </w:t>
      </w:r>
      <w:r>
        <w:drawing>
          <wp:inline>
            <wp:extent cx="3002280" cy="3425952"/>
            <wp:effectExtent b="0" l="0" r="0" t="0"/>
            <wp:docPr descr="Figure S1" title="" id="24" name="Picture"/>
            <a:graphic>
              <a:graphicData uri="http://schemas.openxmlformats.org/drawingml/2006/picture">
                <pic:pic>
                  <pic:nvPicPr>
                    <pic:cNvPr descr="/Users/arhan/Desktop/microbiome-ad-generalization/results/figures/final_supplementary/Figure_S1.jpg" id="25" name="Picture"/>
                    <pic:cNvPicPr>
                      <a:picLocks noChangeArrowheads="1" noChangeAspect="1"/>
                    </pic:cNvPicPr>
                  </pic:nvPicPr>
                  <pic:blipFill>
                    <a:blip r:embed="rId23"/>
                    <a:stretch>
                      <a:fillRect/>
                    </a:stretch>
                  </pic:blipFill>
                  <pic:spPr bwMode="auto">
                    <a:xfrm>
                      <a:off x="0" y="0"/>
                      <a:ext cx="3002280" cy="3425952"/>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results/figures/final_supplementary/Figure_S1.jpg</w:t>
      </w:r>
    </w:p>
    <w:p>
      <w:r>
        <w:pict>
          <v:rect style="width:0;height:1.5pt" o:hralign="center" o:hrstd="t" o:hr="t"/>
        </w:pict>
      </w:r>
    </w:p>
    <w:bookmarkEnd w:id="26"/>
    <w:bookmarkStart w:id="30" w:name="X5a300ab727c16619eb908e32fef63071f9d261b"/>
    <w:p>
      <w:pPr>
        <w:pStyle w:val="Heading3"/>
      </w:pPr>
      <w:r>
        <w:t xml:space="preserve">Figure S2. Top-15 SHAP Taxa Per Cohort (LightGBM, Out-of-Fold)</w:t>
      </w:r>
    </w:p>
    <w:p>
      <w:pPr>
        <w:pStyle w:val="FirstParagraph"/>
      </w:pPr>
      <w:r>
        <w:rPr>
          <w:b/>
          <w:bCs/>
        </w:rPr>
        <w:t xml:space="preserve">Caption:</w:t>
      </w:r>
      <w:r>
        <w:t xml:space="preserve"> </w:t>
      </w:r>
      <w:r>
        <w:t xml:space="preserve">Horizontal bar charts showing mean |SHAP| value (CLR units) for the top-15 genera by importance in each of the four labeled cohorts under out-of-fold LightGBM evaluation. Bars are a single neutral color and show feature-importance magnitude only —</w:t>
      </w:r>
      <w:r>
        <w:t xml:space="preserve"> </w:t>
      </w:r>
      <w:r>
        <w:rPr>
          <w:b/>
          <w:bCs/>
        </w:rPr>
        <w:t xml:space="preserve">no AD/CN direction is assigned</w:t>
      </w:r>
      <w:r>
        <w:t xml:space="preserve">, because a tree ensemble has no single coefficient-like global direction and LightGBM’s SHAP-feature relationships may be nonlinear or non-monotonic (Section 2.8). Top taxon per cohort (by |SHAP| magnitude only): Lachnoclostridium (Zhuang 2018, |SHAP|=0.560), Akkermansia (Ling 2020, |SHAP|=0.947), Bacteroides (Zhu 2022, |SHAP|=1.243), Castellaniella (Kazakhstan, |SHAP|=0.614). Mean pairwise Jaccard similarity at top-20: 0.058, significant against the shared-pool null (p=0.0048 at N=20; not significant at N=10, p=0.45; Table S7) but not significant at any N against the prevalence-restricted null (Table S13).</w:t>
      </w:r>
      <w:r>
        <w:t xml:space="preserve"> </w:t>
      </w:r>
      <w:r>
        <w:rPr>
          <w:b/>
          <w:bCs/>
        </w:rPr>
        <w:t xml:space="preserve">No LightGBM directional-flip claim is made anywhere in this paper</w:t>
      </w:r>
      <w:r>
        <w:t xml:space="preserve">, because a tree ensemble has no single coefficient-like global direction (Section 2.8).</w:t>
      </w:r>
    </w:p>
    <w:p>
      <w:pPr>
        <w:pStyle w:val="CaptionedFigure"/>
      </w:pPr>
      <w:r>
        <w:drawing>
          <wp:inline>
            <wp:extent cx="5334000" cy="4957182"/>
            <wp:effectExtent b="0" l="0" r="0" t="0"/>
            <wp:docPr descr="Figure S2" title="" id="28" name="Picture"/>
            <a:graphic>
              <a:graphicData uri="http://schemas.openxmlformats.org/drawingml/2006/picture">
                <pic:pic>
                  <pic:nvPicPr>
                    <pic:cNvPr descr="/Users/arhan/Desktop/microbiome-ad-generalization/results/figures/final_supplementary/Figure_S2.jpg" id="29" name="Picture"/>
                    <pic:cNvPicPr>
                      <a:picLocks noChangeArrowheads="1" noChangeAspect="1"/>
                    </pic:cNvPicPr>
                  </pic:nvPicPr>
                  <pic:blipFill>
                    <a:blip r:embed="rId27"/>
                    <a:stretch>
                      <a:fillRect/>
                    </a:stretch>
                  </pic:blipFill>
                  <pic:spPr bwMode="auto">
                    <a:xfrm>
                      <a:off x="0" y="0"/>
                      <a:ext cx="5334000" cy="4957182"/>
                    </a:xfrm>
                    <a:prstGeom prst="rect">
                      <a:avLst/>
                    </a:prstGeom>
                    <a:noFill/>
                    <a:ln w="9525">
                      <a:noFill/>
                      <a:headEnd/>
                      <a:tailEnd/>
                    </a:ln>
                  </pic:spPr>
                </pic:pic>
              </a:graphicData>
            </a:graphic>
          </wp:inline>
        </w:drawing>
      </w:r>
    </w:p>
    <w:p>
      <w:pPr>
        <w:pStyle w:val="ImageCaption"/>
      </w:pPr>
      <w:r>
        <w:t xml:space="preserve">Figure S2</w:t>
      </w:r>
    </w:p>
    <w:p>
      <w:pPr>
        <w:pStyle w:val="BodyText"/>
      </w:pPr>
      <w:r>
        <w:rPr>
          <w:i/>
          <w:iCs/>
        </w:rPr>
        <w:t xml:space="preserve">Source figure:</w:t>
      </w:r>
      <w:r>
        <w:t xml:space="preserve"> </w:t>
      </w:r>
      <w:r>
        <w:rPr>
          <w:rStyle w:val="VerbatimChar"/>
        </w:rPr>
        <w:t xml:space="preserve">results/figures/final_supplementary/Figure_S2.jpg</w:t>
      </w:r>
    </w:p>
    <w:p>
      <w:r>
        <w:pict>
          <v:rect style="width:0;height:1.5pt" o:hralign="center" o:hrstd="t" o:hr="t"/>
        </w:pict>
      </w:r>
    </w:p>
    <w:bookmarkEnd w:id="30"/>
    <w:bookmarkStart w:id="34" w:name="X6fecba5033db8f27bce96d13754301a47ae5629"/>
    <w:p>
      <w:pPr>
        <w:pStyle w:val="Heading3"/>
      </w:pPr>
      <w:r>
        <w:t xml:space="preserve">Figure S3. Sensitivity Analysis: LOCO AUC Under Cohort Exclusion</w:t>
      </w:r>
    </w:p>
    <w:p>
      <w:pPr>
        <w:pStyle w:val="FirstParagraph"/>
      </w:pPr>
      <w:r>
        <w:rPr>
          <w:b/>
          <w:bCs/>
        </w:rPr>
        <w:t xml:space="preserve">Caption:</w:t>
      </w:r>
      <w:r>
        <w:t xml:space="preserve"> </w:t>
      </w:r>
      <w:r>
        <w:t xml:space="preserve">Sensitivity analysis: LOCO AUC under three cohort exclusion configurations. Each panel shows the 3-cohort LOCO experiment with one cohort excluded from the full analysis. Left: excluding Kazakhstan (Zhuang+Ling+Zhu trained, each held out in turn). Center: excluding Zhuang 2018. Right: excluding Ling 2020. Error bars = 95% bootstrap CI (1,000 resamples on the test-set predictions; the non-stratified procedure described in Section 2.5, not the diagnosis-stratified 10,000-replicate procedure used for the main four-cohort LOCO results). Generalization degradation persisted across all three prespecified cohort-exclusion configurations.</w:t>
      </w:r>
    </w:p>
    <w:p>
      <w:pPr>
        <w:pStyle w:val="BodyText"/>
      </w:pPr>
      <w:r>
        <w:rPr>
          <w:i/>
          <w:iCs/>
        </w:rPr>
        <w:t xml:space="preserve">Source data:</w:t>
      </w:r>
      <w:r>
        <w:t xml:space="preserve"> </w:t>
      </w:r>
      <w:r>
        <w:rPr>
          <w:rStyle w:val="VerbatimChar"/>
        </w:rPr>
        <w:t xml:space="preserve">results/tables/sensitivity_loco.csv</w:t>
      </w:r>
      <w:r>
        <w:t xml:space="preserve"> </w:t>
      </w:r>
      <w:r>
        <w:drawing>
          <wp:inline>
            <wp:extent cx="5334000" cy="1861530"/>
            <wp:effectExtent b="0" l="0" r="0" t="0"/>
            <wp:docPr descr="Figure S3" title="" id="32" name="Picture"/>
            <a:graphic>
              <a:graphicData uri="http://schemas.openxmlformats.org/drawingml/2006/picture">
                <pic:pic>
                  <pic:nvPicPr>
                    <pic:cNvPr descr="/Users/arhan/Desktop/microbiome-ad-generalization/results/figures/final_supplementary/Figure_S3.jpg" id="33" name="Picture"/>
                    <pic:cNvPicPr>
                      <a:picLocks noChangeArrowheads="1" noChangeAspect="1"/>
                    </pic:cNvPicPr>
                  </pic:nvPicPr>
                  <pic:blipFill>
                    <a:blip r:embed="rId31"/>
                    <a:stretch>
                      <a:fillRect/>
                    </a:stretch>
                  </pic:blipFill>
                  <pic:spPr bwMode="auto">
                    <a:xfrm>
                      <a:off x="0" y="0"/>
                      <a:ext cx="5334000" cy="1861530"/>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results/figures/final_supplementary/Figure_S3.jpg</w:t>
      </w:r>
    </w:p>
    <w:p>
      <w:r>
        <w:pict>
          <v:rect style="width:0;height:1.5pt" o:hralign="center" o:hrstd="t" o:hr="t"/>
        </w:pict>
      </w:r>
    </w:p>
    <w:bookmarkEnd w:id="34"/>
    <w:bookmarkStart w:id="38" w:name="X64724aa74fe76fb874af47707bf13caf78cbcee"/>
    <w:p>
      <w:pPr>
        <w:pStyle w:val="Heading3"/>
      </w:pPr>
      <w:r>
        <w:t xml:space="preserve">Figure S4. Batch Correction, Label-Informed Design (Exploratory Sensitivity)</w:t>
      </w:r>
    </w:p>
    <w:p>
      <w:pPr>
        <w:pStyle w:val="FirstParagraph"/>
      </w:pPr>
      <w:r>
        <w:rPr>
          <w:b/>
          <w:bCs/>
        </w:rPr>
        <w:t xml:space="preserve">Caption:</w:t>
      </w:r>
      <w:r>
        <w:t xml:space="preserve"> </w:t>
      </w:r>
      <w:r>
        <w:t xml:space="preserve">LOCO AUC-ROC under the label-informed transductive batch-correction design (ComBat-seq/MMUPHin fit using every sample’s own true diagnosis label; Section 2.7), shown for (</w:t>
      </w:r>
      <w:r>
        <w:rPr>
          <w:b/>
          <w:bCs/>
        </w:rPr>
        <w:t xml:space="preserve">A</w:t>
      </w:r>
      <w:r>
        <w:t xml:space="preserve">) logistic regression and (</w:t>
      </w:r>
      <w:r>
        <w:rPr>
          <w:b/>
          <w:bCs/>
        </w:rPr>
        <w:t xml:space="preserve">B</w:t>
      </w:r>
      <w:r>
        <w:t xml:space="preserve">) LightGBM. Error bars = 95% bootstrap CI (1,000 resamples on the test-set predictions, the same non-stratified procedure used for Table 4/Figure 5; not part of the diagnosis-stratified 10,000-replicate regeneration in Section 2.5.2). This design is retained as an</w:t>
      </w:r>
      <w:r>
        <w:t xml:space="preserve"> </w:t>
      </w:r>
      <w:r>
        <w:rPr>
          <w:b/>
          <w:bCs/>
        </w:rPr>
        <w:t xml:space="preserve">explicitly-labeled exploratory sensitivity analysis only</w:t>
      </w:r>
      <w:r>
        <w:t xml:space="preserve">, because a correction step that is fit using every sample’s own true diagnosis label cannot estimate prospective external-validation performance, and because the resulting within-cohort AUC on corrected data cannot be used as evidence that genuine, correction-independent biological signal survived (Section 3.5). The main-text Figure 5 shows the label-blind design (no diagnosis information used during correction), which is the paper’s primary batch-correction result. Note the severe, cohort-specific degradation visible here (e.g., Kazakhstan logistic regression LOCO AUC=0.308) that is</w:t>
      </w:r>
      <w:r>
        <w:t xml:space="preserve"> </w:t>
      </w:r>
      <w:r>
        <w:rPr>
          <w:b/>
          <w:bCs/>
        </w:rPr>
        <w:t xml:space="preserve">not</w:t>
      </w:r>
      <w:r>
        <w:t xml:space="preserve"> </w:t>
      </w:r>
      <w:r>
        <w:t xml:space="preserve">reproduced under the label-blind design (Kazakhstan label-blind LOCO AUC=0.560, closely matching the uncorrected value of 0.564) — indicating this degradation was driven substantially by the label-informed design itself.</w:t>
      </w:r>
    </w:p>
    <w:p>
      <w:pPr>
        <w:pStyle w:val="BodyText"/>
      </w:pPr>
      <w:r>
        <w:rPr>
          <w:i/>
          <w:iCs/>
        </w:rPr>
        <w:t xml:space="preserve">Source data:</w:t>
      </w:r>
      <w:r>
        <w:t xml:space="preserve"> </w:t>
      </w:r>
      <w:r>
        <w:rPr>
          <w:rStyle w:val="VerbatimChar"/>
        </w:rPr>
        <w:t xml:space="preserve">results/tables/auc_comparison_table.csv</w:t>
      </w:r>
      <w:r>
        <w:t xml:space="preserve">,</w:t>
      </w:r>
      <w:r>
        <w:t xml:space="preserve"> </w:t>
      </w:r>
      <w:r>
        <w:rPr>
          <w:rStyle w:val="VerbatimChar"/>
        </w:rPr>
        <w:t xml:space="preserve">results/tables/loco_auc_corrected.csv</w:t>
      </w:r>
      <w:r>
        <w:t xml:space="preserve"> </w:t>
      </w:r>
      <w:r>
        <w:drawing>
          <wp:inline>
            <wp:extent cx="5334000" cy="2230668"/>
            <wp:effectExtent b="0" l="0" r="0" t="0"/>
            <wp:docPr descr="Figure S4" title="" id="36" name="Picture"/>
            <a:graphic>
              <a:graphicData uri="http://schemas.openxmlformats.org/drawingml/2006/picture">
                <pic:pic>
                  <pic:nvPicPr>
                    <pic:cNvPr descr="/Users/arhan/Desktop/microbiome-ad-generalization/results/figures/final_supplementary/Figure_S4.jpg" id="37" name="Picture"/>
                    <pic:cNvPicPr>
                      <a:picLocks noChangeArrowheads="1" noChangeAspect="1"/>
                    </pic:cNvPicPr>
                  </pic:nvPicPr>
                  <pic:blipFill>
                    <a:blip r:embed="rId35"/>
                    <a:stretch>
                      <a:fillRect/>
                    </a:stretch>
                  </pic:blipFill>
                  <pic:spPr bwMode="auto">
                    <a:xfrm>
                      <a:off x="0" y="0"/>
                      <a:ext cx="5334000" cy="2230668"/>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results/figures/final_supplementary/Figure_S4.jpg</w:t>
      </w:r>
    </w:p>
    <w:p>
      <w:r>
        <w:pict>
          <v:rect style="width:0;height:1.5pt" o:hralign="center" o:hrstd="t" o:hr="t"/>
        </w:pict>
      </w:r>
    </w:p>
    <w:bookmarkEnd w:id="38"/>
    <w:bookmarkStart w:id="42" w:name="X19c9ed2781c446d999505ad52bd6760e3bfff58"/>
    <w:p>
      <w:pPr>
        <w:pStyle w:val="Heading3"/>
      </w:pPr>
      <w:r>
        <w:t xml:space="preserve">Figure S5. Zhu 2022 Robustness: Repeated Cross-Validation and Label Permutation</w:t>
      </w:r>
    </w:p>
    <w:p>
      <w:pPr>
        <w:pStyle w:val="FirstParagraph"/>
      </w:pPr>
      <w:r>
        <w:rPr>
          <w:b/>
          <w:bCs/>
        </w:rPr>
        <w:t xml:space="preserve">Caption:</w:t>
      </w:r>
      <w:r>
        <w:t xml:space="preserve"> </w:t>
      </w:r>
      <w:r>
        <w:t xml:space="preserve">Robustness analyses for Zhu 2022’s near-perfect within-cohort AUC (Section 2.4.1, Section 3.2), both run under the strict training-only feature-selection pipeline. Top row: distribution of pooled-OOF AUC across 50 repetitions of the nested-CV partition (different pre-specified seed per repetition) for logistic regression (left) and LightGBM (right), with the single-partition training-only AUC marked. Bottom row: null distribution of pooled-OOF AUC under label permutation (labels shuffled, class balance preserved, entire training-only pipeline re-run inside every outer fold for each permutation), with the observed single-partition AUC marked and the empirical p-value shown in the panel title. The repeated-CV panels quantify sensitivity to fold assignment on the same 60 participants (not independent replication); the permutation panels are the formal test of whether the observed AUC exceeds a chance-label null.</w:t>
      </w:r>
    </w:p>
    <w:p>
      <w:pPr>
        <w:pStyle w:val="BodyText"/>
      </w:pPr>
      <w:r>
        <w:rPr>
          <w:i/>
          <w:iCs/>
        </w:rPr>
        <w:t xml:space="preserve">Source data:</w:t>
      </w:r>
      <w:r>
        <w:t xml:space="preserve"> </w:t>
      </w:r>
      <w:r>
        <w:rPr>
          <w:rStyle w:val="VerbatimChar"/>
        </w:rPr>
        <w:t xml:space="preserve">results/tables/zhu_repeated_nested_cv.csv</w:t>
      </w:r>
      <w:r>
        <w:t xml:space="preserve">,</w:t>
      </w:r>
      <w:r>
        <w:t xml:space="preserve"> </w:t>
      </w:r>
      <w:r>
        <w:rPr>
          <w:rStyle w:val="VerbatimChar"/>
        </w:rPr>
        <w:t xml:space="preserve">results/tables/zhu_label_permutation.csv</w:t>
      </w:r>
      <w:r>
        <w:t xml:space="preserve">.</w:t>
      </w:r>
      <w:r>
        <w:t xml:space="preserve"> </w:t>
      </w:r>
      <w:r>
        <w:drawing>
          <wp:inline>
            <wp:extent cx="4800600" cy="3593166"/>
            <wp:effectExtent b="0" l="0" r="0" t="0"/>
            <wp:docPr descr="Figure S5" title="" id="40" name="Picture"/>
            <a:graphic>
              <a:graphicData uri="http://schemas.openxmlformats.org/drawingml/2006/picture">
                <pic:pic>
                  <pic:nvPicPr>
                    <pic:cNvPr descr="/Users/arhan/Desktop/microbiome-ad-generalization/results/figures/final_supplementary/Figure_S5.png" id="41" name="Picture"/>
                    <pic:cNvPicPr>
                      <a:picLocks noChangeArrowheads="1" noChangeAspect="1"/>
                    </pic:cNvPicPr>
                  </pic:nvPicPr>
                  <pic:blipFill>
                    <a:blip r:embed="rId39"/>
                    <a:stretch>
                      <a:fillRect/>
                    </a:stretch>
                  </pic:blipFill>
                  <pic:spPr bwMode="auto">
                    <a:xfrm>
                      <a:off x="0" y="0"/>
                      <a:ext cx="4800600" cy="3593166"/>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results/figures/final_supplementary/Figure_S5.png</w:t>
      </w:r>
    </w:p>
    <w:p>
      <w:r>
        <w:pict>
          <v:rect style="width:0;height:1.5pt" o:hralign="center" o:hrstd="t" o:hr="t"/>
        </w:pict>
      </w:r>
    </w:p>
    <w:bookmarkEnd w:id="42"/>
    <w:bookmarkEnd w:id="43"/>
    <w:bookmarkStart w:id="47" w:name="supplementary-notes"/>
    <w:p>
      <w:pPr>
        <w:pStyle w:val="Heading2"/>
      </w:pPr>
      <w:r>
        <w:t xml:space="preserve">Supplementary Notes</w:t>
      </w:r>
    </w:p>
    <w:bookmarkStart w:id="44"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kbase2022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Zhu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pPr>
        <w:pStyle w:val="BodyText"/>
      </w:pPr>
      <w:r>
        <w:rPr>
          <w:b/>
          <w:bCs/>
        </w:rPr>
        <w:t xml:space="preserve">Cohort search strategy and full inclusion/exclusion record:</w:t>
      </w:r>
      <w:r>
        <w:t xml:space="preserve"> </w:t>
      </w:r>
      <w:r>
        <w:t xml:space="preserve">The cohort identification search (Section 2.1) queried NCBI SRA and EBI-ENA for studies deposited before January 2025, using the following search string in the SRA search interface:</w:t>
      </w:r>
      <w:r>
        <w:t xml:space="preserve"> </w:t>
      </w:r>
      <w:r>
        <w:rPr>
          <w:rStyle w:val="VerbatimChar"/>
        </w:rPr>
        <w:t xml:space="preserve">("Alzheimer's disease" OR "Alzheimer disease" OR "mild cognitive impairment" OR "MCI" OR "dementia") AND ("gut microbiome" OR "gut microbiota" OR "intestinal microbiome" OR "16S rRNA") AND ("Homo sapiens")</w:t>
      </w:r>
      <w:r>
        <w:t xml:space="preserve">. For supervised analyses, inclusion required: (1) per-sample diagnosis labels (AD, MCI, or CN) accessible in public metadata; (2) raw FASTQ files or quality-filtered reads deposited in a public archive; (3) a minimum of 40 participants per cohort. Studies were excluded from supervised analyses if per-sample labels were IRB-restricted, if data had not been publicly released at the time of analysis, or if samples represented a tissue compartment other than fecal microbiome as the primary analyte; shotgun metagenomic cohorts meeting all other criteria were identified but excluded to avoid mixing amplicon and whole-genome sequencing platforms within the same analysis. Beyond the Kim/KBASE 2022 IRB restriction documented above, one further identified cohort was excluded on public-availability grounds:</w:t>
      </w:r>
      <w:r>
        <w:t xml:space="preserve"> </w:t>
      </w:r>
      <w:r>
        <w:rPr>
          <w:b/>
          <w:bCs/>
        </w:rPr>
        <w:t xml:space="preserve">ALBION 2025</w:t>
      </w:r>
      <w:r>
        <w:t xml:space="preserve"> </w:t>
      </w:r>
      <w:r>
        <w:t xml:space="preserve">(Maraki et al.,</w:t>
      </w:r>
      <w:r>
        <w:t xml:space="preserve"> </w:t>
      </w:r>
      <w:r>
        <w:rPr>
          <w:i/>
          <w:iCs/>
        </w:rPr>
        <w:t xml:space="preserve">Journal of Alzheimer’s Disease</w:t>
      </w:r>
      <w:r>
        <w:t xml:space="preserve">, 2025; PRJNA1297934), a Greek cohort of 99 participants (50 MCI, 49 CN; V3–V4) — the only European 16S cohort identified in the search — was confirmed as the correct accession from the published paper, but NCBI BioProject reported the deposit as not yet publicly released as of the search date. ALBION was therefore excluded from the active cohort set; it remains the most direct candidate for a future sixth cohort should the data be released.</w:t>
      </w:r>
    </w:p>
    <w:p>
      <w:r>
        <w:pict>
          <v:rect style="width:0;height:1.5pt" o:hralign="center" o:hrstd="t" o:hr="t"/>
        </w:pict>
      </w:r>
    </w:p>
    <w:bookmarkEnd w:id="44"/>
    <w:bookmarkStart w:id="45"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batch correction methods cannot fully address, because the fundamental difference in read length and sequencing chemistry affects all genera’ abundance estimates rather than a subset. This is a study limitation that applies to any analysis including Kazakhstan and should be acknowledged in the Methods section of any manuscript using this dataset.</w:t>
      </w:r>
    </w:p>
    <w:p>
      <w:r>
        <w:pict>
          <v:rect style="width:0;height:1.5pt" o:hralign="center" o:hrstd="t" o:hr="t"/>
        </w:pict>
      </w:r>
    </w:p>
    <w:bookmarkEnd w:id="45"/>
    <w:bookmarkStart w:id="46" w:name="Xb88876057350b14810a83397db7797e14021c36"/>
    <w:p>
      <w:pPr>
        <w:pStyle w:val="Heading3"/>
      </w:pPr>
      <w:r>
        <w:t xml:space="preserve">Note S3. LOCO SHAP Direction Not Reported</w:t>
      </w:r>
    </w:p>
    <w:p>
      <w:pPr>
        <w:pStyle w:val="FirstParagraph"/>
      </w:pPr>
      <w:r>
        <w:rPr>
          <w:b/>
          <w:bCs/>
        </w:rPr>
        <w:t xml:space="preserve">No figure or table showing a signed AD/CN direction for LOCO SHAP values is included in this paper.</w:t>
      </w:r>
      <w:r>
        <w:t xml:space="preserve"> </w:t>
      </w:r>
      <w:r>
        <w:t xml:space="preserve">Mean signed SHAP is not a valid direction statistic in general (Section 2.8), and this is especially severe for LOCO SHAP specifically: the SHAP background (the three pooled training cohorts) and the evaluation set (the held-out cohort) are drawn from systematically different populations by construction, so the sign of a LOCO mean SHAP value is confounded with the raw cross-cohort compositional difference quantified by PERMANOVA (Section 3.4), independent of anything the model learned. No coefficient-based replacement direction is offered for LOCO SHAP either, because LOCO models are refit on pooled multi-cohort training data each time and a single stable-fold coefficient analysis analogous to Section 2.8’s within-cohort procedure is not part of this design.</w:t>
      </w:r>
    </w:p>
    <w:p>
      <w:pPr>
        <w:pStyle w:val="BodyText"/>
      </w:pPr>
      <w:r>
        <w:t xml:space="preserve">LOCO SHAP</w:t>
      </w:r>
      <w:r>
        <w:t xml:space="preserve"> </w:t>
      </w:r>
      <w:r>
        <w:rPr>
          <w:b/>
          <w:bCs/>
        </w:rPr>
        <w:t xml:space="preserve">feature importance</w:t>
      </w:r>
      <w:r>
        <w:t xml:space="preserve"> </w:t>
      </w:r>
      <w:r>
        <w:t xml:space="preserve">(mean |SHAP|, magnitude only, no direction) remains available and is unaffected by this issue: see</w:t>
      </w:r>
      <w:r>
        <w:t xml:space="preserve"> </w:t>
      </w:r>
      <w:r>
        <w:rPr>
          <w:rStyle w:val="VerbatimChar"/>
        </w:rPr>
        <w:t xml:space="preserve">results/tables/shap_loco_importance.csv</w:t>
      </w:r>
      <w:r>
        <w:t xml:space="preserve">. For reference, the top-importance genus per held-out cohort is: Zhuang 2018 —</w:t>
      </w:r>
      <w:r>
        <w:t xml:space="preserve"> </w:t>
      </w:r>
      <w:r>
        <w:rPr>
          <w:i/>
          <w:iCs/>
        </w:rPr>
        <w:t xml:space="preserve">Akkermansia</w:t>
      </w:r>
      <w:r>
        <w:t xml:space="preserve"> </w:t>
      </w:r>
      <w:r>
        <w:t xml:space="preserve">(logistic regression |SHAP|=0.470); Ling 2020 —</w:t>
      </w:r>
      <w:r>
        <w:t xml:space="preserve"> </w:t>
      </w:r>
      <w:r>
        <w:rPr>
          <w:i/>
          <w:iCs/>
        </w:rPr>
        <w:t xml:space="preserve">Subdoligranulum</w:t>
      </w:r>
      <w:r>
        <w:t xml:space="preserve"> </w:t>
      </w:r>
      <w:r>
        <w:t xml:space="preserve">(|SHAP|=0.269); Zhu 2022 —</w:t>
      </w:r>
      <w:r>
        <w:t xml:space="preserve"> </w:t>
      </w:r>
      <w:r>
        <w:rPr>
          <w:i/>
          <w:iCs/>
        </w:rPr>
        <w:t xml:space="preserve">Akkermansia</w:t>
      </w:r>
      <w:r>
        <w:t xml:space="preserve"> </w:t>
      </w:r>
      <w:r>
        <w:t xml:space="preserve">(|SHAP|=0.372); Kazakhstan —</w:t>
      </w:r>
      <w:r>
        <w:t xml:space="preserve"> </w:t>
      </w:r>
      <w:r>
        <w:rPr>
          <w:i/>
          <w:iCs/>
        </w:rPr>
        <w:t xml:space="preserve">Christensenellaceae R-7 group</w:t>
      </w:r>
      <w:r>
        <w:t xml:space="preserve"> </w:t>
      </w:r>
      <w:r>
        <w:t xml:space="preserve">(|SHAP|=0.368); no genus ranked first across all four held-out conditions for either model (Section 3.6).</w:t>
      </w:r>
    </w:p>
    <w:p>
      <w:r>
        <w:pict>
          <v:rect style="width:0;height:1.5pt" o:hralign="center" o:hrstd="t" o:hr="t"/>
        </w:pict>
      </w:r>
    </w:p>
    <w:p>
      <w:pPr>
        <w:pStyle w:val="FirstParagraph"/>
      </w:pPr>
      <w:r>
        <w:rPr>
          <w:i/>
          <w:iCs/>
        </w:rPr>
        <w:t xml:space="preserve">End of Supplementary Materials</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jpg" /><Relationship Type="http://schemas.openxmlformats.org/officeDocument/2006/relationships/image" Id="rId27" Target="media/rId27.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2026-09-14T16:44:28Z</dcterms:created>
  <dcterms:modified xsi:type="dcterms:W3CDTF">2026-09-14T16:44:28Z</dcterms:modified>
</cp:coreProperties>
</file>

<file path=docProps/custom.xml><?xml version="1.0" encoding="utf-8"?>
<Properties xmlns="http://schemas.openxmlformats.org/officeDocument/2006/custom-properties" xmlns:vt="http://schemas.openxmlformats.org/officeDocument/2006/docPropsVTypes"/>
</file>