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 biomarker for Alzheimer’s disease (AD) and mild cognitive impairment (MCI), yet individual studies consistently report contradictory taxonomic signatures across populations, and cross-cohort classifier performance has received limited systematic evaluation. We assembled five publicly available 16S rRNA gene sequencing cohorts (509 samples; China, Kazakhstan, South Korea; Zhuang 2018, Ling 2020, Zhu 2022, Kaiyrlykyzy 2022, Kim 2022) and evaluated whether machine learning classifiers trained within one cohort could generalize to independent cohorts, whether standard batch correction methods could recover transferability, and which taxonomic features drove cohort-specific predictions. DADA2 amplicon sequence variant (ASV) processing and genus-level harmonization produced a unified matrix of 396 genera across all cohorts (retained at ≥20% prevalence in at least one cohort, applied globally across all five cohorts before any supervised split), transformed to centered log-ratio (CLR) coordinates for compositional analysis; a dedicated sensitivity analysis re-deriving this feature set independently within each training split (never using held-out-cohort information) reproduced the same qualitative generalization-failure pattern (LOCO AUC changed by at most 0.066). The Zhu 2022 cohort deposited paired blood microbiome and fecal samples; only fecal samples (n=90) were retained for all analyses. Within four labeled cohorts (n=401 for binary AD/CN analyses), logistic regression and LightGBM classifiers achieved within-cohort AUC-ROC values ranging from 0.633 to 0.998 under nested cross-validation, broadly consistent with originally reported performance. For Zhu 2022, whose near-perfect within-cohort AUC (0.998 logistic regression, 0.979 LightGBM) is based on only 60 samples, 50 repetitions of the nested-CV partition gave a mean AUC of 0.9955 (SD 0.0027) for logistic regression and 0.9760 (SD 0.0103) for LightGBM, indicating this performance level is not an artifact of one particular fold assignment; a 1,000-permutation label-permutation test under the same strict training-only pipeline gave a null distribution centered near chance (mean AUC≈0.47 for both models) with no permutation reaching the observed value for either model (empirical p≈0.000999, the resolution floor at this permutation count). In leave-one-cohort-out (LOCO) transfer experiments, LOCO AUC-ROC fell to 0.504–0.813, a mean drop of 0.176 AUC points for logistic regression and 0.146 for LightGBM, with one of eight model–cohort combinations collapsing to near chance (AUC = 0.504). A paired, diagnosis-stratified, participant-level bootstrap (10,000 replicates, identical resampled participants used for both the within-cohort and LOCO score in each replicate) formally compared within-cohort and LOCO AUC for all eight cohort–model pairs: five of eight showed a delta reliably above zero (95% bootstrap CI on the delta excluding zero), while the remaining three (Zhuang 2018, both models; Kazakhstan LightGBM) showed the same-signed (within-cohort higher than LOCO) delta but with a 95% CI that included zero. PERMANOVA on Aitchison distance showed that cohort identity explained 19.3% of total Aitchison variance across all five cohorts (F=30.13, p=0.0001); in the four-cohort marginal model, cohort explained R²=0.172 versus only 0.014 for disease label. This disparity is sensitive to cohort composition: restricting to the three technically more comparable Chinese paired-end MiSeq cohorts (Zhuang 2018, Ling 2020, Zhu 2022) reduced it from approximately 12-fold to approximately 2.6-fold (cohort R²=0.059 vs. diagnosis R²=0.023), and pairwise beta-dispersion comparisons showed the overall dispersion difference was driven predominantly by one cohort (Ling 2020) rather than uniformly across all pairs. Because cohort is a composite study-of-origin variable, PERMANOVA cannot decompose this variance into technical versus biological sources. Batch correction was evaluated under two designs: a label-blind design (ComBat-seq/MMUPHin fit without any diagnosis information) left mean LOCO AUC essentially unchanged relative to uncorrected (within 0.007 AUC for both methods and models), while an exploratory label-informed design (fit using each sample’s own true diagnosis label, which cannot estimate prospective performance) produced large, method- and cohort-specific degradation, including a collapse to AUC=0.308 for one cohort under ComBat-seq — a result attributable in large part to the label-informed design itself rather than to batch correction per se. Neither design recovered cross-cohort transferability. SHAP analysis using out-of-fold values revealed near-zero pairwise Jaccard similarity between cohorts’ top-20 predictive taxa (mean 0.135 for logistic regression and 0.058 for LightGBM); against a null distribution matched to the observed statistic’s own construction (four random top-N sets per replicate drawn from the shared 396-genus pool, averaging the six pairwise Jaccards among them, 100,000 replicates), logistic regression overlap was significantly above chance at all three tested thresholds (N=10, 20, 50), while LightGBM was significant at N=20 and N=50 but not N=10. A further sensitivity analysis restricting each cohort’s random draws to genera that actually reach ≥20% prevalence within that cohort’s own AD/CN samples (a per-cohort eligible universe rather than the shared pool) reversed the LightGBM finding: LightGBM overlap was not significant at any of N=10, 20, or 50 under this more realistic null (p=0.80, 0.24, 0.061), while logistic regression remained significant at all three thresholds. Using a pre-specified, descriptive cross-fold coefficient-sign-stability screen for logistic regression (positive or negative sign in ≥8 of 10 outer folds, not a formal hypothesis test), eight genera met the criterion for opposite, stable fitted-coefficient directions across cohorts; because LightGBM is a tree ensemble with no single coefficient-like direction, no comparable screen is applied to it. These results demonstrate substantial cross-cohort generalization limitations for gut microbiome-based AD classifiers among the evaluated publicly available 16S datasets, and that the batch correction methods evaluated here do not recover cross-cohort transferability. Multi-cohort harmonized training data and prospective validation across additional, more diverse cohorts are prerequisites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APPPS1 controls (Harach et al., 2017), dozens of 16S rRNA and shotgun metagenomic studies have reported significant differences in gut microbial composition between AD or MCI patients and cognitively normal (CN) controls. MCI is included as a diagnostic category in this literature given its role as a preclinical or prodromal stage of AD, though the primary supervised analyses in this study focus on binary AD versus CN comparisons (see Section 2.4).</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using integrated data (Wang et al., 2026), confirming that multi-population integration remains a methodological frontier. The present study is complementary, providing a systematic quantification of cross-cohort generalization failure and an empirical evaluation of whether two commonly used batch-correction approaches recover cross-cohort transferability—questions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magnitude of cohort-associated versus diagnosis-associated compositional variance, as estimated by variance partitioning — noting that</w:t>
      </w:r>
      <w:r>
        <w:t xml:space="preserve"> </w:t>
      </w:r>
      <w:r>
        <w:t xml:space="preserve">“cohort”</w:t>
      </w:r>
      <w:r>
        <w:t xml:space="preserve"> </w:t>
      </w:r>
      <w:r>
        <w:t xml:space="preserve">is itself a composite, study-of-origin variable (bundling sequencing platform, library preparation, recruitment site, diagnostic ascertainment, geography, and diet, among other differences) that a variance-partitioning method such as PERMANOVA cannot decompose into technical and biological components;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trained within one cohort consistently fail to generalize to other cohorts; cohort identity explains substantially more compositional variance than disease status, though the size of this disparity depends materially on which cohorts are compared; under label-blind transductive adjustment, ComBat-seq and MMUPHin left mean cross-cohort AUC essentially unchanged and did not recover transferability; and top predictive taxa showed low absolute overlap across cohorts, with a subset of taxa showing opposite, stable fitted-coefficient directions across cohorts. Together, these findings constitute a systematic quantification of cross-cohort generalization limitations among the evaluated publicly available gut microbiome AD classifier datasets, with direct implications for the field’s trajectory toward clinical translation.</w:t>
      </w:r>
    </w:p>
    <w:p>
      <w:r>
        <w:pict>
          <v:rect style="width:0;height:1.5pt" o:hralign="center" o:hrstd="t" o:hr="t"/>
        </w:pict>
      </w:r>
    </w:p>
    <w:bookmarkEnd w:id="10"/>
    <w:bookmarkStart w:id="24"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The search used the following terms in the SRA search interface: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to avoid the additional platform confound introduced by mixing amplicon and whole-genome sequencing data. Cohorts were excluded if: per-sample labels were IRB-restricted (for supervised analyses); data had not been publicly released at the time of analysis; or samples represented a tissue compartment other than fecal microbiome as the primary analyte. A complete record of the search procedure, identified cohorts, and exclusion rationale is provided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2 sample types = 180 samples.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 Diagnostic criteria across cohorts relied on clinical AD diagnosis (Zhuang, Ling, Zhu) or amyloid-PET positivity (Kim);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reached ≥20% prevalence (i.e., a nonzero count in ≥20% of samples) in at least one of the five cohorts; this prevalence threshold was computed per cohort and the union of genera passing in any cohort was taken across all five cohorts, producing a unified feature set of 396 genera. Genera absent in a given sample received a count of zero. Because this feature-selection step used all five cohorts’ raw prevalence simultaneously, the resulting 396-genus feature universe was informed, in part, by the prevalence of the eventual test cohort in every downstream leave-one-cohort-out (LOCO) and pairwise-transfer experiment (Section 2.5). This is not a leakage-free design, and we do not describe it as one; it is transparently identified as a global, all-cohort feature-selection step, and its effect on the paper’s conclusions is evaluated directly by a strict training-only sensitivity analysis (Section 2.5.1) rather than assumed to be negligible.</w:t>
      </w:r>
    </w:p>
    <w:p>
      <w:pPr>
        <w:pStyle w:val="BodyText"/>
      </w:pPr>
      <w:r>
        <w:rPr>
          <w:b/>
          <w:bCs/>
        </w:rPr>
        <w:t xml:space="preserve">Leakage status of every preprocessing step, stated explicitly.</w:t>
      </w:r>
      <w:r>
        <w:t xml:space="preserve"> </w:t>
      </w:r>
      <w:r>
        <w:t xml:space="preserve">To avoid any ambiguity about which steps could, in principle, leak held-out-cohort or held-out-sample information into a downstream evaluation, every preprocessing operation used in this paper is classified here: (1)</w:t>
      </w:r>
      <w:r>
        <w:t xml:space="preserve"> </w:t>
      </w:r>
      <w:r>
        <w:rPr>
          <w:i/>
          <w:iCs/>
        </w:rPr>
        <w:t xml:space="preserve">DADA2 ASV inference and error-model estimation</w:t>
      </w:r>
      <w:r>
        <w:t xml:space="preserve"> </w:t>
      </w:r>
      <w:r>
        <w:t xml:space="preserve">(this section) is performed independently per cohort using only that cohort’s own reads, is label-free (uses no diagnosis information), and cannot leak across cohorts or across AD/CN status by construction. (2)</w:t>
      </w:r>
      <w:r>
        <w:t xml:space="preserve"> </w:t>
      </w:r>
      <w:r>
        <w:rPr>
          <w:i/>
          <w:iCs/>
        </w:rPr>
        <w:t xml:space="preserve">Global genus-level feature selection</w:t>
      </w:r>
      <w:r>
        <w:t xml:space="preserve"> </w:t>
      </w:r>
      <w:r>
        <w:t xml:space="preserve">(≥20% prevalence, this section) pools raw prevalence across all five cohorts, including the eventual held-out cohort in every LOCO/pairwise experiment; this is a genuine, acknowledged methodological limitation, not leakage-free, and its practical impact is bounded by the training-only sensitivity analysis in Section 2.5.1, which re-derives the feature set from only the training-side samples of every individual split and finds the qualitative generalization-failure conclusion unchanged. (3)</w:t>
      </w:r>
      <w:r>
        <w:t xml:space="preserve"> </w:t>
      </w:r>
      <w:r>
        <w:rPr>
          <w:i/>
          <w:iCs/>
        </w:rPr>
        <w:t xml:space="preserve">Zero-replacement and CLR transformation</w:t>
      </w:r>
      <w:r>
        <w:t xml:space="preserve"> </w:t>
      </w:r>
      <w:r>
        <w:t xml:space="preserve">(Section 2.3) are deterministic, closed-form functions applied independently to each sample’s own count vector; they use no information from any other sample, cohort, or diagnosis label, and are therefore sample-local operations with no leakage pathway of any kind. (4)</w:t>
      </w:r>
      <w:r>
        <w:t xml:space="preserve"> </w:t>
      </w:r>
      <w:r>
        <w:rPr>
          <w:i/>
          <w:iCs/>
        </w:rPr>
        <w:t xml:space="preserve">Model hyperparameter tuning and fitting</w:t>
      </w:r>
      <w:r>
        <w:t xml:space="preserve"> </w:t>
      </w:r>
      <w:r>
        <w:t xml:space="preserve">(Sections 2.4–2.5) use only the training-side samples of whichever split is being evaluated (inner CV within a training fold for within-cohort analyses; the training-cohort pool for LOCO/pairwise analyses), with test-side samples never used for tuning, fitting, or feature standardization. (5) The</w:t>
      </w:r>
      <w:r>
        <w:t xml:space="preserve"> </w:t>
      </w:r>
      <w:r>
        <w:rPr>
          <w:i/>
          <w:iCs/>
        </w:rPr>
        <w:t xml:space="preserve">strict training-only sensitivity re-derivation</w:t>
      </w:r>
      <w:r>
        <w:t xml:space="preserve"> </w:t>
      </w:r>
      <w:r>
        <w:t xml:space="preserve">(Section 2.5.1) additionally re-derives genus selection itself from only the training-side samples of every split, closing the one leakage pathway identified in (2) for that specific analysis.</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5"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is present in the estimator configuration but has no effect under the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L2 (ridge)-regularized, not elastic-net.</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Bootstrap 95% confidence intervals (1,000 resamples) on the pooled out-of-fold predictions are reported throughout. We also report sensitivity and specificity at the Youden’s J optimal threshold. For comparison with originally reported performance, the published AUC values from the original cohort papers are noted in Table 2 where available.</w:t>
      </w:r>
    </w:p>
    <w:bookmarkStart w:id="14" w:name="X42a4e9e3ed74d2ba4cd8c21e183eaf39afb762e"/>
    <w:p>
      <w:pPr>
        <w:pStyle w:val="Heading4"/>
      </w:pPr>
      <w:r>
        <w:t xml:space="preserve">2.4.1 Zhu 2022 Robustness: Repeated Cross-Validation and Label Permutation</w:t>
      </w:r>
    </w:p>
    <w:p>
      <w:pPr>
        <w:pStyle w:val="FirstParagraph"/>
      </w:pPr>
      <w:r>
        <w:t xml:space="preserve">Because Zhu 2022’s near-perfect within-cohort AUC (Section 3.2) is estimated from only 60 samples (30 AD, 30 CN), we assessed its robustness with two additional analyses, both run under the strict training-only feature-selection pipeline (Section 2.5.1) rather than the global feature set, so that no step of either analysis could leak held-out-fold information.</w:t>
      </w:r>
    </w:p>
    <w:p>
      <w:pPr>
        <w:pStyle w:val="BodyText"/>
      </w:pPr>
      <w:r>
        <w:rPr>
          <w:b/>
          <w:bCs/>
        </w:rPr>
        <w:t xml:space="preserve">Repeated nested cross-validation.</w:t>
      </w:r>
      <w:r>
        <w:t xml:space="preserve"> </w:t>
      </w:r>
      <w:r>
        <w:t xml:space="preserve">The 10-fold outer / 5-fold inner nested-CV procedure (Section 2.4) was repeated 50 times, each repetition using a different, pre-specified deterministic random seed (seeds 1000–1049) for the stratified outer-fold partition, with genus selection, zero-replacement, CLR transformation, and model tuning re-derived independently within every outer fold of every repetition using only that fold’s training-side samples. We report the mean, standard deviation, median, 2.5th/97.5th percentile, minimum, and maximum pooled-OOF AUC across the 50 repetitions. This procedure quantifies sensitivity to the arbitrary choice of fold assignment; it is explicitly not a set of independent replications of the study (the underlying 60 participants are identical across all 50 repetitions), and we report it as fold-assignment stability rather than as an independent-sample validation.</w:t>
      </w:r>
    </w:p>
    <w:p>
      <w:pPr>
        <w:pStyle w:val="BodyText"/>
      </w:pPr>
      <w:r>
        <w:rPr>
          <w:b/>
          <w:bCs/>
        </w:rPr>
        <w:t xml:space="preserve">Label permutation test.</w:t>
      </w:r>
      <w:r>
        <w:t xml:space="preserve"> </w:t>
      </w:r>
      <w:r>
        <w:t xml:space="preserve">Under the same strict training-only pipeline and the same fixed outer-fold partition (random_state=42, matching the partition used throughout the rest of this paper), we additionally ran a label-permutation test: in each of up to 1,000 permutations, the AD/CN labels were randomly shuffled across the 60 participants (preserving the 30/30 class split) using a pre-specified seed, and the entire training-only pipeline — genus selection, zero-replacement, CLR transformation, hyperparameter tuning, and model fitting — was re-run inside every outer fold using only that fold’s training-side samples and the permuted labels, producing a null pooled-OOF AUC for that permutation. Because genus selection and CLR feature construction depend only on which participants are in a fold’s training set (not on their labels), these steps were precomputed once per outer-fold partition and reused across all permutations — a pure implementation optimization with no effect on the statistical result, since the model itself is always refit on the permuted labels. The empirical p-value was computed as</w:t>
      </w:r>
      <w:r>
        <w:t xml:space="preserve"> </w:t>
      </w:r>
      <m:oMath>
        <m:r>
          <m:rPr>
            <m:sty m:val="p"/>
          </m:rPr>
          <m:t>(</m:t>
        </m:r>
        <m:r>
          <m:t>1</m:t>
        </m:r>
        <m:r>
          <m:rPr>
            <m:sty m:val="p"/>
          </m:rPr>
          <m:t>+</m:t>
        </m:r>
        <m:r>
          <m:rPr>
            <m:sty m:val="p"/>
          </m:rPr>
          <m:t>#</m:t>
        </m:r>
        <m:r>
          <m:rPr>
            <m:sty m:val="p"/>
          </m:rPr>
          <m:t>{</m:t>
        </m:r>
        <m:r>
          <m:rPr>
            <m:nor/>
            <m:sty m:val="p"/>
          </m:rPr>
          <m:t>null AUC</m:t>
        </m:r>
        <m:r>
          <m:rPr>
            <m:sty m:val="p"/>
          </m:rPr>
          <m:t>≥</m:t>
        </m:r>
        <m:r>
          <m:rPr>
            <m:nor/>
            <m:sty m:val="p"/>
          </m:rPr>
          <m:t>observed AUC</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using the training-only single-partition AUC as the observed value. If computational constraints prevented reaching 1,000 permutations, at least 500 were run and the actual number achieved is reported together with the resulting p-value resolution floor (</w:t>
      </w:r>
      <m:oMath>
        <m:r>
          <m:t>1</m:t>
        </m:r>
        <m:r>
          <m:rPr>
            <m:sty m:val="p"/>
          </m:rPr>
          <m:t>/</m:t>
        </m:r>
        <m:r>
          <m:rPr>
            <m:sty m:val="p"/>
          </m:rPr>
          <m:t>(</m:t>
        </m:r>
        <m:sSub>
          <m:e>
            <m:r>
              <m:t>n</m:t>
            </m:r>
          </m:e>
          <m:sub>
            <m:r>
              <m:t>p</m:t>
            </m:r>
            <m:r>
              <m:t>e</m:t>
            </m:r>
            <m:r>
              <m:t>r</m:t>
            </m:r>
            <m:r>
              <m:t>m</m:t>
            </m:r>
          </m:sub>
        </m:sSub>
        <m:r>
          <m:rPr>
            <m:sty m:val="p"/>
          </m:rPr>
          <m:t>+</m:t>
        </m:r>
        <m:r>
          <m:t>1</m:t>
        </m:r>
        <m:r>
          <m:rPr>
            <m:sty m:val="p"/>
          </m:rPr>
          <m:t>)</m:t>
        </m:r>
      </m:oMath>
      <w:r>
        <w:t xml:space="preserve">); we do not interpret any p-value below this floor as more precise than the floor itself.</w:t>
      </w:r>
    </w:p>
    <w:bookmarkEnd w:id="14"/>
    <w:bookmarkEnd w:id="15"/>
    <w:bookmarkStart w:id="18"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 bootstrap 95% CIs are reported for each LOCO AUC estimate. Non-overlap of two independently computed confidence intervals is not a formal statistical test of whether their difference is nonzero, and is not used as one anywhere in this paper; the AUC drop is instead evaluated with the paired bootstrap procedure described in Section 2.5.2.</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Bootstrap 95% CIs (1,000 resamples) on the test set predictions are reported for all LOCO and pairwise estimates.</w:t>
      </w:r>
    </w:p>
    <w:p>
      <w:pPr>
        <w:pStyle w:val="BodyText"/>
      </w:pPr>
      <w:r>
        <w:rPr>
          <w:b/>
          <w:bCs/>
        </w:rPr>
        <w:t xml:space="preserve">Sensitivity analyses:</w:t>
      </w:r>
      <w:r>
        <w:t xml:space="preserve"> </w:t>
      </w:r>
      <w:r>
        <w:t xml:space="preserve">To assess whether generalization failure was attributable to any single cohort, we repeated the LOCO experiment under three additional configurations: (A) excluding Kazakhstan entirely, with LOCO evaluated on the remaining three cohorts; (B) excluding Zhuang 2018; (C) excluding Ling 2020. Results are reported in Section 3.3 and Supplementary Figure S4.</w:t>
      </w:r>
    </w:p>
    <w:bookmarkStart w:id="16" w:name="Xe2926c73c2cf6d3094a4393ff10389966fd30e4"/>
    <w:p>
      <w:pPr>
        <w:pStyle w:val="Heading4"/>
      </w:pPr>
      <w:r>
        <w:t xml:space="preserve">2.5.1 Training-Only Feature-Selection Sensitivity Analysis</w:t>
      </w:r>
    </w:p>
    <w:p>
      <w:pPr>
        <w:pStyle w:val="FirstParagraph"/>
      </w:pPr>
      <w:r>
        <w:t xml:space="preserve">Because the 396-genus feature set (Section 2.2) was selected globally using all five cohorts’ raw prevalence, every LOCO and pairwise experiment above used a feature universe partly informed by the eventual held-out cohort. To assess whether this affected the generalization-failure conclusion, we repeated the within-cohort nested-CV, LOCO, and pairwise-transfer analyses with genus selection re-derived independently inside every individual split, using only that split’s training-side samples: for each outer fold (within-cohort), each held-out cohort (LOCO), and each train cohort (pairwise), the ≥20%-prevalence filter was recomputed from scratch using only the training-side AD/CN-labeled samples for that specific split, and the corresponding test/held-out samples were projected onto the training-derived genus set (absent genera filled with zero count) before per-sample zero-replacement and CLR transformation. Model families, hyperparameter grids, random state, fold counts, and the bootstrap CI procedure were identical to the main analyses (Sections 2.4–2.5). This produces a strictly train-only feature universe for every split, at the cost of a smaller and split-specific genus count (e.g., 150 genera when Kazakhstan is excluded from feature selection during its own LOCO hold-out, versus 396 in the main global-feature analysis).</w:t>
      </w:r>
    </w:p>
    <w:bookmarkEnd w:id="16"/>
    <w:bookmarkStart w:id="17" w:name="Xa8aa746eeb6f423430366a27ee3033e038125ff"/>
    <w:p>
      <w:pPr>
        <w:pStyle w:val="Heading4"/>
      </w:pPr>
      <w:r>
        <w:t xml:space="preserve">2.5.2 Formal Within-Cohort vs. LOCO AUC Difference</w:t>
      </w:r>
    </w:p>
    <w:p>
      <w:pPr>
        <w:pStyle w:val="FirstParagraph"/>
      </w:pPr>
      <w:r>
        <w:t xml:space="preserve">Non-overlapping bootstrap confidence intervals are a heuristic, not a formal statistical comparison of two AUC values. To formally test whether within-cohort AUC exceeds LOCO AUC for each of the eight cohort–model combinations, we performed a paired, diagnosis-stratified, participant-level bootstrap. For each cohort–model pair, the within-cohort out-of-fold prediction and the LOCO (that cohort held out) prediction refer to the same participants; each of 10,000 bootstrap replicates resampled participants with replacement, separately within the AD group and within the CN group, once per replicate, and used that same resampled index set to compute both the within-cohort AUC and the LOCO AUC — so the resulting distribution of</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w:t>
      </w:r>
      <w:r>
        <w:t xml:space="preserve">reflects a genuine paired comparison rather than the difference of two independently resampled statistics. We report the observed delta, the bootstrap mean delta, the 95% percentile CI of the bootstrap delta distribution, and the proportion of bootstrap replicates with</w:t>
      </w:r>
      <w:r>
        <w:t xml:space="preserve"> </w:t>
      </w:r>
      <m:oMath>
        <m:r>
          <m:rPr>
            <m:sty m:val="p"/>
          </m:rPr>
          <m:t>Δ</m:t>
        </m:r>
        <m:r>
          <m:rPr>
            <m:sty m:val="p"/>
          </m:rPr>
          <m:t>≤</m:t>
        </m:r>
        <m:r>
          <m:t>0</m:t>
        </m:r>
      </m:oMath>
      <w:r>
        <w:t xml:space="preserve">; this proportion is an empirical bootstrap quantity, not an exact parametric p-value, and we do not describe it as one. Every within-cohort and LOCO AUC 95% CI reported elsewhere in this paper (Table 2, Table 3, Table S1) was regenerated using this same diagnosis-stratified, participant-level bootstrap procedure (single-statistic percentile CI, 10,000 replicates), so that every confidence interval in the paper is produced by one consistent, explicitly specified resampling procedure.</w:t>
      </w:r>
    </w:p>
    <w:p>
      <w:pPr>
        <w:pStyle w:val="BodyText"/>
      </w:pPr>
      <w:r>
        <w:t xml:space="preserve">Within-cohort out-of-fold prediction files do not carry an explicit participant identifier; participant identity was recovered by replicating the exact data-loading and filtering sequence used to produce them and verified, before use, by an exact-match assertion between the recovered diagnosis vector and the file’s own saved outcome column, for every cohort–model combination.</w:t>
      </w:r>
    </w:p>
    <w:bookmarkEnd w:id="17"/>
    <w:bookmarkEnd w:id="18"/>
    <w:bookmarkStart w:id="19"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The minimum attainable permutation p-value with 9,999 permutations is reported as p=0.0001 throughout. Three models were fitted: (1) cohort only, all five cohorts (n=509); (2) cohort + diagnosis, restricted to the four labeled cohorts (n=401: AD and CN samples only, Zhu 2022 MCI excluded), with marginal R² for each term; (3) within each labeled cohort, diagnosis as the sole predictor (within-cohort disease effect size). Note that Figure 4B displays the PCoA from Model 1 (n=509, all five cohorts including MCI samples), while the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 To identify which specific cohort pairs drive the overall dispersion difference, we additionally computed all pairwise betadisper comparisons among the five cohorts (Aitchison distance, 9,999 permutations per pair), with Holm and Benjamini-Hochberg multiplicity adjustment applied across the 10 pairwise p-values.</w:t>
      </w:r>
    </w:p>
    <w:p>
      <w:pPr>
        <w:pStyle w:val="BodyText"/>
      </w:pPr>
      <w:r>
        <w:rPr>
          <w:b/>
          <w:bCs/>
        </w:rPr>
        <w:t xml:space="preserve">Cohort is a composite variable; PERMANOVA cannot decompose it into technical and biological sources.</w:t>
      </w:r>
      <w:r>
        <w:t xml:space="preserve"> </w:t>
      </w:r>
      <w:r>
        <w:t xml:space="preserve">“Cohort”</w:t>
      </w:r>
      <w:r>
        <w:t xml:space="preserve"> </w:t>
      </w:r>
      <w:r>
        <w:t xml:space="preserve">in this study bundles sequencing platform, library preparation, recruitment site and country, clinical diagnostic ascertainment, and unmeasured dietary and lifestyle differences into a single categorical variable. A PERMANOVA or betadisper term for cohort therefore estimates the total compositional variance associated with study-of-origin, not a technical-batch-effect estimate specifically; no method used in this paper decomposes that total into its technical and biological components. To assess how sensitive the cohort-versus-diagnosis variance disparity (Section 3.4) is to this composite structure, we repeated the marginal PERMANOVA and betadisper analyses on a subset restricted to the three cohorts that are more technically comparable to one another — Zhuang 2018, Ling 2020, and Zhu 2022, all Chinese, paired-end MiSeq 2×300bp, V3–V4 studies — while still differing in recruitment site, exact diagnostic procedure, and other unmeasured factors, so this subset is more technically comparable, not technically identical. This sensitivity analysis used the same marginal (</w:t>
      </w:r>
      <w:r>
        <w:rPr>
          <w:rStyle w:val="VerbatimChar"/>
        </w:rPr>
        <w:t xml:space="preserve">by="margin"</w:t>
      </w:r>
      <w:r>
        <w:t xml:space="preserve">) two-variable (cohort + diagnosis) PERMANOVA specification and 9,999 permutations as the main four-cohort model, restricted to binary AD/CN samples from the three cohorts (n=317), together with betadisper/permutest and pairwise post-hoc comparisons on the same subset.</w:t>
      </w:r>
    </w:p>
    <w:p>
      <w:pPr>
        <w:pStyle w:val="BodyText"/>
      </w:pPr>
      <w:r>
        <w:t xml:space="preserve">To further quantify the degree to which cohort-specific information is retained in the preprocessed feature space, we trained a logistic regression classifier (one-vs-rest, stratified 5-fold CV) to predict cohort identity from the CLR-transformed features across all 509 samples. The macro-AUC for cohort prediction provides a complementary measure of cohort separability.</w:t>
      </w:r>
    </w:p>
    <w:bookmarkEnd w:id="19"/>
    <w:bookmarkStart w:id="20"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applying each with cohort identity as the batch variable, under two distinct designs that differ in whether diagnosis (disease-label) information is supplied during correction. Both designs are</w:t>
      </w:r>
      <w:r>
        <w:t xml:space="preserve"> </w:t>
      </w:r>
      <w:r>
        <w:rPr>
          <w:b/>
          <w:bCs/>
        </w:rPr>
        <w:t xml:space="preserve">transductive</w:t>
      </w:r>
      <w:r>
        <w:t xml:space="preserve">: both methods estimate batch-effect parameters jointly across every sample being corrected — including, in the downstream LOCO evaluation, the eventual held-out test cohort’s own feature values and cohort membership. Neither design is prospective or inductive (i.e., neither defines a transformation that could be applied to a genuinely new, unseen patient without refitting); they differ only in whether the target cohort’s diagnosis labels are additionally used.</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only) with</w:t>
      </w:r>
      <w:r>
        <w:t xml:space="preserve"> </w:t>
      </w:r>
      <w:r>
        <w:rPr>
          <w:rStyle w:val="VerbatimChar"/>
        </w:rPr>
        <w:t xml:space="preserve">group = NULL, full_mod = FALSE</w:t>
      </w:r>
      <w:r>
        <w:t xml:space="preserve"> </w:t>
      </w:r>
      <w:r>
        <w:t xml:space="preserve">— no diagnosis information of any kind is supplied. MMUPHin v1.15 (Ma et al., 2022) was run on relative-abundance profiles from the four labeled cohorts with</w:t>
      </w:r>
      <w:r>
        <w:t xml:space="preserve"> </w:t>
      </w:r>
      <w:r>
        <w:rPr>
          <w:rStyle w:val="VerbatimChar"/>
        </w:rPr>
        <w:t xml:space="preserve">batch = cohort</w:t>
      </w:r>
      <w:r>
        <w:t xml:space="preserve"> </w:t>
      </w:r>
      <w:r>
        <w:t xml:space="preserve">and</w:t>
      </w:r>
      <w:r>
        <w:t xml:space="preserve"> </w:t>
      </w:r>
      <w:r>
        <w:rPr>
          <w:rStyle w:val="VerbatimChar"/>
        </w:rPr>
        <w:t xml:space="preserve">covariates = NULL</w:t>
      </w:r>
      <w:r>
        <w:t xml:space="preserve">; the metadata object supplied to</w:t>
      </w:r>
      <w:r>
        <w:t xml:space="preserve"> </w:t>
      </w:r>
      <w:r>
        <w:rPr>
          <w:rStyle w:val="VerbatimChar"/>
        </w:rPr>
        <w:t xml:space="preserve">adjust_batch</w:t>
      </w:r>
      <w:r>
        <w:t xml:space="preserve"> </w:t>
      </w:r>
      <w:r>
        <w:t xml:space="preserve">did not include a diagnosis column at all. In both cases, cohort identity and every sample’s own raw feature values are used (this is what makes the design transductive), but no sample’s true AD/CN label is ever used during correction. Corrected count tables (ComBat-seq) or relative abundances (MMUPHin) were CLR-transformed using the same multiplicative zero-replacement procedure described in Section 2.3.</w:t>
      </w:r>
    </w:p>
    <w:p>
      <w:pPr>
        <w:pStyle w:val="BodyText"/>
      </w:pPr>
      <w:r>
        <w:rPr>
          <w:b/>
          <w:bCs/>
        </w:rPr>
        <w:t xml:space="preserve">Design 2 — label-informed transductive correction (exploratory/oracle-style sensitivity).</w:t>
      </w:r>
      <w:r>
        <w:t xml:space="preserve"> </w:t>
      </w:r>
      <w:r>
        <w:t xml:space="preserve">The same two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 i.e., using every sample’s own true diagnosis label, for all four labeled cohorts jointly, including the sample’s own held-out-cohort membership in the eventual LOCO evaluation. This design cannot estimate prospective external-validation performance, because the correction step has already seen the answer for every sample it corrects, including test-cohort samples. We retain it only as an exploratory, oracle-style sensitivity analysis illustrating an upper/alternative bound on what correction with label information could do, not as evidence about deployable performance.</w:t>
      </w:r>
    </w:p>
    <w:p>
      <w:pPr>
        <w:pStyle w:val="BodyText"/>
      </w:pPr>
      <w:r>
        <w:t xml:space="preserve">After each correction, the LOCO generalization experiment (Section 2.5) was repeated on the corresponding batch-corrected CLR matrices, and within-cohort AUC on corrected data was re-computed under the same nested-CV procedure as Section 2.4. Because Design 2’s correction step is explicitly told each sample’s own diagnosis label as part of a global, jointly-fit model, a within-cohort AUC measured on Design-2-corrected features cannot be used to argue that</w:t>
      </w:r>
      <w:r>
        <w:t xml:space="preserve"> </w:t>
      </w:r>
      <w:r>
        <w:t xml:space="preserve">“genuine”</w:t>
      </w:r>
      <w:r>
        <w:t xml:space="preserve"> </w:t>
      </w:r>
      <w:r>
        <w:t xml:space="preserve">disease-associated biological signal survived correction independent of that label information — some or all of any preserved within-cohort separability could instead be an artifact of the correction algorithm’s own label-preservation mechanism (</w:t>
      </w:r>
      <w:r>
        <w:rPr>
          <w:rStyle w:val="VerbatimChar"/>
        </w:rPr>
        <w:t xml:space="preserve">full_mod=TRUE</w:t>
      </w:r>
      <w:r>
        <w:t xml:space="preserve"> </w:t>
      </w:r>
      <w:r>
        <w:t xml:space="preserve">/</w:t>
      </w:r>
      <w:r>
        <w:t xml:space="preserve"> </w:t>
      </w:r>
      <w:r>
        <w:rPr>
          <w:rStyle w:val="VerbatimChar"/>
        </w:rPr>
        <w:t xml:space="preserve">covariates="diagnosis"</w:t>
      </w:r>
      <w:r>
        <w:t xml:space="preserve">) rather than evidence about biology. This caveat does not apply to Design 1, whose within-cohort AUC on corrected data is not confounded by label use during correction, though it remains a transductive (not prospective) result like the LOCO evaluation itself.</w:t>
      </w:r>
    </w:p>
    <w:bookmarkEnd w:id="20"/>
    <w:bookmarkStart w:id="21"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that arises when SHAP values are computed on the same data used to fit the model.</w:t>
      </w:r>
    </w:p>
    <w:p>
      <w:pPr>
        <w:pStyle w:val="BodyText"/>
      </w:pPr>
      <w:r>
        <w:t xml:space="preserve">For each labeled cohort, SHAP values were computed using the same 10-fold outer CV structure used for AUC estimation (Section 2.4). In each fold, the classifier was trained on the 9 training folds; SHAP values were then computed for the held-out fold using the training fold as the SHAP background distribution. For logistic regression, shap.LinearExplainer was used with the training-fold data as background (feature_perturbation=</w:t>
      </w:r>
      <w:r>
        <w:t xml:space="preserve">“interventional”</w:t>
      </w:r>
      <w:r>
        <w:t xml:space="preserve">), and the held-out fold as the evaluation set; this ensures the mean SHAP value over the evaluation set is not algebraically forced to zero (as would occur if background and evaluation sets were identical). For LightGBM, shap.TreeExplainer was used (check_additivity=False) with the same OOF structure. SHAP values were aggregated across all 10 folds: the mean absolute SHAP value per genus (|SHAP|) was used as the importance metric for both models, and is not affected by the direction issue described below.</w:t>
      </w:r>
    </w:p>
    <w:p>
      <w:pPr>
        <w:pStyle w:val="BodyText"/>
      </w:pPr>
      <w:r>
        <w:rPr>
          <w:b/>
          <w:bCs/>
        </w:rPr>
        <w:t xml:space="preserve">Direction is not defined from mean signed SHAP.</w:t>
      </w:r>
      <w:r>
        <w:t xml:space="preserve"> </w:t>
      </w:r>
      <w:r>
        <w:t xml:space="preserve">For a linear model evaluated with</w:t>
      </w:r>
      <w:r>
        <w:t xml:space="preserve"> </w:t>
      </w:r>
      <w:r>
        <w:rPr>
          <w:rStyle w:val="VerbatimChar"/>
        </w:rPr>
        <w:t xml:space="preserve">LinearExplainer</w:t>
      </w:r>
      <w:r>
        <w:t xml:space="preserve"> </w:t>
      </w:r>
      <w:r>
        <w:t xml:space="preserve">under interventional feature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the mean signed SHAP value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a quantity that depends on both the fitted coefficient</w:t>
      </w:r>
      <w:r>
        <w:t xml:space="preserve"> </w:t>
      </w:r>
      <w:r>
        <w:rPr>
          <w:i/>
          <w:iCs/>
        </w:rPr>
        <w:t xml:space="preserve">and</w:t>
      </w:r>
      <w:r>
        <w:t xml:space="preserve"> </w:t>
      </w:r>
      <w:r>
        <w:t xml:space="preserve">the mean-abundance difference between the evaluation set and whichever background set was chosen, not on the coefficient sign alone. Within a single cohort’s own OOF folds this background-vs-eval difference is close to sampling noise (both come from the same cohort), but it is not zero, and for cross-cohort (LOCO) SHAP the background (the N−1 training cohorts) and evaluation set (the held-out cohort) come from systematically different populations by construction — exactly the compositional difference quantified by PERMANOVA in Section 2.6 — so mean signed LOCO SHAP is confounded with raw cross-cohort abundance differences rather than reflecting the fitted model’s direction. For this reason, mean signed SHAP is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the coefficient for every genus was recorded, together with its sign. A genus’s direction in a given cohort was called</w:t>
      </w:r>
      <w:r>
        <w:t xml:space="preserve"> </w:t>
      </w:r>
      <w:r>
        <w:rPr>
          <w:b/>
          <w:bCs/>
        </w:rPr>
        <w:t xml:space="preserve">stable</w:t>
      </w:r>
      <w:r>
        <w:t xml:space="preserve"> </w:t>
      </w:r>
      <w:r>
        <w:t xml:space="preserve">— positive or negative — if the coefficient carried that sign in at least 8 of the 10 outer folds (a threshold specified before any results were examined); a coefficient of exactly zero counted toward neither direction. A genus was classified as meeting this</w:t>
      </w:r>
      <w:r>
        <w:t xml:space="preserve"> </w:t>
      </w:r>
      <w:r>
        <w:rPr>
          <w:b/>
          <w:bCs/>
        </w:rPr>
        <w:t xml:space="preserve">descriptive coefficient-sign-stability screen</w:t>
      </w:r>
      <w:r>
        <w:t xml:space="preserve"> </w:t>
      </w:r>
      <w:r>
        <w:t xml:space="preserve">only if it (a) appeared in the top-20 OOF mean-|SHAP| ranking in at least two cohorts, (b) had a stable positive coefficient in at least one of those cohorts, and (c) had a stable negative coefficient in at least one other. This is a conservative definition relative to a naive sign check on mean SHAP, because it requires the direction to be reproducible across most of the 10 outer folds within each cohort, not merely to differ in its single pooled mean-SHAP sign.</w:t>
      </w:r>
      <w:r>
        <w:t xml:space="preserve"> </w:t>
      </w:r>
      <w:r>
        <w:rPr>
          <w:b/>
          <w:bCs/>
        </w:rPr>
        <w:t xml:space="preserve">We treat this screen as descriptive, not as a formal hypothesis test: the 10 outer-CV folds within a cohort share substantially overlapping training data (each fold trains on the same 9/10 of that cohort’s samples), so fold-level coefficient signs are not independent statistical replications, and no multiplicity-adjusted p-value is assigned to any individual taxon.</w:t>
      </w:r>
      <w:r>
        <w:t xml:space="preserve"> </w:t>
      </w:r>
      <w:r>
        <w:rPr>
          <w:b/>
          <w:bCs/>
        </w:rPr>
        <w:t xml:space="preserve">LightGBM is a tree ensemble with no single coefficient-like, globally monotonic direction, and its SHAP feature-genus relationships may be nonlinear or non-monotonic; no coefficient-based (or any other) global direction or stability screen is therefore applied to LightGBM anywhere in this paper.</w:t>
      </w:r>
      <w:r>
        <w:t xml:space="preserve"> </w:t>
      </w:r>
      <w:r>
        <w:t xml:space="preserve">LightGBM results are limited to OOF mean-|SHAP| feature importance and the top-feature-overlap/Jaccard analysis below, which do not require a direction assignment.</w:t>
      </w:r>
    </w:p>
    <w:p>
      <w:pPr>
        <w:pStyle w:val="BodyText"/>
      </w:pPr>
      <w:r>
        <w:t xml:space="preserve">For LOCO analyses, SHAP values were computed on the held-out test cohort from each LOCO-trained model, with the three-cohort training pool as the SHAP background, and are reported and used only as a feature-</w:t>
      </w:r>
      <w:r>
        <w:rPr>
          <w:i/>
          <w:iCs/>
        </w:rPr>
        <w:t xml:space="preserve">importance</w:t>
      </w:r>
      <w:r>
        <w:t xml:space="preserve"> </w:t>
      </w:r>
      <w:r>
        <w:t xml:space="preserve">ranking (mean |SHAP|); consistent with the confound described above, no cross-cohort AD/CN direction is assigned to LOCO SHAP values for either model.</w:t>
      </w:r>
    </w:p>
    <w:p>
      <w:pPr>
        <w:pStyle w:val="BodyText"/>
      </w:pPr>
      <w:r>
        <w:rPr>
          <w:b/>
          <w:bCs/>
        </w:rPr>
        <w:t xml:space="preserve">Cross-cohort taxonomic overlap.</w:t>
      </w:r>
      <w:r>
        <w:t xml:space="preserve"> </w:t>
      </w:r>
      <w:r>
        <w:t xml:space="preserve">Pairwise taxonomic overlap between cohorts was quantified using Jaccard similarity on the top-N SHAP genera (N ∈ {10, 20, 50}); N=20 is the primary threshold. The statistic actually reported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w:t>
      </w:r>
      <w:r>
        <w:t xml:space="preserve">pairs). Two null distributions are reported. The primary, matched-statistic null was constructed to match the observed statistic’s own construction exactly: in each of 100,000 replicates, four independent random top-N gene sets were drawn (without replacement) from the full, shared 396-genus pool, and the same six unique pairwise Jaccard similarities among those four random sets were averaged to produce one null replicate. The empirical one-sided p-value was computed as</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w:t>
      </w:r>
    </w:p>
    <w:p>
      <w:pPr>
        <w:pStyle w:val="BodyText"/>
      </w:pPr>
      <w:r>
        <w:t xml:space="preserve">A second, prevalence-restricted null addresses a limitation of drawing from the shared 396-genus pool: per-cohort genus prevalence varies substantially (e.g., Kazakhstan alone reaches ≥20% prevalence for 356 of 396 genera, versus 115–131 for the three MiSeq cohorts), so a genus essentially absent from a given cohort could still be drawn into that cohort’s random comparison set under the shared-pool null. For this sensitivity analysis, each cohort’s own top-N ranking and its random draws were both restricted to genera reaching ≥20% prevalence within that specific cohort’s own AD/CN-labeled samples — a per-cohort eligible universe rather than the shared pool — with 100,000 replicates per (model, N) combination and every cohort confirmed to have at least N eligible genera before running (no adaptation of N was required for N∈{10,20,50}). We report both nulls and do not assume that significance under the shared-pool null implies significance under the prevalence-restricted null, or vice versa. A genus was classified as a directional flip using the coefficient-stability criterion above, not from this overlap analysis.</w:t>
      </w:r>
    </w:p>
    <w:bookmarkEnd w:id="21"/>
    <w:bookmarkStart w:id="22" w:name="ai-tool-disclosure"/>
    <w:p>
      <w:pPr>
        <w:pStyle w:val="Heading3"/>
      </w:pPr>
      <w:r>
        <w:t xml:space="preserve">2.9 AI Tool Disclosure</w:t>
      </w:r>
    </w:p>
    <w:p>
      <w:pPr>
        <w:pStyle w:val="FirstParagraph"/>
      </w:pPr>
      <w:r>
        <w:t xml:space="preserve">Initial manuscript drafts and computational scripts were prepared with minimal assistance from Claude (Anthropic). All analytical decisions, parameter choices, experimental design, statistical interpretations, and scientific conclusions were made by the author. All code and text were reviewed, validated, and substantially revised under the author’s direction.</w:t>
      </w:r>
    </w:p>
    <w:bookmarkEnd w:id="22"/>
    <w:bookmarkStart w:id="23"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any analysis reported in this paper. The initial classifier, PERMANOVA, batch-correction, and SHAP analyses (Sections 2.4–2.8, excluding the additions described below) used scikit-learn v1.5, lightgbm v4, shap v0.51, pandas v2.x, and numpy v1.x in a conda environment (Python 3.11), and vegan v2.6, sva v3.50 (ComBat-seq), and MMUPHin v1.15 in R v4.3. Analyses added in response to peer review — the training-only feature-selection sensitivity, label-blind batch correction, SHAP coefficient-stability screen, the matched-statistic Jaccard null (Sections 2.5.1, 2.7, 2.8), the Zhu 2022 repeated-CV and permutation robustness analyses (Section 2.4.1), the paired within-cohort-vs-LOCO AUC-difference bootstrap (Section 2.5.2), the pairwise beta-dispersion and Chinese-MiSeq PERMANOVA sensitivity analyses (Section 2.6), and the prevalence-restricted Jaccard null (Section 2.8) — were executed in Python 3.11.15 (scikit-learn 1.5.2, lightgbm 4.6.0, shap 0.51.0, matching the original Python package versions) and R 4.5.1 (vegan 2.7.1, sva 3.58.0, MMUPHin 1.24.0, newer than the initial R environment, reflecting routine system updates over the course of this project). This mixed provenance — original DADA2/R4.3 preprocessing feeding a downstream analysis that combines an unchanged Python environment with an updated R4.5.1 environment — is disclosed here rather than described as a single uniform environment. Figures were generated with matplotlib v3.8 or v3.11 at 300 DPI.</w:t>
      </w:r>
    </w:p>
    <w:p>
      <w:r>
        <w:pict>
          <v:rect style="width:0;height:1.5pt" o:hralign="center" o:hrstd="t" o:hr="t"/>
        </w:pict>
      </w:r>
    </w:p>
    <w:bookmarkEnd w:id="23"/>
    <w:bookmarkEnd w:id="24"/>
    <w:bookmarkStart w:id="31" w:name="results"/>
    <w:p>
      <w:pPr>
        <w:pStyle w:val="Heading2"/>
      </w:pPr>
      <w:r>
        <w:t xml:space="preserve">3. Results</w:t>
      </w:r>
    </w:p>
    <w:bookmarkStart w:id="25"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CLR transformation was applied to all 509 samples jointly after union, with multiplicative zero-replacement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5"/>
    <w:bookmarkStart w:id="26"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[0.52–0.75], 0.862 [0.80–0.91], 0.979 [0.94–1.00],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p=0.0001), suggesting statistically detectable diagnosis-associated compositional differences in this cohort. However, the high AUC should be interpreted cautiously and the LOCO experiment (Section 3.3) provides a more informative assessment of how transferable this signal is.</w:t>
      </w:r>
    </w:p>
    <w:p>
      <w:pPr>
        <w:pStyle w:val="BodyText"/>
      </w:pPr>
      <w:r>
        <w:rPr>
          <w:b/>
          <w:bCs/>
        </w:rPr>
        <w:t xml:space="preserve">Robustness to fold assignment and to label permutation (Section 2.4.1).</w:t>
      </w:r>
      <w:r>
        <w:t xml:space="preserve"> </w:t>
      </w:r>
      <w:r>
        <w:t xml:space="preserve">Repeating the strict training-only nested-CV partition 50 times under different pre-specified seeds gave a mean pooled-OOF AUC of 0.9955 (SD 0.0027, range 0.9889–0.9989) for logistic regression and 0.9760 (SD 0.0103, range 0.9378–0.9944) for LightGBM (Supplementary Table S8; Supplementary Figure S6) — closely matching the single-partition training-only values (0.9956 and 0.9700, respectively) and showing that the near-perfect AUC is not an artifact of one particular fold assignment. This is a fold-assignment stability check, not an independent replication of the underlying 60-participant sample, which is identical across all 50 repetitions. A complementary label-permutation test under the same strict training-only pipeline and fixed outer-fold partition (1,000 permutations; Section 2.4.1) produced a null AUC distribution centered near chance for both models (logistic regression: null mean 0.473, SD 0.102, 95% range [0.280, 0.673]; LightGBM: null mean 0.472, SD 0.109, 95% range [0.264, 0.688]) — well below the observed training-only single-partition values of 0.9956 and 0.9700 respectively (Supplementary Table S9; Supplementary Figure S6). No permutation among the 1,000 drawn reached the observed AUC for either model, giving an empirical p-value at the resolution floor for this permutation count (p = 1/1,001 ≈ 0.000999 for both models); we report this p-value at its actual resolution and do not interpret it as more precise than this floor.</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Cohort</w:t>
            </w:r>
          </w:p>
        </w:tc>
        <w:tc>
          <w:tcPr/>
          <w:p>
            <w:pPr>
              <w:pStyle w:val="Compact"/>
            </w:pPr>
            <w:r>
              <w:t xml:space="preserve">Country</w:t>
            </w:r>
          </w:p>
        </w:tc>
        <w:tc>
          <w:tcPr/>
          <w:p>
            <w:pPr>
              <w:pStyle w:val="Compact"/>
            </w:pPr>
            <w:r>
              <w:t xml:space="preserve">Accession</w:t>
            </w:r>
          </w:p>
        </w:tc>
        <w:tc>
          <w:tcPr/>
          <w:p>
            <w:pPr>
              <w:pStyle w:val="Compact"/>
            </w:pPr>
            <w:r>
              <w:t xml:space="preserve">N (analyzed)</w:t>
            </w:r>
          </w:p>
        </w:tc>
        <w:tc>
          <w:tcPr/>
          <w:p>
            <w:pPr>
              <w:pStyle w:val="Compact"/>
            </w:pPr>
            <w:r>
              <w:t xml:space="preserve">AD</w:t>
            </w:r>
          </w:p>
        </w:tc>
        <w:tc>
          <w:tcPr/>
          <w:p>
            <w:pPr>
              <w:pStyle w:val="Compact"/>
            </w:pPr>
            <w:r>
              <w:t xml:space="preserve">CN</w:t>
            </w:r>
          </w:p>
        </w:tc>
        <w:tc>
          <w:tcPr/>
          <w:p>
            <w:pPr>
              <w:pStyle w:val="Compact"/>
            </w:pPr>
            <w:r>
              <w:t xml:space="preserve">MCI</w:t>
            </w:r>
          </w:p>
        </w:tc>
        <w:tc>
          <w:tcPr/>
          <w:p>
            <w:pPr>
              <w:pStyle w:val="Compact"/>
            </w:pPr>
            <w:r>
              <w:t xml:space="preserve">Sequencing</w:t>
            </w:r>
          </w:p>
        </w:tc>
        <w:tc>
          <w:tcPr/>
          <w:p>
            <w:pPr>
              <w:pStyle w:val="Compact"/>
            </w:pPr>
            <w:r>
              <w:t xml:space="preserve">Library</w:t>
            </w:r>
          </w:p>
        </w:tc>
        <w:tc>
          <w:tcPr/>
          <w:p>
            <w:pPr>
              <w:pStyle w:val="Compact"/>
            </w:pPr>
            <w:r>
              <w:t xml:space="preserve">Supervised Analysis</w:t>
            </w:r>
          </w:p>
        </w:tc>
      </w:tr>
      <w:tr>
        <w:tc>
          <w:tcPr/>
          <w:p>
            <w:pPr>
              <w:pStyle w:val="Compact"/>
            </w:pPr>
            <w:r>
              <w:t xml:space="preserve">Zhuang 2018</w:t>
            </w:r>
          </w:p>
        </w:tc>
        <w:tc>
          <w:tcPr/>
          <w:p>
            <w:pPr>
              <w:pStyle w:val="Compact"/>
            </w:pPr>
            <w:r>
              <w:t xml:space="preserve">China</w:t>
            </w:r>
          </w:p>
        </w:tc>
        <w:tc>
          <w:tcPr/>
          <w:p>
            <w:pPr>
              <w:pStyle w:val="Compact"/>
            </w:pPr>
            <w:r>
              <w:t xml:space="preserve">PRJNA554111</w:t>
            </w:r>
          </w:p>
        </w:tc>
        <w:tc>
          <w:tcPr/>
          <w:p>
            <w:pPr>
              <w:pStyle w:val="Compact"/>
            </w:pPr>
            <w:r>
              <w:t xml:space="preserve">86</w:t>
            </w:r>
          </w:p>
        </w:tc>
        <w:tc>
          <w:tcPr/>
          <w:p>
            <w:pPr>
              <w:pStyle w:val="Compact"/>
            </w:pPr>
            <w:r>
              <w:t xml:space="preserve">43</w:t>
            </w:r>
          </w:p>
        </w:tc>
        <w:tc>
          <w:tcPr/>
          <w:p>
            <w:pPr>
              <w:pStyle w:val="Compact"/>
            </w:pPr>
            <w:r>
              <w:t xml:space="preserve">43</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Ling 2020</w:t>
            </w:r>
          </w:p>
        </w:tc>
        <w:tc>
          <w:tcPr/>
          <w:p>
            <w:pPr>
              <w:pStyle w:val="Compact"/>
            </w:pPr>
            <w:r>
              <w:t xml:space="preserve">China</w:t>
            </w:r>
          </w:p>
        </w:tc>
        <w:tc>
          <w:tcPr/>
          <w:p>
            <w:pPr>
              <w:pStyle w:val="Compact"/>
            </w:pPr>
            <w:r>
              <w:t xml:space="preserve">PRJNA633959</w:t>
            </w:r>
          </w:p>
        </w:tc>
        <w:tc>
          <w:tcPr/>
          <w:p>
            <w:pPr>
              <w:pStyle w:val="Compact"/>
            </w:pPr>
            <w:r>
              <w:t xml:space="preserve">171</w:t>
            </w:r>
          </w:p>
        </w:tc>
        <w:tc>
          <w:tcPr/>
          <w:p>
            <w:pPr>
              <w:pStyle w:val="Compact"/>
            </w:pPr>
            <w:r>
              <w:t xml:space="preserve">100</w:t>
            </w:r>
          </w:p>
        </w:tc>
        <w:tc>
          <w:tcPr/>
          <w:p>
            <w:pPr>
              <w:pStyle w:val="Compact"/>
            </w:pPr>
            <w:r>
              <w:t xml:space="preserve">71</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Zhu 2022†</w:t>
            </w:r>
          </w:p>
        </w:tc>
        <w:tc>
          <w:tcPr/>
          <w:p>
            <w:pPr>
              <w:pStyle w:val="Compact"/>
            </w:pPr>
            <w:r>
              <w:t xml:space="preserve">China</w:t>
            </w:r>
          </w:p>
        </w:tc>
        <w:tc>
          <w:tcPr/>
          <w:p>
            <w:pPr>
              <w:pStyle w:val="Compact"/>
            </w:pPr>
            <w:r>
              <w:t xml:space="preserve">PRJNA489760</w:t>
            </w:r>
          </w:p>
        </w:tc>
        <w:tc>
          <w:tcPr/>
          <w:p>
            <w:pPr>
              <w:pStyle w:val="Compact"/>
            </w:pPr>
            <w:r>
              <w:t xml:space="preserve">90 (fecal)</w:t>
            </w:r>
          </w:p>
        </w:tc>
        <w:tc>
          <w:tcPr/>
          <w:p>
            <w:pPr>
              <w:pStyle w:val="Compact"/>
            </w:pPr>
            <w:r>
              <w:t xml:space="preserve">30</w:t>
            </w:r>
          </w:p>
        </w:tc>
        <w:tc>
          <w:tcPr/>
          <w:p>
            <w:pPr>
              <w:pStyle w:val="Compact"/>
            </w:pPr>
            <w:r>
              <w:t xml:space="preserve">30</w:t>
            </w:r>
          </w:p>
        </w:tc>
        <w:tc>
          <w:tcPr/>
          <w:p>
            <w:pPr>
              <w:pStyle w:val="Compact"/>
            </w:pPr>
            <w:r>
              <w:t xml:space="preserve">30</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Kaiyrlykyzy 2022</w:t>
            </w:r>
          </w:p>
        </w:tc>
        <w:tc>
          <w:tcPr/>
          <w:p>
            <w:pPr>
              <w:pStyle w:val="Compact"/>
            </w:pPr>
            <w:r>
              <w:t xml:space="preserve">Kazakhstan</w:t>
            </w:r>
          </w:p>
        </w:tc>
        <w:tc>
          <w:tcPr/>
          <w:p>
            <w:pPr>
              <w:pStyle w:val="Compact"/>
            </w:pPr>
            <w:r>
              <w:t xml:space="preserve">PRJNA811324</w:t>
            </w:r>
          </w:p>
        </w:tc>
        <w:tc>
          <w:tcPr/>
          <w:p>
            <w:pPr>
              <w:pStyle w:val="Compact"/>
            </w:pPr>
            <w:r>
              <w:t xml:space="preserve">84</w:t>
            </w:r>
          </w:p>
        </w:tc>
        <w:tc>
          <w:tcPr/>
          <w:p>
            <w:pPr>
              <w:pStyle w:val="Compact"/>
            </w:pPr>
            <w:r>
              <w:t xml:space="preserve">41</w:t>
            </w:r>
          </w:p>
        </w:tc>
        <w:tc>
          <w:tcPr/>
          <w:p>
            <w:pPr>
              <w:pStyle w:val="Compact"/>
            </w:pPr>
            <w:r>
              <w:t xml:space="preserve">43</w:t>
            </w:r>
          </w:p>
        </w:tc>
        <w:tc>
          <w:tcPr/>
          <w:p>
            <w:pPr>
              <w:pStyle w:val="Compact"/>
            </w:pPr>
            <w:r>
              <w:t xml:space="preserve">—</w:t>
            </w:r>
          </w:p>
        </w:tc>
        <w:tc>
          <w:tcPr/>
          <w:p>
            <w:pPr>
              <w:pStyle w:val="Compact"/>
            </w:pPr>
            <w:r>
              <w:t xml:space="preserve">NovaSeq</w:t>
            </w:r>
          </w:p>
        </w:tc>
        <w:tc>
          <w:tcPr/>
          <w:p>
            <w:pPr>
              <w:pStyle w:val="Compact"/>
            </w:pPr>
            <w:r>
              <w:t xml:space="preserve">Single-end</w:t>
            </w:r>
          </w:p>
        </w:tc>
        <w:tc>
          <w:tcPr/>
          <w:p>
            <w:pPr>
              <w:pStyle w:val="Compact"/>
            </w:pPr>
            <w:r>
              <w:t xml:space="preserve">Phases 2–6</w:t>
            </w:r>
          </w:p>
        </w:tc>
      </w:tr>
      <w:tr>
        <w:tc>
          <w:tcPr/>
          <w:p>
            <w:pPr>
              <w:pStyle w:val="Compact"/>
            </w:pPr>
            <w:r>
              <w:t xml:space="preserve">Kim 2022</w:t>
            </w:r>
          </w:p>
        </w:tc>
        <w:tc>
          <w:tcPr/>
          <w:p>
            <w:pPr>
              <w:pStyle w:val="Compact"/>
            </w:pPr>
            <w:r>
              <w:t xml:space="preserve">South Korea</w:t>
            </w:r>
          </w:p>
        </w:tc>
        <w:tc>
          <w:tcPr/>
          <w:p>
            <w:pPr>
              <w:pStyle w:val="Compact"/>
            </w:pPr>
            <w:r>
              <w:t xml:space="preserve">PRJEB50447</w:t>
            </w:r>
          </w:p>
        </w:tc>
        <w:tc>
          <w:tcPr/>
          <w:p>
            <w:pPr>
              <w:pStyle w:val="Compact"/>
            </w:pPr>
            <w:r>
              <w:t xml:space="preserve">78</w:t>
            </w:r>
          </w:p>
        </w:tc>
        <w:tc>
          <w:tcPr/>
          <w:p>
            <w:pPr>
              <w:pStyle w:val="Compact"/>
            </w:pPr>
            <w:r>
              <w:t xml:space="preserve">18*</w:t>
            </w:r>
          </w:p>
        </w:tc>
        <w:tc>
          <w:tcPr/>
          <w:p>
            <w:pPr>
              <w:pStyle w:val="Compact"/>
            </w:pPr>
            <w:r>
              <w:t xml:space="preserve">60</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 4 only</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509</w:t>
            </w:r>
          </w:p>
        </w:tc>
        <w:tc>
          <w:tcPr/>
          <w:p>
            <w:pPr>
              <w:pStyle w:val="Compact"/>
            </w:pPr>
            <w:r>
              <w:rPr>
                <w:b/>
                <w:bCs/>
              </w:rPr>
              <w:t xml:space="preserve">232</w:t>
            </w:r>
          </w:p>
        </w:tc>
        <w:tc>
          <w:tcPr/>
          <w:p>
            <w:pPr>
              <w:pStyle w:val="Compact"/>
            </w:pPr>
            <w:r>
              <w:rPr>
                <w:b/>
                <w:bCs/>
              </w:rPr>
              <w:t xml:space="preserve">247</w:t>
            </w:r>
          </w:p>
        </w:tc>
        <w:tc>
          <w:tcPr/>
          <w:p>
            <w:pPr>
              <w:pStyle w:val="Compact"/>
            </w:pPr>
            <w:r>
              <w:rPr>
                <w:b/>
                <w:bCs/>
              </w:rPr>
              <w:t xml:space="preserve">30</w:t>
            </w:r>
          </w:p>
        </w:tc>
        <w:tc>
          <w:tcPr/>
          <w:p>
            <w:pPr>
              <w:pStyle w:val="Compact"/>
            </w:pPr>
          </w:p>
        </w:tc>
        <w:tc>
          <w:tcPr/>
          <w:p>
            <w:pPr>
              <w:pStyle w:val="Compact"/>
            </w:pPr>
          </w:p>
        </w:tc>
        <w:tc>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AUC-ROC</w:t>
            </w:r>
          </w:p>
        </w:tc>
        <w:tc>
          <w:tcPr/>
          <w:p>
            <w:pPr>
              <w:pStyle w:val="Compact"/>
            </w:pPr>
            <w:r>
              <w:t xml:space="preserve">95% CI</w:t>
            </w:r>
          </w:p>
        </w:tc>
        <w:tc>
          <w:tcPr/>
          <w:p>
            <w:pPr>
              <w:pStyle w:val="Compact"/>
            </w:pPr>
            <w:r>
              <w:t xml:space="preserve">Sensitivity</w:t>
            </w:r>
          </w:p>
        </w:tc>
        <w:tc>
          <w:tcPr/>
          <w:p>
            <w:pPr>
              <w:pStyle w:val="Compact"/>
            </w:pPr>
            <w:r>
              <w:t xml:space="preserve">Specificity</w:t>
            </w:r>
          </w:p>
        </w:tc>
        <w:tc>
          <w:tcPr/>
          <w:p>
            <w:pPr>
              <w:pStyle w:val="Compact"/>
            </w:pPr>
            <w:r>
              <w:t xml:space="preserve">Originally Reported AUC</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w:t>
            </w:r>
          </w:p>
        </w:tc>
        <w:tc>
          <w:tcPr/>
          <w:p>
            <w:pPr>
              <w:pStyle w:val="Compact"/>
            </w:pPr>
            <w:r>
              <w:t xml:space="preserve">[0.51–0.75]</w:t>
            </w:r>
          </w:p>
        </w:tc>
        <w:tc>
          <w:tcPr/>
          <w:p>
            <w:pPr>
              <w:pStyle w:val="Compact"/>
            </w:pPr>
            <w:r>
              <w:t xml:space="preserve">0.814</w:t>
            </w:r>
          </w:p>
        </w:tc>
        <w:tc>
          <w:tcPr/>
          <w:p>
            <w:pPr>
              <w:pStyle w:val="Compact"/>
            </w:pPr>
            <w:r>
              <w:t xml:space="preserve">0.512</w:t>
            </w:r>
          </w:p>
        </w:tc>
        <w:tc>
          <w:tcPr/>
          <w:p>
            <w:pPr>
              <w:pStyle w:val="Compact"/>
            </w:pPr>
            <w:r>
              <w:t xml:space="preserve">~0.73 (Zhuang et al., 2018)</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0.635</w:t>
            </w:r>
          </w:p>
        </w:tc>
        <w:tc>
          <w:tcPr/>
          <w:p>
            <w:pPr>
              <w:pStyle w:val="Compact"/>
            </w:pPr>
            <w:r>
              <w:t xml:space="preserve">[0.52–0.75]</w:t>
            </w:r>
          </w:p>
        </w:tc>
        <w:tc>
          <w:tcPr/>
          <w:p>
            <w:pPr>
              <w:pStyle w:val="Compact"/>
            </w:pPr>
            <w:r>
              <w:t xml:space="preserve">0.884</w:t>
            </w:r>
          </w:p>
        </w:tc>
        <w:tc>
          <w:tcPr/>
          <w:p>
            <w:pPr>
              <w:pStyle w:val="Compact"/>
            </w:pPr>
            <w:r>
              <w:t xml:space="preserve">0.442</w:t>
            </w:r>
          </w:p>
        </w:tc>
        <w:tc>
          <w:tcPr/>
          <w:p>
            <w:pPr>
              <w:pStyle w:val="Compact"/>
            </w:pPr>
            <w:r>
              <w:t xml:space="preserve">—</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0.865</w:t>
            </w:r>
          </w:p>
        </w:tc>
        <w:tc>
          <w:tcPr/>
          <w:p>
            <w:pPr>
              <w:pStyle w:val="Compact"/>
            </w:pPr>
            <w:r>
              <w:t xml:space="preserve">[0.81–0.92]</w:t>
            </w:r>
          </w:p>
        </w:tc>
        <w:tc>
          <w:tcPr/>
          <w:p>
            <w:pPr>
              <w:pStyle w:val="Compact"/>
            </w:pPr>
            <w:r>
              <w:t xml:space="preserve">0.780</w:t>
            </w:r>
          </w:p>
        </w:tc>
        <w:tc>
          <w:tcPr/>
          <w:p>
            <w:pPr>
              <w:pStyle w:val="Compact"/>
            </w:pPr>
            <w:r>
              <w:t xml:space="preserve">0.859</w:t>
            </w:r>
          </w:p>
        </w:tc>
        <w:tc>
          <w:tcPr/>
          <w:p>
            <w:pPr>
              <w:pStyle w:val="Compact"/>
            </w:pPr>
            <w:r>
              <w:t xml:space="preserve">~0.87 (Ling et al., 2021)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0.862</w:t>
            </w:r>
          </w:p>
        </w:tc>
        <w:tc>
          <w:tcPr/>
          <w:p>
            <w:pPr>
              <w:pStyle w:val="Compact"/>
            </w:pPr>
            <w:r>
              <w:t xml:space="preserve">[0.80–0.91]</w:t>
            </w:r>
          </w:p>
        </w:tc>
        <w:tc>
          <w:tcPr/>
          <w:p>
            <w:pPr>
              <w:pStyle w:val="Compact"/>
            </w:pPr>
            <w:r>
              <w:t xml:space="preserve">0.740</w:t>
            </w:r>
          </w:p>
        </w:tc>
        <w:tc>
          <w:tcPr/>
          <w:p>
            <w:pPr>
              <w:pStyle w:val="Compact"/>
            </w:pPr>
            <w:r>
              <w:t xml:space="preserve">0.887</w:t>
            </w:r>
          </w:p>
        </w:tc>
        <w:tc>
          <w:tcPr/>
          <w:p>
            <w:pPr>
              <w:pStyle w:val="Compact"/>
            </w:pPr>
            <w:r>
              <w:t xml:space="preserve">—</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0.998</w:t>
            </w:r>
          </w:p>
        </w:tc>
        <w:tc>
          <w:tcPr/>
          <w:p>
            <w:pPr>
              <w:pStyle w:val="Compact"/>
            </w:pPr>
            <w:r>
              <w:t xml:space="preserve">[0.99–1.00]</w:t>
            </w:r>
          </w:p>
        </w:tc>
        <w:tc>
          <w:tcPr/>
          <w:p>
            <w:pPr>
              <w:pStyle w:val="Compact"/>
            </w:pPr>
            <w:r>
              <w:t xml:space="preserve">0.967</w:t>
            </w:r>
          </w:p>
        </w:tc>
        <w:tc>
          <w:tcPr/>
          <w:p>
            <w:pPr>
              <w:pStyle w:val="Compact"/>
            </w:pPr>
            <w:r>
              <w:t xml:space="preserve">1.000</w:t>
            </w:r>
          </w:p>
        </w:tc>
        <w:tc>
          <w:tcPr/>
          <w:p>
            <w:pPr>
              <w:pStyle w:val="Compact"/>
            </w:pPr>
            <w:r>
              <w:t xml:space="preserve">~0.94 (Zhu et al., 2022)</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0.979</w:t>
            </w:r>
          </w:p>
        </w:tc>
        <w:tc>
          <w:tcPr/>
          <w:p>
            <w:pPr>
              <w:pStyle w:val="Compact"/>
            </w:pPr>
            <w:r>
              <w:t xml:space="preserve">[0.94–1.00]</w:t>
            </w:r>
          </w:p>
        </w:tc>
        <w:tc>
          <w:tcPr/>
          <w:p>
            <w:pPr>
              <w:pStyle w:val="Compact"/>
            </w:pPr>
            <w:r>
              <w:t xml:space="preserve">0.900</w:t>
            </w:r>
          </w:p>
        </w:tc>
        <w:tc>
          <w:tcPr/>
          <w:p>
            <w:pPr>
              <w:pStyle w:val="Compact"/>
            </w:pPr>
            <w:r>
              <w:t xml:space="preserve">1.000</w:t>
            </w:r>
          </w:p>
        </w:tc>
        <w:tc>
          <w:tcPr/>
          <w:p>
            <w:pPr>
              <w:pStyle w:val="Compact"/>
            </w:pPr>
            <w:r>
              <w:t xml:space="preserve">—</w:t>
            </w:r>
          </w:p>
        </w:tc>
      </w:tr>
      <w:tr>
        <w:tc>
          <w:tcPr/>
          <w:p>
            <w:pPr>
              <w:pStyle w:val="Compact"/>
            </w:pPr>
            <w:r>
              <w:t xml:space="preserve">Kaiyrlykyzy 2022</w:t>
            </w:r>
          </w:p>
        </w:tc>
        <w:tc>
          <w:tcPr/>
          <w:p>
            <w:pPr>
              <w:pStyle w:val="Compact"/>
            </w:pPr>
            <w:r>
              <w:t xml:space="preserve">LogReg</w:t>
            </w:r>
          </w:p>
        </w:tc>
        <w:tc>
          <w:tcPr/>
          <w:p>
            <w:pPr>
              <w:pStyle w:val="Compact"/>
            </w:pPr>
            <w:r>
              <w:t xml:space="preserve">84</w:t>
            </w:r>
          </w:p>
        </w:tc>
        <w:tc>
          <w:tcPr/>
          <w:p>
            <w:pPr>
              <w:pStyle w:val="Compact"/>
            </w:pPr>
            <w:r>
              <w:t xml:space="preserve">0.766</w:t>
            </w:r>
          </w:p>
        </w:tc>
        <w:tc>
          <w:tcPr/>
          <w:p>
            <w:pPr>
              <w:pStyle w:val="Compact"/>
            </w:pPr>
            <w:r>
              <w:t xml:space="preserve">[0.66–0.86]</w:t>
            </w:r>
          </w:p>
        </w:tc>
        <w:tc>
          <w:tcPr/>
          <w:p>
            <w:pPr>
              <w:pStyle w:val="Compact"/>
            </w:pPr>
            <w:r>
              <w:t xml:space="preserve">0.829</w:t>
            </w:r>
          </w:p>
        </w:tc>
        <w:tc>
          <w:tcPr/>
          <w:p>
            <w:pPr>
              <w:pStyle w:val="Compact"/>
            </w:pPr>
            <w:r>
              <w:t xml:space="preserve">0.605</w:t>
            </w:r>
          </w:p>
        </w:tc>
        <w:tc>
          <w:tcPr/>
          <w:p>
            <w:pPr>
              <w:pStyle w:val="Compact"/>
            </w:pPr>
            <w:r>
              <w:t xml:space="preserve">~0.78 (Kaiyrlykyzy et al., 2022)</w:t>
            </w:r>
          </w:p>
        </w:tc>
      </w:tr>
      <w:tr>
        <w:tc>
          <w:tcPr/>
          <w:p>
            <w:pPr>
              <w:pStyle w:val="Compact"/>
            </w:pPr>
            <w:r>
              <w:t xml:space="preserve">Kaiyrlykyzy 2022</w:t>
            </w:r>
          </w:p>
        </w:tc>
        <w:tc>
          <w:tcPr/>
          <w:p>
            <w:pPr>
              <w:pStyle w:val="Compact"/>
            </w:pPr>
            <w:r>
              <w:t xml:space="preserve">LGBM</w:t>
            </w:r>
          </w:p>
        </w:tc>
        <w:tc>
          <w:tcPr/>
          <w:p>
            <w:pPr>
              <w:pStyle w:val="Compact"/>
            </w:pPr>
            <w:r>
              <w:t xml:space="preserve">84</w:t>
            </w:r>
          </w:p>
        </w:tc>
        <w:tc>
          <w:tcPr/>
          <w:p>
            <w:pPr>
              <w:pStyle w:val="Compact"/>
            </w:pPr>
            <w:r>
              <w:t xml:space="preserve">0.694</w:t>
            </w:r>
          </w:p>
        </w:tc>
        <w:tc>
          <w:tcPr/>
          <w:p>
            <w:pPr>
              <w:pStyle w:val="Compact"/>
            </w:pPr>
            <w:r>
              <w:t xml:space="preserve">[0.57–0.80]</w:t>
            </w:r>
          </w:p>
        </w:tc>
        <w:tc>
          <w:tcPr/>
          <w:p>
            <w:pPr>
              <w:pStyle w:val="Compact"/>
            </w:pPr>
            <w:r>
              <w:t xml:space="preserve">0.610</w:t>
            </w:r>
          </w:p>
        </w:tc>
        <w:tc>
          <w:tcPr/>
          <w:p>
            <w:pPr>
              <w:pStyle w:val="Compact"/>
            </w:pPr>
            <w:r>
              <w:t xml:space="preserve">0.767</w:t>
            </w:r>
          </w:p>
        </w:tc>
        <w:tc>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 All 95% CIs use the diagnosis-stratified, participant-level bootstrap described in Section 2.5.2 (10,000 replicates), applied uniformly to every AUC CI in this paper.</w:t>
      </w:r>
    </w:p>
    <w:bookmarkEnd w:id="26"/>
    <w:bookmarkStart w:id="27"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in cross-cohort performance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[0.38–0.63]).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w:t>
      </w:r>
    </w:p>
    <w:p>
      <w:pPr>
        <w:pStyle w:val="BodyText"/>
      </w:pPr>
      <w:r>
        <w:t xml:space="preserve">Ling 2020 also experienced substantial LOCO collapse: logistic regression 0.865 → 0.678 (Δ=0.187); LightGBM 0.862 → 0.674 (Δ=0.188).</w:t>
      </w:r>
    </w:p>
    <w:p>
      <w:pPr>
        <w:pStyle w:val="BodyText"/>
      </w:pPr>
      <w:r>
        <w:rPr>
          <w:b/>
          <w:bCs/>
        </w:rPr>
        <w:t xml:space="preserve">Formal paired test of the within-cohort vs. LOCO AUC difference (Section 2.5.2).</w:t>
      </w:r>
      <w:r>
        <w:t xml:space="preserve"> </w:t>
      </w:r>
      <w:r>
        <w:t xml:space="preserve">A paired, diagnosis-stratified, participant-level bootstrap (10,000 replicates, identical resampled participants used for both AUC values in each replicate) was used to test whether within-cohort AUC formally exceeds LOCO AUC for each of the eight cohort–model pairs, rather than relying on non-overlap of independently computed confidence intervals, which is not a formal test of a nonzero difference. Five of eight pairs showed a 95% bootstrap CI on the delta that excluded zero: Ling 2020 (logistic regression Δ=0.187, 95% CI [0.10, 0.28]; LightGBM Δ=0.188, 95% CI [0.10, 0.28]), Zhu 2022 (logistic regression Δ=0.184, 95% CI [0.07, 0.31]; LightGBM Δ=0.221, 95% CI [0.11, 0.35]), and Kazakhstan logistic regression (Δ=0.201, 95% CI [0.04, 0.36]). The remaining three pairs — Zhuang 2018 logistic regression (Δ=0.129, 95% CI [−0.05, 0.30], proportion of bootstrap replicates with Δ≤0: 0.079), Zhuang 2018 LightGBM (Δ=0.070, 95% CI [−0.10, 0.24], proportion Δ≤0: 0.214), and Kazakhstan LightGBM (Δ=0.104, 95% CI [−0.05, 0.26], proportion Δ≤0: 0.092) — showed the same-signed (within-cohort higher) point estimate but a 95% CI that included zero, and are not formally significant under this test despite the directional pattern being consistent across all eight pairs. We report this honestly rather than treating all eight LOCO drops as equally well-supported: the aggregate pattern of reduced cross-cohort performance is robust, but three of the eight individual cohort–model comparisons do not reach formal statistical support at this sample size (full results in Supplementary Table S10).</w:t>
      </w:r>
    </w:p>
    <w:p>
      <w:pPr>
        <w:pStyle w:val="BodyText"/>
      </w:pPr>
      <w:r>
        <w:t xml:space="preserve">LOCO performance was heterogeneous across cohorts: Zhu 2022 achieved the highest LOCO AUC (logistic regression 0.813), while Zhuang 2018 collapsed to near chance. It should be noted that only one of the eight main model–cohort combinations fell to near chance, and five of eight exceeded 0.55; the results therefore demonstrate substantial and variable degradation rather than uniform failure.</w:t>
      </w:r>
    </w:p>
    <w:p>
      <w:pPr>
        <w:pStyle w:val="BodyText"/>
      </w:pPr>
      <w:r>
        <w:rPr>
          <w:b/>
          <w:bCs/>
        </w:rPr>
        <w:t xml:space="preserve">Sensitivity analyses</w:t>
      </w:r>
      <w:r>
        <w:t xml:space="preserve"> </w:t>
      </w:r>
      <w:r>
        <w:t xml:space="preserve">confirmed that generalization failure was not attributable to Kazakhstan, Zhuang 2018, or Ling 2020 individually (Supplementary Figure S4). When Kazakhstan was excluded and LOCO was performed on the three remaining Chinese cohorts, Zhuang 2018 remained near chance (LogReg 0.512, LightGBM 0.567), demonstrating that the generalization failure for Zhuang 2018 is not a Kazakhstan artifact. When Zhuang 2018 was excluded, LOCO on the remaining three cohorts still showed AUC values that were substantially below within-cohort baselines for Kazakhstan (LogReg 0.599, LightGBM 0.495). When Ling 2020 was excluded, Kazakhstan LOCO LogReg was 0.604. These sensitivity results confirm the robustness of the main finding across cohort compositions.</w:t>
      </w:r>
    </w:p>
    <w:p>
      <w:pPr>
        <w:pStyle w:val="BodyText"/>
      </w:pPr>
      <w:r>
        <w:rPr>
          <w:b/>
          <w:bCs/>
        </w:rPr>
        <w:t xml:space="preserve">Training-only feature-selection sensitivity</w:t>
      </w:r>
      <w:r>
        <w:t xml:space="preserve"> </w:t>
      </w:r>
      <w:r>
        <w:t xml:space="preserve">(Section 2.5.1) confirmed that this LOCO generalization-failure pattern is not an artifact of the global, all-cohort genus-selection step (Section 2.2). Re-deriving the retained genus set independently within each split — using only that split’s training-side samples, with the held-out cohort contributing zero information to feature selection — changed LOCO AUC by at most 0.066 in either direction (largest changes: Kazakhstan LightGBM 0.591→0.525, Δ=−0.066; Kazakhstan LogReg 0.564→0.609, Δ=+0.045; all other cohort–model combinations changed by ≤0.031). The retained genus count under strict training-only selection ranged from 150 (when Kazakhstan — a comparatively high-prevalence cohort for many genera — was excluded from feature selection during its own hold-out) to 373, versus 396 under the global rule, yet no cohort–model combination changed its qualitative classification (near-chance, intermediate, or robust). Within-cohort nested-CV AUC under training-only selection likewise moved by −0.083 to +0.038 (Supplementary Table S4). We conclude that the global feature-selection design in the main analysis, while a genuine methodological limitation in principle, did not materially inflate or deflate the magnitude of the reported cross-cohort generalization failure.</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Within-Cohort AUC</w:t>
            </w:r>
          </w:p>
        </w:tc>
        <w:tc>
          <w:tcPr/>
          <w:p>
            <w:pPr>
              <w:pStyle w:val="Compact"/>
            </w:pPr>
            <w:r>
              <w:t xml:space="preserve">LOCO AUC</w:t>
            </w:r>
          </w:p>
        </w:tc>
        <w:tc>
          <w:tcPr/>
          <w:p>
            <w:pPr>
              <w:pStyle w:val="Compact"/>
            </w:pPr>
            <w:r>
              <w:t xml:space="preserve">LOCO 95% CI</w:t>
            </w:r>
          </w:p>
        </w:tc>
        <w:tc>
          <w:tcPr/>
          <w:p>
            <w:pPr>
              <w:pStyle w:val="Compact"/>
            </w:pPr>
            <w:r>
              <w:t xml:space="preserve">AUC Drop</w:t>
            </w:r>
          </w:p>
        </w:tc>
      </w:tr>
      <w:tr>
        <w:tc>
          <w:tcPr/>
          <w:p>
            <w:pPr>
              <w:pStyle w:val="Compact"/>
            </w:pPr>
            <w:r>
              <w:t xml:space="preserve">Zhuang 2018</w:t>
            </w:r>
          </w:p>
        </w:tc>
        <w:tc>
          <w:tcPr/>
          <w:p>
            <w:pPr>
              <w:pStyle w:val="Compact"/>
            </w:pPr>
            <w:r>
              <w:t xml:space="preserve">LogReg</w:t>
            </w:r>
          </w:p>
        </w:tc>
        <w:tc>
          <w:tcPr/>
          <w:p>
            <w:pPr>
              <w:pStyle w:val="Compact"/>
            </w:pPr>
            <w:r>
              <w:t xml:space="preserve">0.633</w:t>
            </w:r>
          </w:p>
        </w:tc>
        <w:tc>
          <w:tcPr/>
          <w:p>
            <w:pPr>
              <w:pStyle w:val="Compact"/>
            </w:pPr>
            <w:r>
              <w:t xml:space="preserve">0.504</w:t>
            </w:r>
          </w:p>
        </w:tc>
        <w:tc>
          <w:tcPr/>
          <w:p>
            <w:pPr>
              <w:pStyle w:val="Compact"/>
            </w:pPr>
            <w:r>
              <w:t xml:space="preserve">[0.38–0.63]</w:t>
            </w:r>
          </w:p>
        </w:tc>
        <w:tc>
          <w:tcPr/>
          <w:p>
            <w:pPr>
              <w:pStyle w:val="Compact"/>
            </w:pPr>
            <w:r>
              <w:t xml:space="preserve">0.129</w:t>
            </w:r>
          </w:p>
        </w:tc>
      </w:tr>
      <w:tr>
        <w:tc>
          <w:tcPr/>
          <w:p>
            <w:pPr>
              <w:pStyle w:val="Compact"/>
            </w:pPr>
            <w:r>
              <w:t xml:space="preserve">Zhuang 2018</w:t>
            </w:r>
          </w:p>
        </w:tc>
        <w:tc>
          <w:tcPr/>
          <w:p>
            <w:pPr>
              <w:pStyle w:val="Compact"/>
            </w:pPr>
            <w:r>
              <w:t xml:space="preserve">LGBM</w:t>
            </w:r>
          </w:p>
        </w:tc>
        <w:tc>
          <w:tcPr/>
          <w:p>
            <w:pPr>
              <w:pStyle w:val="Compact"/>
            </w:pPr>
            <w:r>
              <w:t xml:space="preserve">0.635</w:t>
            </w:r>
          </w:p>
        </w:tc>
        <w:tc>
          <w:tcPr/>
          <w:p>
            <w:pPr>
              <w:pStyle w:val="Compact"/>
            </w:pPr>
            <w:r>
              <w:t xml:space="preserve">0.565</w:t>
            </w:r>
          </w:p>
        </w:tc>
        <w:tc>
          <w:tcPr/>
          <w:p>
            <w:pPr>
              <w:pStyle w:val="Compact"/>
            </w:pPr>
            <w:r>
              <w:t xml:space="preserve">[0.44–0.69]</w:t>
            </w:r>
          </w:p>
        </w:tc>
        <w:tc>
          <w:tcPr/>
          <w:p>
            <w:pPr>
              <w:pStyle w:val="Compact"/>
            </w:pPr>
            <w:r>
              <w:t xml:space="preserve">0.070</w:t>
            </w:r>
          </w:p>
        </w:tc>
      </w:tr>
      <w:tr>
        <w:tc>
          <w:tcPr/>
          <w:p>
            <w:pPr>
              <w:pStyle w:val="Compact"/>
            </w:pPr>
            <w:r>
              <w:t xml:space="preserve">Ling 2020</w:t>
            </w:r>
          </w:p>
        </w:tc>
        <w:tc>
          <w:tcPr/>
          <w:p>
            <w:pPr>
              <w:pStyle w:val="Compact"/>
            </w:pPr>
            <w:r>
              <w:t xml:space="preserve">LogReg</w:t>
            </w:r>
          </w:p>
        </w:tc>
        <w:tc>
          <w:tcPr/>
          <w:p>
            <w:pPr>
              <w:pStyle w:val="Compact"/>
            </w:pPr>
            <w:r>
              <w:t xml:space="preserve">0.865</w:t>
            </w:r>
          </w:p>
        </w:tc>
        <w:tc>
          <w:tcPr/>
          <w:p>
            <w:pPr>
              <w:pStyle w:val="Compact"/>
            </w:pPr>
            <w:r>
              <w:t xml:space="preserve">0.678</w:t>
            </w:r>
          </w:p>
        </w:tc>
        <w:tc>
          <w:tcPr/>
          <w:p>
            <w:pPr>
              <w:pStyle w:val="Compact"/>
            </w:pPr>
            <w:r>
              <w:t xml:space="preserve">[0.59–0.75]</w:t>
            </w:r>
          </w:p>
        </w:tc>
        <w:tc>
          <w:tcPr/>
          <w:p>
            <w:pPr>
              <w:pStyle w:val="Compact"/>
            </w:pPr>
            <w:r>
              <w:t xml:space="preserve">0.187</w:t>
            </w:r>
          </w:p>
        </w:tc>
      </w:tr>
      <w:tr>
        <w:tc>
          <w:tcPr/>
          <w:p>
            <w:pPr>
              <w:pStyle w:val="Compact"/>
            </w:pPr>
            <w:r>
              <w:t xml:space="preserve">Ling 2020</w:t>
            </w:r>
          </w:p>
        </w:tc>
        <w:tc>
          <w:tcPr/>
          <w:p>
            <w:pPr>
              <w:pStyle w:val="Compact"/>
            </w:pPr>
            <w:r>
              <w:t xml:space="preserve">LGBM</w:t>
            </w:r>
          </w:p>
        </w:tc>
        <w:tc>
          <w:tcPr/>
          <w:p>
            <w:pPr>
              <w:pStyle w:val="Compact"/>
            </w:pPr>
            <w:r>
              <w:t xml:space="preserve">0.862</w:t>
            </w:r>
          </w:p>
        </w:tc>
        <w:tc>
          <w:tcPr/>
          <w:p>
            <w:pPr>
              <w:pStyle w:val="Compact"/>
            </w:pPr>
            <w:r>
              <w:t xml:space="preserve">0.674</w:t>
            </w:r>
          </w:p>
        </w:tc>
        <w:tc>
          <w:tcPr/>
          <w:p>
            <w:pPr>
              <w:pStyle w:val="Compact"/>
            </w:pPr>
            <w:r>
              <w:t xml:space="preserve">[0.59–0.75]</w:t>
            </w:r>
          </w:p>
        </w:tc>
        <w:tc>
          <w:tcPr/>
          <w:p>
            <w:pPr>
              <w:pStyle w:val="Compact"/>
            </w:pPr>
            <w:r>
              <w:t xml:space="preserve">0.188</w:t>
            </w:r>
          </w:p>
        </w:tc>
      </w:tr>
      <w:tr>
        <w:tc>
          <w:tcPr/>
          <w:p>
            <w:pPr>
              <w:pStyle w:val="Compact"/>
            </w:pPr>
            <w:r>
              <w:t xml:space="preserve">Zhu 2022</w:t>
            </w:r>
          </w:p>
        </w:tc>
        <w:tc>
          <w:tcPr/>
          <w:p>
            <w:pPr>
              <w:pStyle w:val="Compact"/>
            </w:pPr>
            <w:r>
              <w:t xml:space="preserve">LogReg</w:t>
            </w:r>
          </w:p>
        </w:tc>
        <w:tc>
          <w:tcPr/>
          <w:p>
            <w:pPr>
              <w:pStyle w:val="Compact"/>
            </w:pPr>
            <w:r>
              <w:t xml:space="preserve">0.998</w:t>
            </w:r>
          </w:p>
        </w:tc>
        <w:tc>
          <w:tcPr/>
          <w:p>
            <w:pPr>
              <w:pStyle w:val="Compact"/>
            </w:pPr>
            <w:r>
              <w:t xml:space="preserve">0.813</w:t>
            </w:r>
          </w:p>
        </w:tc>
        <w:tc>
          <w:tcPr/>
          <w:p>
            <w:pPr>
              <w:pStyle w:val="Compact"/>
            </w:pPr>
            <w:r>
              <w:t xml:space="preserve">[0.69–0.93]</w:t>
            </w:r>
          </w:p>
        </w:tc>
        <w:tc>
          <w:tcPr/>
          <w:p>
            <w:pPr>
              <w:pStyle w:val="Compact"/>
            </w:pPr>
            <w:r>
              <w:t xml:space="preserve">0.185</w:t>
            </w:r>
          </w:p>
        </w:tc>
      </w:tr>
      <w:tr>
        <w:tc>
          <w:tcPr/>
          <w:p>
            <w:pPr>
              <w:pStyle w:val="Compact"/>
            </w:pPr>
            <w:r>
              <w:t xml:space="preserve">Zhu 2022</w:t>
            </w:r>
          </w:p>
        </w:tc>
        <w:tc>
          <w:tcPr/>
          <w:p>
            <w:pPr>
              <w:pStyle w:val="Compact"/>
            </w:pPr>
            <w:r>
              <w:t xml:space="preserve">LGBM</w:t>
            </w:r>
          </w:p>
        </w:tc>
        <w:tc>
          <w:tcPr/>
          <w:p>
            <w:pPr>
              <w:pStyle w:val="Compact"/>
            </w:pPr>
            <w:r>
              <w:t xml:space="preserve">0.979</w:t>
            </w:r>
          </w:p>
        </w:tc>
        <w:tc>
          <w:tcPr/>
          <w:p>
            <w:pPr>
              <w:pStyle w:val="Compact"/>
            </w:pPr>
            <w:r>
              <w:t xml:space="preserve">0.758</w:t>
            </w:r>
          </w:p>
        </w:tc>
        <w:tc>
          <w:tcPr/>
          <w:p>
            <w:pPr>
              <w:pStyle w:val="Compact"/>
            </w:pPr>
            <w:r>
              <w:t xml:space="preserve">[0.63–0.87]</w:t>
            </w:r>
          </w:p>
        </w:tc>
        <w:tc>
          <w:tcPr/>
          <w:p>
            <w:pPr>
              <w:pStyle w:val="Compact"/>
            </w:pPr>
            <w:r>
              <w:t xml:space="preserve">0.221</w:t>
            </w:r>
          </w:p>
        </w:tc>
      </w:tr>
      <w:tr>
        <w:tc>
          <w:tcPr/>
          <w:p>
            <w:pPr>
              <w:pStyle w:val="Compact"/>
            </w:pPr>
            <w:r>
              <w:t xml:space="preserve">Kazakhstan</w:t>
            </w:r>
          </w:p>
        </w:tc>
        <w:tc>
          <w:tcPr/>
          <w:p>
            <w:pPr>
              <w:pStyle w:val="Compact"/>
            </w:pPr>
            <w:r>
              <w:t xml:space="preserve">LogReg</w:t>
            </w:r>
          </w:p>
        </w:tc>
        <w:tc>
          <w:tcPr/>
          <w:p>
            <w:pPr>
              <w:pStyle w:val="Compact"/>
            </w:pPr>
            <w:r>
              <w:t xml:space="preserve">0.766</w:t>
            </w:r>
          </w:p>
        </w:tc>
        <w:tc>
          <w:tcPr/>
          <w:p>
            <w:pPr>
              <w:pStyle w:val="Compact"/>
            </w:pPr>
            <w:r>
              <w:t xml:space="preserve">0.564</w:t>
            </w:r>
          </w:p>
        </w:tc>
        <w:tc>
          <w:tcPr/>
          <w:p>
            <w:pPr>
              <w:pStyle w:val="Compact"/>
            </w:pPr>
            <w:r>
              <w:t xml:space="preserve">[0.44–0.69]</w:t>
            </w:r>
          </w:p>
        </w:tc>
        <w:tc>
          <w:tcPr/>
          <w:p>
            <w:pPr>
              <w:pStyle w:val="Compact"/>
            </w:pPr>
            <w:r>
              <w:t xml:space="preserve">0.202</w:t>
            </w:r>
          </w:p>
        </w:tc>
      </w:tr>
      <w:tr>
        <w:tc>
          <w:tcPr/>
          <w:p>
            <w:pPr>
              <w:pStyle w:val="Compact"/>
            </w:pPr>
            <w:r>
              <w:t xml:space="preserve">Kazakhstan</w:t>
            </w:r>
          </w:p>
        </w:tc>
        <w:tc>
          <w:tcPr/>
          <w:p>
            <w:pPr>
              <w:pStyle w:val="Compact"/>
            </w:pPr>
            <w:r>
              <w:t xml:space="preserve">LGBM</w:t>
            </w:r>
          </w:p>
        </w:tc>
        <w:tc>
          <w:tcPr/>
          <w:p>
            <w:pPr>
              <w:pStyle w:val="Compact"/>
            </w:pPr>
            <w:r>
              <w:t xml:space="preserve">0.694</w:t>
            </w:r>
          </w:p>
        </w:tc>
        <w:tc>
          <w:tcPr/>
          <w:p>
            <w:pPr>
              <w:pStyle w:val="Compact"/>
            </w:pPr>
            <w:r>
              <w:t xml:space="preserve">0.591</w:t>
            </w:r>
          </w:p>
        </w:tc>
        <w:tc>
          <w:tcPr/>
          <w:p>
            <w:pPr>
              <w:pStyle w:val="Compact"/>
            </w:pPr>
            <w:r>
              <w:t xml:space="preserve">[0.47–0.71]</w:t>
            </w:r>
          </w:p>
        </w:tc>
        <w:tc>
          <w:tcPr/>
          <w:p>
            <w:pPr>
              <w:pStyle w:val="Compact"/>
            </w:pPr>
            <w:r>
              <w:t xml:space="preserve">0.103</w:t>
            </w:r>
          </w:p>
        </w:tc>
      </w:tr>
      <w:tr>
        <w:tc>
          <w:tcPr/>
          <w:p>
            <w:pPr>
              <w:pStyle w:val="Compact"/>
            </w:pPr>
            <w:r>
              <w:rPr>
                <w:b/>
                <w:bCs/>
              </w:rPr>
              <w:t xml:space="preserve">Mean</w:t>
            </w:r>
          </w:p>
        </w:tc>
        <w:tc>
          <w:tcPr/>
          <w:p>
            <w:pPr>
              <w:pStyle w:val="Compact"/>
            </w:pPr>
            <w:r>
              <w:rPr>
                <w:b/>
                <w:bCs/>
              </w:rPr>
              <w:t xml:space="preserve">LogReg</w:t>
            </w:r>
          </w:p>
        </w:tc>
        <w:tc>
          <w:tcPr/>
          <w:p>
            <w:pPr>
              <w:pStyle w:val="Compact"/>
            </w:pPr>
            <w:r>
              <w:rPr>
                <w:b/>
                <w:bCs/>
              </w:rPr>
              <w:t xml:space="preserve">0.816</w:t>
            </w:r>
          </w:p>
        </w:tc>
        <w:tc>
          <w:tcPr/>
          <w:p>
            <w:pPr>
              <w:pStyle w:val="Compact"/>
            </w:pPr>
            <w:r>
              <w:rPr>
                <w:b/>
                <w:bCs/>
              </w:rPr>
              <w:t xml:space="preserve">0.640</w:t>
            </w:r>
          </w:p>
        </w:tc>
        <w:tc>
          <w:tcPr/>
          <w:p>
            <w:pPr>
              <w:pStyle w:val="Compact"/>
            </w:pPr>
            <w:r>
              <w:t xml:space="preserve">—</w:t>
            </w:r>
          </w:p>
        </w:tc>
        <w:tc>
          <w:tcPr/>
          <w:p>
            <w:pPr>
              <w:pStyle w:val="Compact"/>
            </w:pPr>
            <w:r>
              <w:rPr>
                <w:b/>
                <w:bCs/>
              </w:rPr>
              <w:t xml:space="preserve">0.176</w:t>
            </w:r>
          </w:p>
        </w:tc>
      </w:tr>
      <w:tr>
        <w:tc>
          <w:tcPr/>
          <w:p>
            <w:pPr>
              <w:pStyle w:val="Compact"/>
            </w:pPr>
            <w:r>
              <w:rPr>
                <w:b/>
                <w:bCs/>
              </w:rPr>
              <w:t xml:space="preserve">Mean</w:t>
            </w:r>
          </w:p>
        </w:tc>
        <w:tc>
          <w:tcPr/>
          <w:p>
            <w:pPr>
              <w:pStyle w:val="Compact"/>
            </w:pPr>
            <w:r>
              <w:rPr>
                <w:b/>
                <w:bCs/>
              </w:rPr>
              <w:t xml:space="preserve">LGBM</w:t>
            </w:r>
          </w:p>
        </w:tc>
        <w:tc>
          <w:tcPr/>
          <w:p>
            <w:pPr>
              <w:pStyle w:val="Compact"/>
            </w:pPr>
            <w:r>
              <w:rPr>
                <w:b/>
                <w:bCs/>
              </w:rPr>
              <w:t xml:space="preserve">0.793</w:t>
            </w:r>
          </w:p>
        </w:tc>
        <w:tc>
          <w:tcPr/>
          <w:p>
            <w:pPr>
              <w:pStyle w:val="Compact"/>
            </w:pPr>
            <w:r>
              <w:rPr>
                <w:b/>
                <w:bCs/>
              </w:rPr>
              <w:t xml:space="preserve">0.647</w:t>
            </w:r>
          </w:p>
        </w:tc>
        <w:tc>
          <w:tcPr/>
          <w:p>
            <w:pPr>
              <w:pStyle w:val="Compact"/>
            </w:pPr>
            <w:r>
              <w:t xml:space="preserve">—</w:t>
            </w:r>
          </w:p>
        </w:tc>
        <w:tc>
          <w:tcPr/>
          <w:p>
            <w:pPr>
              <w:pStyle w:val="Compact"/>
            </w:pPr>
            <w:r>
              <w:rPr>
                <w:b/>
                <w:bCs/>
              </w:rPr>
              <w:t xml:space="preserve">0.146</w:t>
            </w:r>
          </w:p>
        </w:tc>
      </w:tr>
    </w:tbl>
    <w:p>
      <w:pPr>
        <w:pStyle w:val="BodyText"/>
      </w:pPr>
      <w:r>
        <w:t xml:space="preserve">Paired-bootstrap formal significance for the AUC drop (Section 2.5.2; Supplementary Table S10): significant (95% CI on Δ excludes 0) for Ling 2020 (both models), Zhu 2022 (both models), and Kazakhstan LogReg; not significant at this sample size for Zhuang 2018 (both models) or Kazakhstan LGBM, despite all eight pairs showing the same-signed drop.</w:t>
      </w:r>
    </w:p>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7"/>
    <w:bookmarkStart w:id="28"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p=0.0001, 9,999 permutations; Figure 4A). On Bray-Curtis dissimilarity, the cohort R² was 0.136 (F=19.80, p=0.0001). The cohort effect was substantially larger than disease signal: in a marginal two-variable model restricted to the four labeled cohorts (n=401), cohort (marginal) explained R²=0.172 (F=28.03, p=0.0001) versus diagnosis (marginal) R²=0.014 (F=6.82, p=0.0001)—an approximately 12-fold disparity within the same model. This is an empirical statement about the relative magnitude of cohort- versus diagnosis-associated compositional heterogeneity in these data, not a decomposition of cohort into technical and biological components:</w:t>
      </w:r>
      <w:r>
        <w:t xml:space="preserve"> </w:t>
      </w:r>
      <w:r>
        <w:t xml:space="preserve">“cohort”</w:t>
      </w:r>
      <w:r>
        <w:t xml:space="preserve"> </w:t>
      </w:r>
      <w:r>
        <w:t xml:space="preserve">is a composite study-of-origin variable bundling sequencing platform, library preparation, recruitment site, diagnostic ascertainment, and unmeasured dietary/lifestyle factors, and PERMANOVA cannot separate these bundled sources (Section 2.6). It provides context for interpreting the batch-correction results in Section 3.5, but PERMANOVA marginal R² values do not by themselves establish that the cohort and diagnosis axes of variation overlap, nor do they explain why any particular batch-correction algorithm changed classifier performance in a specific direction; that relationship is discussed as a separate, more limited hypothesis in Section 4.2.</w:t>
      </w:r>
    </w:p>
    <w:p>
      <w:pPr>
        <w:pStyle w:val="BodyText"/>
      </w:pPr>
      <w:r>
        <w:rPr>
          <w:b/>
          <w:bCs/>
        </w:rPr>
        <w:t xml:space="preserve">The ~12-fold disparity is sensitive to cohort composition and should not be read as a fixed, generalizable figure.</w:t>
      </w:r>
      <w:r>
        <w:t xml:space="preserve"> </w:t>
      </w:r>
      <w:r>
        <w:t xml:space="preserve">Restricting the same marginal PERMANOVA specification to the three cohorts that are more technically comparable to one another — Zhuang 2018, Ling 2020, and Zhu 2022, all Chinese, paired-end MiSeq V3–V4 studies (Section 2.6) — reduced the disparity from approximately 12-fold to approximately 2.6-fold: cohort (marginal) R²=0.0588 (F=10.05, p=0.0001) versus diagnosis (marginal) R²=0.0229 (F=7.83, p=0.0001) in this n=317 subset (Supplementary Table S11). This subset is more technically comparable, not technically identical — recruitment site, exact diagnostic procedure, and unmeasured dietary factors still differ across these three studies — but removing Kazakhstan’s single-end/NovaSeq platform and Kim/KBASE’s separate country substantially changes the cohort-to-diagnosis variance ratio. We conclude that the ~12-fold figure computed on the full four-cohort set is not a stable, generalizable property of</w:t>
      </w:r>
      <w:r>
        <w:t xml:space="preserve"> </w:t>
      </w:r>
      <w:r>
        <w:t xml:space="preserve">“cohort effects versus disease effects”</w:t>
      </w:r>
      <w:r>
        <w:t xml:space="preserve"> </w:t>
      </w:r>
      <w:r>
        <w:t xml:space="preserve">in gut microbiome data; it is specific to the particular set of cohorts compared, and is driven substantially by the inclusion of cohorts that differ from one another in more than country of origin.</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Cohort membership is thus near-perfectly recoverable from the same features used for disease classification, confirming that cohort-specific information (whatever its technical or biological composition)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that the PERMANOVA R² of 0.193 reflects both compositional centroid shifts and differences in within-cohort spread. Kazakhstan showed the greatest within-cohort variance, while the Chinese cohorts (Zhuang, Ling) were more tightly dispersed. Pairwise post-hoc betadisper comparisons (Section 2.6; Supplementary Table S12) show this overall dispersion difference is not uniform across all cohort pairs: Ling 2020 differs significantly in dispersion from every other cohort (all Holm-adjusted p≤0.0063), and is the single cohort driving most of the significant pairwise comparisons, while shanghai2022 (Zhu 2022) vs. zhuang2018 (Holm p=0.439) and kazakhstan2022 vs. kbase2022 (Holm p=0.439) are not significantly different from one another in dispersion. Within the Chinese-MiSeq-only subset described above, dispersion remained significant (F=7.946, p=0.0004) and was again driven mainly by one cohort — zhuang2018 differed significantly from both ling2020 (p=0.0001) and shanghai2022 (p=0.026), while ling2020 and shanghai2022 did not differ significantly from each other (p=0.343). This dispersion heterogeneity is relevant to interpreting PERMANOVA effect sizes and is acknowledged in the Methods and Limitations sections.</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detectable diagnosis-associated compositional difference in this dataset.</w:t>
      </w:r>
    </w:p>
    <w:bookmarkEnd w:id="28"/>
    <w:bookmarkStart w:id="29" w:name="X07dd72aa9093721da33911c108bd45584760d57"/>
    <w:p>
      <w:pPr>
        <w:pStyle w:val="Heading3"/>
      </w:pPr>
      <w:r>
        <w:t xml:space="preserve">3.5 Batch Correction Does Not Recover Cross-Cohort Generalization</w:t>
      </w:r>
    </w:p>
    <w:p>
      <w:pPr>
        <w:pStyle w:val="FirstParagraph"/>
      </w:pPr>
      <w:r>
        <w:t xml:space="preserve">Batch correction was applied using ComBat-seq (on raw counts) and MMUPHin (on relative abundances) to the four labeled cohorts with cohort as the batch variable, under the two designs described in Section 2.7: a</w:t>
      </w:r>
      <w:r>
        <w:t xml:space="preserve"> </w:t>
      </w:r>
      <w:r>
        <w:rPr>
          <w:b/>
          <w:bCs/>
        </w:rPr>
        <w:t xml:space="preserve">label-blind</w:t>
      </w:r>
      <w:r>
        <w:t xml:space="preserve"> </w:t>
      </w:r>
      <w:r>
        <w:t xml:space="preserve">design (no diagnosis information used during correction; primary analysis) and a</w:t>
      </w:r>
      <w:r>
        <w:t xml:space="preserve"> </w:t>
      </w:r>
      <w:r>
        <w:rPr>
          <w:b/>
          <w:bCs/>
        </w:rPr>
        <w:t xml:space="preserve">label-informed</w:t>
      </w:r>
      <w:r>
        <w:t xml:space="preserve"> </w:t>
      </w:r>
      <w:r>
        <w:t xml:space="preserve">design (each sample’s own true diagnosis label used during correction; exploratory/oracle-style sensitivity only) (Figure 5; Table 4).</w:t>
      </w:r>
    </w:p>
    <w:p>
      <w:pPr>
        <w:pStyle w:val="BodyText"/>
      </w:pPr>
      <w:r>
        <w:rPr>
          <w:b/>
          <w:bCs/>
        </w:rPr>
        <w:t xml:space="preserve">Table 4.</w:t>
      </w:r>
      <w:r>
        <w:t xml:space="preserve"> </w:t>
      </w:r>
      <w:r>
        <w:t xml:space="preserve">Mean LOCO AUC across four cohorts, by correction design and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Design</w:t>
            </w:r>
          </w:p>
        </w:tc>
        <w:tc>
          <w:tcPr/>
          <w:p>
            <w:pPr>
              <w:pStyle w:val="Compact"/>
            </w:pPr>
            <w:r>
              <w:t xml:space="preserve">Method</w:t>
            </w:r>
          </w:p>
        </w:tc>
        <w:tc>
          <w:tcPr/>
          <w:p>
            <w:pPr>
              <w:pStyle w:val="Compact"/>
            </w:pPr>
            <w:r>
              <w:t xml:space="preserve">LogReg Mean LOCO AUC</w:t>
            </w:r>
          </w:p>
        </w:tc>
        <w:tc>
          <w:tcPr/>
          <w:p>
            <w:pPr>
              <w:pStyle w:val="Compact"/>
            </w:pPr>
            <w:r>
              <w:t xml:space="preserve">LogReg Mean Drop from Within-Cohort</w:t>
            </w:r>
          </w:p>
        </w:tc>
        <w:tc>
          <w:tcPr/>
          <w:p>
            <w:pPr>
              <w:pStyle w:val="Compact"/>
            </w:pPr>
            <w:r>
              <w:t xml:space="preserve">LGBM Mean LOCO AUC</w:t>
            </w:r>
          </w:p>
        </w:tc>
        <w:tc>
          <w:tcPr/>
          <w:p>
            <w:pPr>
              <w:pStyle w:val="Compact"/>
            </w:pPr>
            <w:r>
              <w:t xml:space="preserve">LGBM Mean Drop</w:t>
            </w:r>
          </w:p>
        </w:tc>
      </w:tr>
      <w:tr>
        <w:tc>
          <w:tcPr/>
          <w:p>
            <w:pPr>
              <w:pStyle w:val="Compact"/>
            </w:pPr>
            <w:r>
              <w:t xml:space="preserve">—</w:t>
            </w:r>
          </w:p>
        </w:tc>
        <w:tc>
          <w:tcPr/>
          <w:p>
            <w:pPr>
              <w:pStyle w:val="Compact"/>
            </w:pPr>
            <w:r>
              <w:t xml:space="preserve">Uncorrected</w:t>
            </w:r>
          </w:p>
        </w:tc>
        <w:tc>
          <w:tcPr/>
          <w:p>
            <w:pPr>
              <w:pStyle w:val="Compact"/>
            </w:pPr>
            <w:r>
              <w:t xml:space="preserve">0.640</w:t>
            </w:r>
          </w:p>
        </w:tc>
        <w:tc>
          <w:tcPr/>
          <w:p>
            <w:pPr>
              <w:pStyle w:val="Compact"/>
            </w:pPr>
            <w:r>
              <w:t xml:space="preserve">0.176</w:t>
            </w:r>
          </w:p>
        </w:tc>
        <w:tc>
          <w:tcPr/>
          <w:p>
            <w:pPr>
              <w:pStyle w:val="Compact"/>
            </w:pPr>
            <w:r>
              <w:t xml:space="preserve">0.647</w:t>
            </w:r>
          </w:p>
        </w:tc>
        <w:tc>
          <w:tcPr/>
          <w:p>
            <w:pPr>
              <w:pStyle w:val="Compact"/>
            </w:pPr>
            <w:r>
              <w:t xml:space="preserve">0.146</w:t>
            </w:r>
          </w:p>
        </w:tc>
      </w:tr>
      <w:tr>
        <w:tc>
          <w:tcPr/>
          <w:p>
            <w:pPr>
              <w:pStyle w:val="Compact"/>
            </w:pPr>
            <w:r>
              <w:t xml:space="preserve">Label-blind (primary)</w:t>
            </w:r>
          </w:p>
        </w:tc>
        <w:tc>
          <w:tcPr/>
          <w:p>
            <w:pPr>
              <w:pStyle w:val="Compact"/>
            </w:pPr>
            <w:r>
              <w:t xml:space="preserve">ComBat-seq</w:t>
            </w:r>
          </w:p>
        </w:tc>
        <w:tc>
          <w:tcPr/>
          <w:p>
            <w:pPr>
              <w:pStyle w:val="Compact"/>
            </w:pPr>
            <w:r>
              <w:t xml:space="preserve">0.634</w:t>
            </w:r>
          </w:p>
        </w:tc>
        <w:tc>
          <w:tcPr/>
          <w:p>
            <w:pPr>
              <w:pStyle w:val="Compact"/>
            </w:pPr>
            <w:r>
              <w:t xml:space="preserve">0.182</w:t>
            </w:r>
          </w:p>
        </w:tc>
        <w:tc>
          <w:tcPr/>
          <w:p>
            <w:pPr>
              <w:pStyle w:val="Compact"/>
            </w:pPr>
            <w:r>
              <w:t xml:space="preserve">0.654</w:t>
            </w:r>
          </w:p>
        </w:tc>
        <w:tc>
          <w:tcPr/>
          <w:p>
            <w:pPr>
              <w:pStyle w:val="Compact"/>
            </w:pPr>
            <w:r>
              <w:t xml:space="preserve">0.139</w:t>
            </w:r>
          </w:p>
        </w:tc>
      </w:tr>
      <w:tr>
        <w:tc>
          <w:tcPr/>
          <w:p>
            <w:pPr>
              <w:pStyle w:val="Compact"/>
            </w:pPr>
            <w:r>
              <w:t xml:space="preserve">Label-blind (primary)</w:t>
            </w:r>
          </w:p>
        </w:tc>
        <w:tc>
          <w:tcPr/>
          <w:p>
            <w:pPr>
              <w:pStyle w:val="Compact"/>
            </w:pPr>
            <w:r>
              <w:t xml:space="preserve">MMUPHin</w:t>
            </w:r>
          </w:p>
        </w:tc>
        <w:tc>
          <w:tcPr/>
          <w:p>
            <w:pPr>
              <w:pStyle w:val="Compact"/>
            </w:pPr>
            <w:r>
              <w:t xml:space="preserve">0.639</w:t>
            </w:r>
          </w:p>
        </w:tc>
        <w:tc>
          <w:tcPr/>
          <w:p>
            <w:pPr>
              <w:pStyle w:val="Compact"/>
            </w:pPr>
            <w:r>
              <w:t xml:space="preserve">0.176</w:t>
            </w:r>
          </w:p>
        </w:tc>
        <w:tc>
          <w:tcPr/>
          <w:p>
            <w:pPr>
              <w:pStyle w:val="Compact"/>
            </w:pPr>
            <w:r>
              <w:t xml:space="preserve">0.648</w:t>
            </w:r>
          </w:p>
        </w:tc>
        <w:tc>
          <w:tcPr/>
          <w:p>
            <w:pPr>
              <w:pStyle w:val="Compact"/>
            </w:pPr>
            <w:r>
              <w:t xml:space="preserve">0.145</w:t>
            </w:r>
          </w:p>
        </w:tc>
      </w:tr>
      <w:tr>
        <w:tc>
          <w:tcPr/>
          <w:p>
            <w:pPr>
              <w:pStyle w:val="Compact"/>
            </w:pPr>
            <w:r>
              <w:t xml:space="preserve">Label-informed (exploratory)</w:t>
            </w:r>
          </w:p>
        </w:tc>
        <w:tc>
          <w:tcPr/>
          <w:p>
            <w:pPr>
              <w:pStyle w:val="Compact"/>
            </w:pPr>
            <w:r>
              <w:t xml:space="preserve">ComBat-seq</w:t>
            </w:r>
          </w:p>
        </w:tc>
        <w:tc>
          <w:tcPr/>
          <w:p>
            <w:pPr>
              <w:pStyle w:val="Compact"/>
            </w:pPr>
            <w:r>
              <w:t xml:space="preserve">0.493</w:t>
            </w:r>
          </w:p>
        </w:tc>
        <w:tc>
          <w:tcPr/>
          <w:p>
            <w:pPr>
              <w:pStyle w:val="Compact"/>
            </w:pPr>
            <w:r>
              <w:t xml:space="preserve">0.322</w:t>
            </w:r>
          </w:p>
        </w:tc>
        <w:tc>
          <w:tcPr/>
          <w:p>
            <w:pPr>
              <w:pStyle w:val="Compact"/>
            </w:pPr>
            <w:r>
              <w:t xml:space="preserve">0.555</w:t>
            </w:r>
          </w:p>
        </w:tc>
        <w:tc>
          <w:tcPr/>
          <w:p>
            <w:pPr>
              <w:pStyle w:val="Compact"/>
            </w:pPr>
            <w:r>
              <w:t xml:space="preserve">0.238</w:t>
            </w:r>
          </w:p>
        </w:tc>
      </w:tr>
      <w:tr>
        <w:tc>
          <w:tcPr/>
          <w:p>
            <w:pPr>
              <w:pStyle w:val="Compact"/>
            </w:pPr>
            <w:r>
              <w:t xml:space="preserve">Label-informed (exploratory)</w:t>
            </w:r>
          </w:p>
        </w:tc>
        <w:tc>
          <w:tcPr/>
          <w:p>
            <w:pPr>
              <w:pStyle w:val="Compact"/>
            </w:pPr>
            <w:r>
              <w:t xml:space="preserve">MMUPHin</w:t>
            </w:r>
          </w:p>
        </w:tc>
        <w:tc>
          <w:tcPr/>
          <w:p>
            <w:pPr>
              <w:pStyle w:val="Compact"/>
            </w:pPr>
            <w:r>
              <w:t xml:space="preserve">0.612</w:t>
            </w:r>
          </w:p>
        </w:tc>
        <w:tc>
          <w:tcPr/>
          <w:p>
            <w:pPr>
              <w:pStyle w:val="Compact"/>
            </w:pPr>
            <w:r>
              <w:t xml:space="preserve">0.203</w:t>
            </w:r>
          </w:p>
        </w:tc>
        <w:tc>
          <w:tcPr/>
          <w:p>
            <w:pPr>
              <w:pStyle w:val="Compact"/>
            </w:pPr>
            <w:r>
              <w:t xml:space="preserve">0.582</w:t>
            </w:r>
          </w:p>
        </w:tc>
        <w:tc>
          <w:tcPr/>
          <w:p>
            <w:pPr>
              <w:pStyle w:val="Compact"/>
            </w:pPr>
            <w:r>
              <w:t xml:space="preserve">0.210</w:t>
            </w:r>
          </w:p>
        </w:tc>
      </w:tr>
    </w:tbl>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the design that does not use any sample’s diagnosis label — mean LOCO AUC changed by no more than 0.007 in either direction relative to uncorrected, for either model (Table 4). No individual cohort collapsed: per-cohort logistic-regression LOCO AUC under label-blind ComBat-seq ranged from 0.525 (zhuang2018) to 0.769 (shanghai2022/Zhu 2022), closely tracking the uncorrected values (0.504–0.813) rather than diverging sharply from them.</w:t>
      </w:r>
      <w:r>
        <w:t xml:space="preserve"> </w:t>
      </w:r>
      <w:r>
        <w:rPr>
          <w:b/>
          <w:bCs/>
        </w:rPr>
        <w:t xml:space="preserve">Batch correction, evaluated under a design that cannot see the answer it is being asked to help predict, neither improves nor substantially worsens cross-cohort transferability in this dataset — it is simply ineffective at recovering it.</w:t>
      </w:r>
    </w:p>
    <w:p>
      <w:pPr>
        <w:pStyle w:val="BodyText"/>
      </w:pPr>
      <w:r>
        <w:rPr>
          <w:b/>
          <w:bCs/>
        </w:rPr>
        <w:t xml:space="preserve">Label-informed correction (exploratory/oracle-style sensitivity; Supplementary Figure S5): severe degradation under this design is largely an artifact of using target labels during correction, not evidence about batch correction’s effect on biological signal.</w:t>
      </w:r>
      <w:r>
        <w:t xml:space="preserve"> </w:t>
      </w:r>
      <w:r>
        <w:t xml:space="preserve">Under the label-informed design — which uses every sample’s own true diagnosis label during correction and therefore cannot represent a deployable or prospectively valid comparison — ComBat-seq reduced mean logistic-regression LOCO AUC from 0.640 to 0.493, with the Kazakhstan cohort collapsing to AUC=0.308 [0.20–0.42]. The same cohort under label-blind ComBat-seq scored 0.560, closely matching its uncorrected value (0.564). This side-by-side comparison indicates that the severe, cohort-specific collapse under the label-informed design was driven substantially by the design itself — most likely because a global correction model that is explicitly told each sample’s own diagnosis label (via</w:t>
      </w:r>
      <w:r>
        <w:t xml:space="preserve"> </w:t>
      </w:r>
      <w:r>
        <w:rPr>
          <w:rStyle w:val="VerbatimChar"/>
        </w:rPr>
        <w:t xml:space="preserve">full_mod=TRUE</w:t>
      </w:r>
      <w:r>
        <w:t xml:space="preserve">/</w:t>
      </w:r>
      <w:r>
        <w:rPr>
          <w:rStyle w:val="VerbatimChar"/>
        </w:rPr>
        <w:t xml:space="preserve">covariates="diagnosis"</w:t>
      </w:r>
      <w:r>
        <w:t xml:space="preserve">) constructs a label-conditional transformation that does not correspond to any transformation a genuinely prospective classifier could apply, rather than by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which provides a comparison free of diagnosis-label leakage during correction, because the label-blind correction never saw any sample’s diagnosis label. This comparison is not free of other confounding, however — it remains transductive (cohort membership and raw feature values are still used during correction) and retains whatever cohort/population confounding is otherwise present in the dataset.</w:t>
      </w:r>
      <w:r>
        <w:t xml:space="preserve"> </w:t>
      </w:r>
      <w:r>
        <w:rPr>
          <w:b/>
          <w:bCs/>
        </w:rPr>
        <w:t xml:space="preserve">We do not draw the same conclusion from within-cohort AUC on label-informed-corrected data — that comparison is additionally confounded by label use</w:t>
      </w:r>
      <w:r>
        <w:t xml:space="preserve">, because the label-informed correction’s own covariate-preservation mechanism (</w:t>
      </w:r>
      <w:r>
        <w:rPr>
          <w:rStyle w:val="VerbatimChar"/>
        </w:rPr>
        <w:t xml:space="preserve">full_mod=TRUE</w:t>
      </w:r>
      <w:r>
        <w:t xml:space="preserve"> </w:t>
      </w:r>
      <w:r>
        <w:t xml:space="preserve">for ComBat-seq;</w:t>
      </w:r>
      <w:r>
        <w:t xml:space="preserve"> </w:t>
      </w:r>
      <w:r>
        <w:rPr>
          <w:rStyle w:val="VerbatimChar"/>
        </w:rPr>
        <w:t xml:space="preserve">covariates="diagnosis"</w:t>
      </w:r>
      <w:r>
        <w:t xml:space="preserve"> </w:t>
      </w:r>
      <w:r>
        <w:t xml:space="preserve">for MMUPHin) is explicitly designed to retain diagnosis-associated structure using every sample’s own true label; any preserved within-cohort separability under that design cannot be attributed to correction-independent biological signal versus the correction algorithm’s own label-preservation step. Concluding that</w:t>
      </w:r>
      <w:r>
        <w:t xml:space="preserve"> </w:t>
      </w:r>
      <w:r>
        <w:t xml:space="preserve">“within-cohort AUC preservation rules out indiscriminate signal removal”</w:t>
      </w:r>
      <w:r>
        <w:t xml:space="preserve"> </w:t>
      </w:r>
      <w:r>
        <w:t xml:space="preserve">requires a comparison free of diagnosis-label leakage during correction, which only the label-blind design provides; the label-blind within-cohort comparison supports this conclusion descriptively (Supplementary Table S5), without establishing it as strong biological evidence beyond the observed AUC values themselves, and we do not extend this conclusion to the label-informed results.</w:t>
      </w:r>
    </w:p>
    <w:p>
      <w:pPr>
        <w:pStyle w:val="BodyText"/>
      </w:pPr>
      <w:r>
        <w:t xml:space="preserve">The empirical PERMANOVA finding that cohort explains approximately 12 times more compositional variance than disease status (marginal R²: 0.172 vs. 0.014; Section 3.4) provides context for why a correction method targeting cohort-associated variance might struggle to leave disease-associated variance fully intact, but it does not, by itself, establish that the two sources of variation overlap, nor does it explain the specific pattern observed here — namely that a properly label-blind correction left performance essentially flat while a label-informed one produced large, method- and cohort-specific movements. That specific pattern is more directly explained by the transductive, label-informed design itself (Section 2.7) than by the general cohort/diagnosis variance disparity, and we present it as such rather than as a demonstration that linear batch correction</w:t>
      </w:r>
      <w:r>
        <w:t xml:space="preserve"> </w:t>
      </w:r>
      <w:r>
        <w:t xml:space="preserve">“cannot”</w:t>
      </w:r>
      <w:r>
        <w:t xml:space="preserve"> </w:t>
      </w:r>
      <w:r>
        <w:t xml:space="preserve">separate cohort from disease signal in general.</w:t>
      </w:r>
    </w:p>
    <w:bookmarkEnd w:id="29"/>
    <w:bookmarkStart w:id="30"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the feature-level patterns underlying generalization failure, we computed out-of-fold SHAP values for within-cohort classifiers and LOCO-trained classifiers (Figure 6). Using an OOF design avoids the in-sample overfitting bias identified in prior SHAP analyses of microbiome classifiers, where training-set SHAP values can reflect model memorization rather than the model’s out-of-sample feature importance. Feature importance (mean |SHAP|) is reported for both models; direction is reported only for logistic regression, using the fitted-coefficient-based definition in Section 2.8 (not mean signed SHAP).</w:t>
      </w:r>
    </w:p>
    <w:p>
      <w:pPr>
        <w:pStyle w:val="BodyText"/>
      </w:pPr>
      <w:r>
        <w:rPr>
          <w:b/>
          <w:bCs/>
        </w:rPr>
        <w:t xml:space="preserve">Minimal overlap in top predictive taxa across cohorts, assessed against two null models.</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the primary, shared-pool null distribution constructed to match this statistic exactly (100,000 replicates, each averaging the six pairwise Jaccards among four random top-20 sets drawn from the full 396-genus pool; Section 2.8), logistic regression overlap was significantly above chance (null mean 0.027 [95% CI: 0.009–0.049]; p&lt;0.0001), and LightGBM overlap was also significantly above chance at this N (p=0.0048). A sensitivity check across N∈{10,20,50} under this same shared-pool null (Supplementary Table S7) shows logistic regression significant at all three thresholds, while LightGBM was significant at N=20 and N=50 but not at N=10 (p=0.45).</w:t>
      </w:r>
    </w:p>
    <w:p>
      <w:pPr>
        <w:pStyle w:val="BodyText"/>
      </w:pPr>
      <w:r>
        <w:rPr>
          <w:b/>
          <w:bCs/>
        </w:rPr>
        <w:t xml:space="preserve">Under a more realistic, per-cohort prevalence-restricted null, the LightGBM finding does not survive.</w:t>
      </w:r>
      <w:r>
        <w:t xml:space="preserve"> </w:t>
      </w:r>
      <w:r>
        <w:t xml:space="preserve">The shared-pool null draws candidate genera as if every genus were equally available in every cohort, but per-cohort prevalence varies substantially (Section 2.8). Restricting each cohort’s top-N ranking and random draws to genera reaching ≥20% prevalence within that cohort’s own AD/CN samples (eligible universe sizes: 131 for Zhuang 2018, 126 for Ling 2020, 115 for Zhu 2022, 356 for Kazakhstan; 100,000 replicates per model/N) changes the LightGBM result: LightGBM overlap was</w:t>
      </w:r>
      <w:r>
        <w:t xml:space="preserve"> </w:t>
      </w:r>
      <w:r>
        <w:rPr>
          <w:b/>
          <w:bCs/>
        </w:rPr>
        <w:t xml:space="preserve">not significant at any of N=10, 20, or 50</w:t>
      </w:r>
      <w:r>
        <w:t xml:space="preserve"> </w:t>
      </w:r>
      <w:r>
        <w:t xml:space="preserve">under this prevalence-restricted null (observed mean Jaccard 0.018/0.063/0.167 vs. null mean 0.026/0.052/0.142; empirical p=0.80, 0.24, 0.061 respectively; Supplementary Table S13). Logistic regression remained significant at all three thresholds under the prevalence-restricted null (observed 0.085/0.135/0.231 vs. null mean 0.026/0.052/0.142; p=0.0017, 0.00003, 0.00001). We treat this as a genuine reversal rather than a discrepancy to be explained away: LightGBM’s cross-cohort top-predictor overlap, which appeared to be a real if small signal under the shared-pool null, is not distinguishable from chance once the null model accounts for each cohort’s own genus-prevalence structure. Logistic regression’s overlap is robust to this change and remains the stronger and more reliable cross-cohort taxonomic-overlap finding of the two models.</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was the top predictor in the remaining three cohorts (Zhu 2022 |SHAP|=0.228; Kazakhstan |SHAP|=0.136; Ling 2020 |SHAP|=0.270). Under the fitted model’s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 of 10 outer folds positive in every cohort; Supplementary Table S6) — higher CLR abundance consistently predicts higher AD log-odds under the fitted model, with no coefficient-based flip anywhere. This is a useful negative control for the direction-definition problem itself: the pooled mean SHAP value for this same genus is negative in Ling 2020 and Zhuang 2018 but positive in Zhu 2022 and Kazakhstan — an apparent sign difference that does</w:t>
      </w:r>
      <w:r>
        <w:t xml:space="preserve"> </w:t>
      </w:r>
      <w:r>
        <w:rPr>
          <w:b/>
          <w:bCs/>
        </w:rPr>
        <w:t xml:space="preserve">not</w:t>
      </w:r>
      <w:r>
        <w:t xml:space="preserve"> </w:t>
      </w:r>
      <w:r>
        <w:t xml:space="preserve">reflect the coefficient the model actually learned, and is instead a background-relative artifact of the kind described in Section 2.8. We report this discrepancy explicitly because it demonstrates, on real data from this study, why mean signed SHAP was not an adequate direction statistic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LightGBM values (Section 2.8).</w:t>
      </w:r>
    </w:p>
    <w:p>
      <w:pPr>
        <w:pStyle w:val="BodyText"/>
      </w:pPr>
      <w:r>
        <w:rPr>
          <w:b/>
          <w:bCs/>
        </w:rPr>
        <w:t xml:space="preserve">Coefficient-sign stability screen (logistic regression only).</w:t>
      </w:r>
      <w:r>
        <w:t xml:space="preserve"> </w:t>
      </w:r>
      <w:r>
        <w:t xml:space="preserve">Using the pre-specified coefficient-stability criterion (Section 2.8: a stable positive coefficient sign in ≥8 of 10 outer folds in at least one cohort, and a stable negative coefficient sign in ≥8 of 10 outer folds in at least one other cohort,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describe this deliberately as a descriptive screen rather than a statistically confirmed set of contradictions: the 10 outer-CV folds share substantially overlapping training sets (each fold’s training data is 9/10 of the same cohort), so fold-level coefficient signs are not 10 independent replications, and no multiplicity-adjusted p-value is assigned to any individual taxon (Section 2.8, Limitations). This is a smaller and more conservative set than a less rigorous alternative approach that classifies any genus with opposite-signed pooled mean SHAP across two cohorts as a</w:t>
      </w:r>
      <w:r>
        <w:t xml:space="preserve"> </w:t>
      </w:r>
      <w:r>
        <w:t xml:space="preserve">“flip”</w:t>
      </w:r>
      <w:r>
        <w:t xml:space="preserve"> </w:t>
      </w:r>
      <w:r>
        <w:t xml:space="preserve">— an approach that, applied to this dataset, would identify twelve such genera; the stability requirement removes genera whose apparent flip is not reproducible across most of a cohort’s own outer folds.</w:t>
      </w:r>
      <w:r>
        <w:t xml:space="preserve"> </w:t>
      </w:r>
      <w:r>
        <w:rPr>
          <w:b/>
          <w:bCs/>
        </w:rPr>
        <w:t xml:space="preserve">No comparable screen is applied to LightGBM</w:t>
      </w:r>
      <w:r>
        <w:t xml:space="preserve">: a tree ensemble has no single coefficient-like, globally monotonic direction, and LightGBM’s SHAP–feature relationships may be nonlinear or non-monotonic, so no scalar direction statistic — descriptive or otherwise — is computed or reported for it.</w:t>
      </w:r>
    </w:p>
    <w:p>
      <w:pPr>
        <w:pStyle w:val="BodyText"/>
      </w:pPr>
      <w:r>
        <w:rPr>
          <w:i/>
          <w:iCs/>
        </w:rPr>
        <w:t xml:space="preserve">Romboutsia</w:t>
      </w:r>
      <w:r>
        <w:t xml:space="preserve"> </w:t>
      </w:r>
      <w:r>
        <w:t xml:space="preserve">shows the cleanest cohort-level pattern among the eight taxa meeting the screen: a stable negative coefficient (higher relative abundance predicts lower AD log-odds under the fitted model) in all three Chinese cohorts and a stable positive coefficient in Kazakhstan (9/10 folds; Supplementary Table S6) — the one genus among the eight whose pattern cleanly separates by country in this dataset. We do not have a specific mechanistic hypothesis for</w:t>
      </w:r>
      <w:r>
        <w:t xml:space="preserve"> </w:t>
      </w:r>
      <w:r>
        <w:rPr>
          <w:i/>
          <w:iCs/>
        </w:rPr>
        <w:t xml:space="preserve">Romboutsia</w:t>
      </w:r>
      <w:r>
        <w:t xml:space="preserve">.</w:t>
      </w:r>
    </w:p>
    <w:p>
      <w:pPr>
        <w:pStyle w:val="BodyText"/>
      </w:pPr>
      <w:r>
        <w:rPr>
          <w:i/>
          <w:iCs/>
        </w:rPr>
        <w:t xml:space="preserve">Lactobacillus</w:t>
      </w:r>
      <w:r>
        <w:t xml:space="preserve"> </w:t>
      </w:r>
      <w:r>
        <w:t xml:space="preserve">also meets the screen but its per-cohort pattern is messier: stable-negative in Zhuang 2018 only, and stable-positive in the other three cohorts (Ling 2020, Zhu 2022, Kazakhstan; Supplementary Table S6). Diet is one plausible unmeasured confounder for genus-level differences of this kind, but this dataset contains no dietary covariate data, and we do not attribute this or any other taxon’s pattern to a specific mechanism.</w:t>
      </w:r>
    </w:p>
    <w:p>
      <w:pPr>
        <w:pStyle w:val="BodyText"/>
      </w:pPr>
      <w:r>
        <w:rPr>
          <w:i/>
          <w:iCs/>
        </w:rPr>
        <w:t xml:space="preserve">Akkermansia</w:t>
      </w:r>
      <w:r>
        <w:t xml:space="preserve"> </w:t>
      </w:r>
      <w:r>
        <w:t xml:space="preserve">does not meet the coefficient-stability screen at all: its fitted coefficient is stable and positive in all four cohorts (10/10 outer folds in every cohort; Supplementary Table S6), despite appearing to reverse sign under the pooled mean-SHAP statistic (above). This is the clearest illustration in this dataset of why coefficient-based, fold-stability-gated direction is necessary rather than a raw pooled-SHAP sign.</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held-out conditions. Consistent with Section 2.8, we do not assign an AD/CN direction to these LOCO SHAP values: the LOCO SHAP background (the three training cohorts) and evaluation set (the held-out cohort) are drawn from systematically different populations by construction, so the sign of a LOCO mean SHAP value is confounded with the raw cross-cohort compositional difference quantified by PERMANOVA (Section 3.4) rather than reflecting a stable, model-derived direction. The absence of a single top-importance genus across all four held-out cohorts is itself consistent with the classifier activating whichever genera most closely resemble its training-cohort signature rather than a disease marker that generalizes across populations.</w:t>
      </w:r>
    </w:p>
    <w:p>
      <w:r>
        <w:pict>
          <v:rect style="width:0;height:1.5pt" o:hralign="center" o:hrstd="t" o:hr="t"/>
        </w:pict>
      </w:r>
    </w:p>
    <w:bookmarkEnd w:id="30"/>
    <w:bookmarkEnd w:id="31"/>
    <w:bookmarkStart w:id="38" w:name="discussion"/>
    <w:p>
      <w:pPr>
        <w:pStyle w:val="Heading2"/>
      </w:pPr>
      <w:r>
        <w:t xml:space="preserve">4. Discussion</w:t>
      </w:r>
    </w:p>
    <w:bookmarkStart w:id="32"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limitations in gut microbiome-based AD classifiers. Across four labeled cohorts, two model types, two cross-cohort evaluation designs, and two batch correction methods, we consistently observe the same result: classifiers trained within one cohort do not transfer reliably to another. The mean LOCO AUC drop of 0.176 points for logistic regression and 0.146 for LightGBM, with one of eight model–cohort combinations near chance, demonstrates that within-cohort performance figures — whether from the original cohort publications or from this study’s own nested-CV estimates — cannot be taken as evidence of a generalizable diagnostic signal. A formal paired bootstrap test (Section 3.3) supports this drop for five of the eight cohort–model pairs at conventional significance; the remaining three pairs show the same directional pattern without reaching formal significance at this sample size, and we report this distinction rather than treating all eight as equally well-supported.</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A recent multi-cohort integration study (Wang et al., 2026, mSystems) similarly identified cross-geographic heterogeneity as a major obstacle; the present analysis complements that work by providing a systematic quantification of how severely within-cohort classifiers fail when applied to external populations, and by demonstrating that on average, neither method recovered cross-cohort transferability.</w:t>
      </w:r>
    </w:p>
    <w:bookmarkEnd w:id="32"/>
    <w:bookmarkStart w:id="33" w:name="Xa47da470aef9839ece143b4c55458caec0eec5c"/>
    <w:p>
      <w:pPr>
        <w:pStyle w:val="Heading3"/>
      </w:pPr>
      <w:r>
        <w:t xml:space="preserve">4.2 Batch Correction Does Not Recover Generalization, and the Reason Requires Separating an Empirical Result from a Hypothesis</w:t>
      </w:r>
    </w:p>
    <w:p>
      <w:pPr>
        <w:pStyle w:val="FirstParagraph"/>
      </w:pPr>
      <w:r>
        <w:t xml:space="preserve">Two distinct findings must be kept separate here.</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establishes that compositional space is overwhelmingly organized by cohort-of-origin. Separately and equally empirically: batch correction, evaluated under a label-blind design that cannot see any sample’s diagnosis label, left mean LOCO AUC essentially unchanged (within 0.007 AUC of uncorrected for both ComBat-seq and MMUPHin, both models; Section 3.5) — it neither recovered cross-cohort transferability nor substantially degraded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a known, controlled degree of cohort/diagnosis-axis overlap) capable of testing it in this dataset. We therefore present it as a hypothesis consistent with the observed pattern, not as a demonstrated mechanism, and we no longer state that batch correction</w:t>
      </w:r>
      <w:r>
        <w:t xml:space="preserve"> </w:t>
      </w:r>
      <w:r>
        <w:t xml:space="preserve">“cannot”</w:t>
      </w:r>
      <w:r>
        <w:t xml:space="preserve"> </w:t>
      </w:r>
      <w:r>
        <w:t xml:space="preserve">work in general or that this analysis proves cohort and disease axes overlap.</w:t>
      </w:r>
    </w:p>
    <w:p>
      <w:pPr>
        <w:pStyle w:val="BodyText"/>
      </w:pPr>
      <w:r>
        <w:t xml:space="preserve">Under the label-informed design, in which ComBat-seq and MMUPHin were both told every sample’s own true diagnosis label during a single joint fit across all four labeled cohorts (Section 2.7), ComBat-seq’s correction substantially worsened LOCO AUC (mean LogReg: 0.640→0.493, with one cohort collapsing to AUC=0.308). Repeating the identical comparison under a label-blind design — same cohorts, same raw features, same downstream LOCO classifiers, the only change being that no diagnosis label is supplied to the correction step — instead reproduces essentially flat LOCO AUC (Section 3.5, Table 4). This side-by-side comparison indicates that the severe degradation under the label-informed design is driven in large part by the design itself — most plausibly because a correction model explicitly told each sample’s diagnosis label constructs a label-conditional transformation with no prospective analog — rather than by an intrinsic incompatibility between ComBat-seq’s negative-binomial framework and 16S compositional data. We therefore do not attribute the label-informed collapse to a property of ComBat-seq’s modeling framework, and we retain the label-informed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more useful result for the field — is narrower than originally stated: under the label-blind transductive evaluation, two widely used batch-correction methods designed for other data types (RNA-seq counts; general microbiome meta-analysis) did not recover cross-cohort transferability for AD classification in this dataset. This is a demonstration of ineffectiveness at the specific task of restoring cross-cohort generalization, not a demonstration that these methods actively destroy signal, nor an explanation of the underlying compositional-geometry reason such correction is difficult. The field may still need fundamentally different approaches — multi-cohort training with cohort as an explicit stratification variable, domain adaptation methods, or meta-analytic frameworks that explicitly model between-cohort heterogeneity rather than attempting to remove it — but we no longer claim to have shown mechanistically why standard correction fails, only that it does not succeed under the conditions tested here.</w:t>
      </w:r>
    </w:p>
    <w:bookmarkEnd w:id="33"/>
    <w:bookmarkStart w:id="34"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Zhu 2022 showed the largest detectable diagnosis-associated compositional effect (R²=0.094, F=6.01, p=0.0001) of the four labeled cohorts, but an AUC of 0.998 likely still reflects optimistic estimation at this sample size.</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compartment-discrimination signal that would have characterized the original mixed dataset. We recommend that future AD microbiome studies report sample types explicitly and analyze each compartment independently before pooling.</w:t>
      </w:r>
    </w:p>
    <w:bookmarkEnd w:id="34"/>
    <w:bookmarkStart w:id="35" w:name="Xcbd54829c1c3e93a275d7b4d9ead5b5ecf73f04"/>
    <w:p>
      <w:pPr>
        <w:pStyle w:val="Heading3"/>
      </w:pPr>
      <w:r>
        <w:t xml:space="preserve">4.4 Coefficient-Sign Stability Screen: A Conservative, Descriptive View of Cross-Population Contradictions</w:t>
      </w:r>
    </w:p>
    <w:p>
      <w:pPr>
        <w:pStyle w:val="FirstParagraph"/>
      </w:pPr>
      <w:r>
        <w:t xml:space="preserve">Using a pre-specified coefficient-sign-stability criterion (≥8 of 10 outer folds agreeing in sign; Section 2.8), eight genera met this descriptive screen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a smaller, more conservative set than the meta-analytic literature’s qualitative suggestion that some taxa carry contradictory directions of effect in different populations might imply, and we present it descriptively rather than as a statistically confirmed set of contradictions: the 10 outer-CV folds share substantially overlapping training data (each fold’s training set is 9/10 of the same cohort), so fold-level coefficient signs are not independent replications in the formal statistical sense, and we do not assign multiplicity-adjusted p-values to individual taxa (Section 2.8, Limitations). A less conservative alternative approach — classifying a flip as any genus with opposite-signed</w:t>
      </w:r>
      <w:r>
        <w:t xml:space="preserve"> </w:t>
      </w:r>
      <w:r>
        <w:rPr>
          <w:i/>
          <w:iCs/>
        </w:rPr>
        <w:t xml:space="preserve">pooled mean SHAP</w:t>
      </w:r>
      <w:r>
        <w:t xml:space="preserve"> </w:t>
      </w:r>
      <w:r>
        <w:t xml:space="preserve">across two cohorts (a background-relative quantity, not the model’s coefficient; Section 2.8) — would identify twelve such genera for logistic regression and, using the same statistic, a further twelve for LightGBM. Requiring the direction to be reproducible across most of a cohort’s own outer folds, and grounding it in the fitted coefficient rather than a background-dependent SHAP quantity, is why this paper reports eight genera for logistic regression and none for LightGBM: a tree ensemble has no single coefficient-like global direction to test for stability in the first place (Section 2.8), so no LightGBM directional-flip count is reported anywhere in this paper.</w:t>
      </w:r>
    </w:p>
    <w:p>
      <w:pPr>
        <w:pStyle w:val="BodyText"/>
      </w:pPr>
      <w:r>
        <w:rPr>
          <w:i/>
          <w:iCs/>
        </w:rPr>
        <w:t xml:space="preserve">Romboutsia</w:t>
      </w:r>
      <w:r>
        <w:t xml:space="preserve"> </w:t>
      </w:r>
      <w:r>
        <w:t xml:space="preserve">shows the cleanest cohort-level pattern among the eight: a stable negative fitted coefficient in all three Chinese cohorts, and a stable positive coefficient in Kazakhstan; we offer no mechanistic hypothesis for this genus.</w:t>
      </w:r>
      <w:r>
        <w:t xml:space="preserve"> </w:t>
      </w:r>
      <w:r>
        <w:rPr>
          <w:i/>
          <w:iCs/>
        </w:rPr>
        <w:t xml:space="preserve">Lactobacillus</w:t>
      </w:r>
      <w:r>
        <w:t xml:space="preserve"> </w:t>
      </w:r>
      <w:r>
        <w:t xml:space="preserve">also meets the screen, but its per-cohort pattern (stable-negative in Zhuang 2018 only; stable-positive in the other three cohorts) does not cleanly separate by country. Diet is a plausible unmeasured confounder for genus-level cohort differences generally, but this dataset has no dietary covariate data, and we do not attribute any specific taxon’s pattern to diet or any other mechanism without such data.</w:t>
      </w:r>
    </w:p>
    <w:p>
      <w:pPr>
        <w:pStyle w:val="BodyText"/>
      </w:pPr>
      <w:r>
        <w:rPr>
          <w:i/>
          <w:iCs/>
        </w:rPr>
        <w:t xml:space="preserve">Akkermansia</w:t>
      </w:r>
      <w:r>
        <w:t xml:space="preserve"> </w:t>
      </w:r>
      <w:r>
        <w:t xml:space="preserve">illustrates why the coefficient-based, stability-gated definition matters: its pooled mean SHAP value appears to reverse sign between cohorts (Section 3.6), but its fitted logistic-regression coefficient is positive and stable (10 of 10 outer folds) in all four cohorts (Supplementary Table S6), meaning the model never learned an inconsistent direction for this genus; the apparent sign reversal is an artifact of the background-relative SHAP statistic, not a property of the fitted model.</w:t>
      </w:r>
    </w:p>
    <w:p>
      <w:pPr>
        <w:pStyle w:val="BodyText"/>
      </w:pPr>
      <w:r>
        <w:t xml:space="preserve">The critical implication of the eight taxa meeting this descriptive screen is that they may reflect biological population heterogeneity, technical study effects, or interactions between the two; the present design cannot disentangle these sources, nor does the screen itself establish that any individual taxon’s pattern exceeds what a non-independent, overlapping-fold coefficient estimate could show by chance. Standard batch correction methods, designed to remove technical batch effects, would not be expected to resolve directional disagreements to the extent that these differences are driven by population-level biological differences rather than technical artifacts alone — a point that is, if anything, reinforced by Section 4.2’s finding that label-blind batch correction left cross-cohort AUC essentially unchanged rather than recovering it.</w:t>
      </w:r>
    </w:p>
    <w:bookmarkEnd w:id="35"/>
    <w:bookmarkStart w:id="36"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cross-population clinical application in their current form. A classifier trained on a Chinese cohort and applied to a Kazakh patient population would perform at or below chance for logistic regression, and only modestly above chance even for LightGBM. These performance levels are clinically inadequate for any diagnostic application.</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6"/>
    <w:bookmarkStart w:id="37"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documented in Section 2.1 and Supplementary Note S1 identified five publicly available cohorts meeting inclusion criteria. The cohort set is not exhaustive of all existing AD microbiome studies, and the inclusion of additional cohorts from non-Asian populations would strengthen the conclusions. The comparability of diagnostic criteria across cohorts (clinical AD diagnosis vs. amyloid-PET positivity) adds biological heterogeneity that cannot be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The public archive contains 180 samples representing 90 participants, a subset of the 302 participants analyzed in the published study (PRJNA489760). The deposited subset may not be a random sample of the full study population, potentially introducing selection bias of unknown direction.</w:t>
      </w:r>
    </w:p>
    <w:p>
      <w:pPr>
        <w:pStyle w:val="BodyText"/>
      </w:pPr>
      <w:r>
        <w:rPr>
          <w:b/>
          <w:bCs/>
        </w:rPr>
        <w:t xml:space="preserve">Global genus-selection feature universe:</w:t>
      </w:r>
      <w:r>
        <w:t xml:space="preserve"> </w:t>
      </w:r>
      <w:r>
        <w:t xml:space="preserve">The 396-genus feature set (Section 2.2) was selected using ≥20% prevalence pooled across all five cohorts simultaneously, meaning the eventual held-out cohort in every LOCO/pairwise experiment contributed prevalence information to the feature universe. A dedicated training-only sensitivity analysis (Section 2.5.1, Section 3.3), run once under the same prespecified</w:t>
      </w:r>
      <w:r>
        <w:t xml:space="preserve"> </w:t>
      </w:r>
      <w:r>
        <w:rPr>
          <w:rStyle w:val="VerbatimChar"/>
        </w:rPr>
        <w:t xml:space="preserve">random_state=42</w:t>
      </w:r>
      <w:r>
        <w:t xml:space="preserve"> </w:t>
      </w:r>
      <w:r>
        <w:t xml:space="preserve">cross-validation partition used throughout this paper, re-derived genus selection independently within every split and found LOCO AUC changed by at most 0.066 — the qualitative generalization-failure conclusion is not an artifact of this design — but the global selection remains a methodological limitation in principle, and we recommend training-only feature selection as the default design for future cross-cohort microbiome classifier studies rather than a post hoc sensitivity check. Repeated cross-validation with multiple random seeds was not performed for this sensitivity analysis, so the 0.066 figure should be read as a single-partition estimate rather than one adjusted for ordinary fold-assignment variability.</w:t>
      </w:r>
    </w:p>
    <w:p>
      <w:pPr>
        <w:pStyle w:val="BodyText"/>
      </w:pPr>
      <w:r>
        <w:rPr>
          <w:b/>
          <w:bCs/>
        </w:rPr>
        <w:t xml:space="preserve">PERMANOVA cannot decompose cohort into technical and biological sources, and the cohort-versus-diagnosis variance disparity is sensitive to which cohorts are compared.</w:t>
      </w:r>
      <w:r>
        <w:t xml:space="preserve"> </w:t>
      </w:r>
      <w:r>
        <w:t xml:space="preserve">“Cohort”</w:t>
      </w:r>
      <w:r>
        <w:t xml:space="preserve"> </w:t>
      </w:r>
      <w:r>
        <w:t xml:space="preserve">in this study is a composite study-of-origin variable bundling sequencing platform, library preparation, recruitment site, diagnostic ascertainment, and unmeasured dietary/lifestyle differences; PERMANOVA and betadisper estimate the total variance associated with this composite variable, not a technical-batch-effect estimate specifically, and no method used in this paper separates the two (Section 2.6). The approximately 12-fold cohort-versus-diagnosis disparity computed across all four labeled cohorts fell to approximately 2.6-fold when restricted to the three more technically comparable Chinese paired-end MiSeq cohorts (Section 3.4), indicating that this ratio is not a fixed property of</w:t>
      </w:r>
      <w:r>
        <w:t xml:space="preserve"> </w:t>
      </w:r>
      <w:r>
        <w:t xml:space="preserve">“cohort effects”</w:t>
      </w:r>
      <w:r>
        <w:t xml:space="preserve"> </w:t>
      </w:r>
      <w:r>
        <w:t xml:space="preserve">in gut microbiome data generally but depends substantially on which cohorts happen to be compared. Readers should not extrapolate the ~12-fold figure to other cohort sets.</w:t>
      </w:r>
    </w:p>
    <w:p>
      <w:pPr>
        <w:pStyle w:val="BodyText"/>
      </w:pPr>
      <w:r>
        <w:rPr>
          <w:b/>
          <w:bCs/>
        </w:rPr>
        <w:t xml:space="preserve">Jaccard overlap significance depends on the null model chosen, and one finding reverses depending on that choice.</w:t>
      </w:r>
      <w:r>
        <w:t xml:space="preserve"> </w:t>
      </w:r>
      <w:r>
        <w:t xml:space="preserve">LightGBM’s cross-cohort top-predictor overlap was significant at N=20/50 (not N=10) under a null that draws candidate genera uniformly from the shared 396-genus pool, but was not significant at any tested N under a null restricted to each cohort’s own ≥20%-prevalence genera (Section 3.6). We report both nulls and the resulting reversal rather than selecting whichever null supports a stronger claim. Logistic regression’s overlap was significant under both null designs at all tested N and is the more robust of the two cross-model findings.</w:t>
      </w:r>
    </w:p>
    <w:p>
      <w:pPr>
        <w:pStyle w:val="BodyText"/>
      </w:pPr>
      <w:r>
        <w:rPr>
          <w:b/>
          <w:bCs/>
        </w:rPr>
        <w:t xml:space="preserve">Batch correction: two designs, both transductive, neither prospective.</w:t>
      </w:r>
      <w:r>
        <w:t xml:space="preserve"> </w:t>
      </w:r>
      <w:r>
        <w:t xml:space="preserve">As detailed in Section 2.7, both the label-blind (primary) and label-informed (exploratory) batch-correction designs are transductive — both estimate batch-effect parameters using the eventual held-out cohort’s own feature values and cohort membership — and neither should be extrapolated to prospective deployment. The label-informed design additionally uses every sample’s own true diagnosis label during correction and is retained only as an oracle-style sensitivity analysis; its results (including the severe Kazakhstan collapse under label-informed ComBat-seq, Section 3.5) should not be read as evidence about batch correction’s effect on biological signal in general, since they are substantially confounded by the label-informed design itself (Section 4.2).</w:t>
      </w:r>
    </w:p>
    <w:p>
      <w:pPr>
        <w:pStyle w:val="BodyText"/>
      </w:pPr>
      <w:r>
        <w:rPr>
          <w:b/>
          <w:bCs/>
        </w:rPr>
        <w:t xml:space="preserve">Repeated cross-validation is a fold-stability check, not independent replication; three of eight within-cohort-vs-LOCO comparisons are not formally significant.</w:t>
      </w:r>
      <w:r>
        <w:t xml:space="preserve"> </w:t>
      </w:r>
      <w:r>
        <w:t xml:space="preserve">The 50-repetition repeated nested-CV analysis for Zhu 2022 (Section 2.4.1, Section 3.2) uses the same 60 participants in every repetition and therefore quantifies sensitivity to fold assignment, not sampling variability across independent samples; the label-permutation test in the same section is the analysis that formally tests whether the observed AUC exceeds chance. Separately, the formal paired bootstrap test of within-cohort-vs-LOCO AUC differences (Section 2.5.2, Section 3.3) found three of eight cohort–model pairs (Zhuang 2018, both models; Kazakhstan LightGBM) did not reach a 95% CI excluding zero, despite all eight showing the same-signed drop; we report this honestly rather than treating the aggregate mean drop as equally well-supported for every individual cohort–model pair.</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pPr>
        <w:pStyle w:val="BodyText"/>
      </w:pPr>
      <w:r>
        <w:rPr>
          <w:b/>
          <w:bCs/>
        </w:rPr>
        <w:t xml:space="preserve">SHAP and coefficient-direction interpretability limitations:</w:t>
      </w:r>
      <w:r>
        <w:t xml:space="preserve"> </w:t>
      </w:r>
      <w:r>
        <w:t xml:space="preserve">For logistic regression, direction is now defined from the fitted model’s coefficient sign (Section 2.8), not from mean signed SHAP; a stable coefficient sign is a statement about what the fitted model consistently learned across cross-validation folds, conditional on regularization (L2, not elastic-net — see below) and collinearity among CLR features, and is not a direct estimate of biological association, its statistical significance, or causal direction.</w:t>
      </w:r>
      <w:r>
        <w:t xml:space="preserve"> </w:t>
      </w:r>
      <w:r>
        <w:rPr>
          <w:b/>
          <w:bCs/>
        </w:rPr>
        <w:t xml:space="preserve">The ≥8/10-fold coefficient-sign-stability screen is descriptive, not a formal hypothesis test.</w:t>
      </w:r>
      <w:r>
        <w:t xml:space="preserve"> </w:t>
      </w:r>
      <w:r>
        <w:t xml:space="preserve">The 10 outer-CV folds within a cohort are fit on substantially overlapping training sets (each omits only 1/10 of that cohort’s samples), so they are not independent statistical replications; we do not apply a multiplicity correction across the candidate taxa screened, and no p-value is assigned to any individual taxon’s stability count. The eight genera meeting this screen should be treated as empirical patterns worthy of targeted, covariate-adjusted, and independently-replicated follow-up, not as statistically confirmed mechanistic findings, and no dietary or other mechanistic attribution is made for any of them in the absence of covariate data. For LightGBM, no coefficient-like global direction exists, and no directional screen or flip count of any kind is reported for it anywhere in this paper. All LOCO SHAP values (either model) are reported as feature-importance rankings only, without any assigned cross-cohort direction, because the LOCO SHAP background (training cohorts) and evaluation set (held-out cohort) come from systematically different populations, confounding sign with raw cross-cohort compositional differences.</w:t>
      </w:r>
    </w:p>
    <w:p>
      <w:pPr>
        <w:pStyle w:val="BodyText"/>
      </w:pPr>
      <w:r>
        <w:rPr>
          <w:b/>
          <w:bCs/>
        </w:rPr>
        <w:t xml:space="preserve">Logistic regression models use L2 (ridge), not elastic-net, regularization:</w:t>
      </w:r>
      <w:r>
        <w:t xml:space="preserve"> </w:t>
      </w:r>
      <w:r>
        <w:t xml:space="preserve">The logistic-regression models throughout this paper (</w:t>
      </w:r>
      <w:r>
        <w:rPr>
          <w:rStyle w:val="VerbatimChar"/>
        </w:rPr>
        <w:t xml:space="preserve">solver="saga"</w:t>
      </w:r>
      <w:r>
        <w:t xml:space="preserve">) are configured with</w:t>
      </w:r>
      <w:r>
        <w:t xml:space="preserve"> </w:t>
      </w:r>
      <w:r>
        <w:rPr>
          <w:rStyle w:val="VerbatimChar"/>
        </w:rPr>
        <w:t xml:space="preserve">penalty="l2"</w:t>
      </w:r>
      <w:r>
        <w:t xml:space="preserve"> </w:t>
      </w:r>
      <w:r>
        <w:t xml:space="preserve">(not</w:t>
      </w:r>
      <w:r>
        <w:t xml:space="preserve"> </w:t>
      </w:r>
      <w:r>
        <w:rPr>
          <w:rStyle w:val="VerbatimChar"/>
        </w:rPr>
        <w:t xml:space="preserve">"elasticnet"</w:t>
      </w:r>
      <w:r>
        <w:t xml:space="preserve">), and are therefore L2 (ridge)-regularized. An</w:t>
      </w:r>
      <w:r>
        <w:t xml:space="preserve"> </w:t>
      </w:r>
      <w:r>
        <w:rPr>
          <w:rStyle w:val="VerbatimChar"/>
        </w:rPr>
        <w:t xml:space="preserve">l1_ratio</w:t>
      </w:r>
      <w:r>
        <w:t xml:space="preserve"> </w:t>
      </w:r>
      <w:r>
        <w:t xml:space="preserve">parameter is present in the estimator configuration but is silently ignored by scikit-learn under the L2 penalty. One consequence is that essentially no fitted coefficient is exactly zero in the coefficient-stability analysis (Section 2.8), since L2 regularization does not perform the sparse variable selection that elastic-net or L1 penalties would.</w:t>
      </w:r>
    </w:p>
    <w:p>
      <w:r>
        <w:pict>
          <v:rect style="width:0;height:1.5pt" o:hralign="center" o:hrstd="t" o:hr="t"/>
        </w:pict>
      </w:r>
    </w:p>
    <w:bookmarkEnd w:id="37"/>
    <w:bookmarkEnd w:id="38"/>
    <w:bookmarkStart w:id="39"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values of 0.633–0.998, consistent with published reports; the near-perfect Zhu 2022 result was stable across 50 repeated cross-validation partitions (mean AUC 0.9955–0.9760 depending on model) and was distinguishable from a label-permutation null. LOCO cross-cohort AUC values fell to 0.504–0.813, a mean drop of 0.176 AUC points for logistic regression and 0.146 for LightGBM; a formal paired bootstrap test found this drop statistically supported for five of eight cohort–model pairs (Ling 2020 and Zhu 2022, both models; Kazakhstan logistic regression), with the remaining three pairs (Zhuang 2018, both models; Kazakhstan LightGBM) showing the same directional pattern without reaching formal statistical support at this sample size. This generalization-limitation pattern was robust to a strict training-only re-derivation of the feature-selection step (LOCO AUC changed by at most 0.066 when held-out-cohort information was fully excluded from genus selection). Batch correction was evaluated under two designs: a label-blind design (no diagnosis information used) left mean LOCO AUC essentially unchanged relative to uncorrected (within 0.007 AUC for both methods and models), and did not recover cross-cohort transferability; an exploratory label-informed design (using each sample’s own true diagnosis label, which cannot estimate prospective performance) produced large, cohort-specific degradation attributable in substantial part to the label-informed design itself rather than to an intrinsic property of the correction algorithms. PERMANOVA revealed that cohort identity explained substantially more compositional variance than disease status (marginal R²: 0.172 vs. 0.014, approximately 12-fold, across the four labeled cohorts) — an empirical measure of relative heterogeneity in a composite, study-of-origin variable that PERMANOVA cannot decompose into technical and biological sources, and that does not by itself explain the batch-correction results. This disparity is sensitive to cohort composition: restricted to the three more technically comparable Chinese MiSeq cohorts, it falls to approximately 2.6-fold (R²=0.059 vs. 0.023), and pairwise dispersion comparisons show the overall dispersion effect is driven predominantly by one cohort rather than uniformly. A cohort identity classifier achieved macro-AUC=0.9917, confirming that cohort structure dominates the feature space regardless of its technical or biological composition. Sensitivity analyses confirmed that generalization failure persists across all three prespecified cohort-exclusion configurations. Out-of-fold SHAP analysis identified near-zero taxon overlap between cohort-specific predictive signatures (mean Jaccard 0.135 for logistic regression and 0.058 for LightGBM); against a null matched to the observed statistic’s construction, logistic regression overlap was significant at all tested N, while LightGBM was significant at N=20/50 but not N=10 under a shared-genus-pool null, and was not significant at any N under a more realistic per-cohort prevalence-restricted null — a result we report as a genuine reversal rather than preserving the earlier, less rigorous finding. Using a pre-specified descriptive coefficient-sign-stability screen (not a formal hypothesis test), eight genera for logistic regression showed opposite, stable fitted-coefficient direction across cohorts; no comparable screen is applied to LightGBM, which has no single coefficient-like global direction. These findings demonstrate substantial cross-cohort generalization limitations among the evaluated publicly available 16S datasets; the two batch-correction methods tested under the label-blind transductive design did not recover transferability. Multi-cohort harmonized prospective studies and mandatory cross-cohort validation are needed before microbiome-based AD biomarkers can achieve clinical utility.</w:t>
      </w:r>
    </w:p>
    <w:p>
      <w:r>
        <w:pict>
          <v:rect style="width:0;height:1.5pt" o:hralign="center" o:hrstd="t" o:hr="t"/>
        </w:pict>
      </w:r>
    </w:p>
    <w:bookmarkEnd w:id="39"/>
    <w:bookmarkStart w:id="40"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40"/>
    <w:bookmarkStart w:id="41"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41"/>
    <w:bookmarkStart w:id="42"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2"/>
    <w:bookmarkStart w:id="43"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3"/>
    <w:bookmarkStart w:id="44"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Lee, D.Y., KBASE Research Group.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Baibulatova, A., Kushugulova, A.R., Askarova, S.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Franzosa, E., Vlamakis, H., Xavier, R., Huttenhower, C.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Ma, L., Wu, T., Yang, S., Du, X., O’Brien, T.J., Zhang, J., Zhang, 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Zheng, L., Liang, X., Luo, J., Ding, D., Zhao, Q.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2026-09-14T06:53:37Z</dcterms:created>
  <dcterms:modified xsi:type="dcterms:W3CDTF">2026-09-14T06:53:37Z</dcterms:modified>
</cp:coreProperties>
</file>

<file path=docProps/custom.xml><?xml version="1.0" encoding="utf-8"?>
<Properties xmlns="http://schemas.openxmlformats.org/officeDocument/2006/custom-properties" xmlns:vt="http://schemas.openxmlformats.org/officeDocument/2006/docPropsVTypes"/>
</file>