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received limited systematic evaluation.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(retained at ≥20% prevalence in at least one cohort, applied globally across all five cohorts before any supervised split), transformed to centered log-ratio (CLR) coordinates for compositional analysis; a dedicated sensitivity analysis re-deriving this feature set independently within each training split (never using held-out-cohort information) reproduced the same qualitative generalization-failure pattern (LOCO AUC changed by at most 0.066).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In leave-one-cohort-out (LOCO) transfer experiments, LOCO AUC-ROC fell to 0.504–0.813, a mean drop of 0.176 AUC points for logistic regression and 0.146 for LightGBM, with one of eight model–cohort combinations collapsing to near chance (AUC = 0.504). PERMANOVA on Aitchison distance showed that cohort identity explained 19.3% of total Aitchison variance across all five cohorts (F=30.13, p=0.0001); in the four-cohort marginal model, cohort explained R²=0.172 versus only 0.014 for disease label—an approximately 12-fold disparity in cohort-associated versus diagnosis-associated compositional heterogeneity, which provides context for the observed difficulty of harmonization but does not by itself establish that the two sources of variation overlap or explain why batch correction changed classifier performance. Batch correction was evaluated under two designs: a label-blind design (ComBat-seq/MMUPHin fit without any diagnosis information) left mean LOCO AUC essentially unchanged relative to uncorrected (within 0.007 AUC for both methods and models), while an exploratory label-informed design (fit using each sample’s own true diagnosis label, which cannot estimate prospective performance) produced large, method- and cohort-specific degradation, including a collapse to AUC=0.308 for one cohort under ComBat-seq — a result attributable in large part to the label-informed design itself rather than to batch correction per se. Neither design recovered cross-cohort transferability. SHAP analysis using out-of-fold values revealed near-zero pairwise Jaccard similarity between cohorts’ top-20 predictive taxa (mean 0.135 for logistic regression and 0.058 for LightGBM); against a null distribution matched to the observed statistic’s own construction (four random top-20 sets per replicate, averaging the six pairwise Jaccards among them, 100,000 replicates), both were significantly above chance at the primary N=20 threshold (logistic regression p&lt;0.0001; LightGBM p=0.0048), though the LightGBM result was not significant at N=10 (p=0.45), indicating overlap that is real but small in magnitude and sensitive to the choice of N. Using a pre-specified, descriptive cross-fold coefficient-sign-stability screen for logistic regression (positive or negative sign in ≥8 of 10 outer folds, not a formal hypothesis test), eight genera met the criterion for opposite, stable fitted-coefficient directions across cohorts; because LightGBM is a tree ensemble with no single coefficient-like direction, no comparable screen is applied to it. These results demonstrate that gut microbiome-based AD classifiers trained in one population do not transfer reliably to other populations, that the cohort effect is structurally much larger than the disease effect, and that the batch correction methods evaluated here do not recover this transferability. Multi-cohort harmonized training data and prospective validation across geographically and demographically diverse populations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evaluation of whether two commonly used batch-correction approaches recover cross-cohort transferability—questions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contribution of technical batch effects versus biological heterogeneity to this collapse, as estimated by variance partitioning;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approximately 12 times more compositional variance than disease status; under label-blind transductive adjustment, ComBat-seq and MMUPHin left mean cross-cohort AUC essentially unchanged and did not recover transferability; and top predictive taxa showed low absolute overlap across cohorts, although overlap at N=20 exceeded random-set expectation, with a subset of taxa showing opposite, stable fitted-coefficient directions across populations. Together, these findings constitute a systematic quantification of the generalization failure in the gut microbiome-based AD classifier literature, with direct implications for the field’s trajectory toward clinical translation.</w:t>
      </w:r>
    </w:p>
    <w:p>
      <w:r>
        <w:pict>
          <v:rect style="width:0;height:1.5pt" o:hralign="center" o:hrstd="t" o:hr="t"/>
        </w:pict>
      </w:r>
    </w:p>
    <w:bookmarkEnd w:id="10"/>
    <w:bookmarkStart w:id="22"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reached ≥20% prevalence (i.e., a nonzero count in ≥20% of samples) in at least one of the five cohorts; this prevalence threshold was computed per cohort and the union of genera passing in any cohort was taken across all five cohorts,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 a global feature-selection design whose held-out-cohort information use we evaluate directly in Section 2.5.1.</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4"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was set in the estimator configuration but has no effect under the default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therefore L2 (ridge)-regularized, not elastic-net, despite the model being informally referred to as</w:t>
      </w:r>
      <w:r>
        <w:t xml:space="preserve"> </w:t>
      </w:r>
      <w:r>
        <w:t xml:space="preserve">“elastic-net”</w:t>
      </w:r>
      <w:r>
        <w:t xml:space="preserve"> </w:t>
      </w:r>
      <w:r>
        <w:t xml:space="preserve">in earlier drafts of this work. This is corrected here for accuracy; it does not require re-fitting any model, since the actual fitted models were always L2-regularized.</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End w:id="14"/>
    <w:bookmarkStart w:id="16"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and the non-overlap of within-cohort and LOCO CIs serves as an indicator of a statistically reliable drop.</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Start w:id="15"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assess whether this affected the generalization-failure conclusion, we repeated the within-cohort nested-CV, LOCO, and pairwise-transfer analyses with genus selection re-derived independently inside every individual split, using only that split’s training-side samples: for each outer fold (within-cohort), each held-out cohort (LOCO), and each train cohort (pairwise), the ≥20%-prevalence filter was recomputed from scratch using only the training-side AD/CN-labeled samples for that specific split, and the corresponding test/held-out samples were projected onto the training-derived genus set (absent genera filled with zero count) before per-sample zero-replacement and CLR transformation. Model families, hyperparameter grids, random state, fold counts, and the bootstrap CI procedure were identical to the main analyses (Sections 2.4–2.5). This produces a strictly train-only feature universe for every split, at the cost of a smaller and split-specific genus count (e.g., 150 genera when Kazakhstan is excluded from feature selection during its own LOCO hold-out, versus 396 in the main global-feature analysis).</w:t>
      </w:r>
    </w:p>
    <w:bookmarkEnd w:id="15"/>
    <w:bookmarkEnd w:id="16"/>
    <w:bookmarkStart w:id="17"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7"/>
    <w:bookmarkStart w:id="18"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under two distinct designs that differ in whether diagnosis (disease-label)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design is prospective or inductive (i.e., neither defines a transformation that could be applied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only) with</w:t>
      </w:r>
      <w:r>
        <w:t xml:space="preserve"> </w:t>
      </w:r>
      <w:r>
        <w:rPr>
          <w:rStyle w:val="VerbatimChar"/>
        </w:rPr>
        <w:t xml:space="preserve">group = NULL, full_mod = FALSE</w:t>
      </w:r>
      <w:r>
        <w:t xml:space="preserve"> </w:t>
      </w:r>
      <w:r>
        <w:t xml:space="preserve">— no diagnosis information of any kind is supplied. MMUPHin v1.15 (Ma et al., 2022) was run on relative-abundance profiles from the four labeled cohorts with</w:t>
      </w:r>
      <w:r>
        <w:t xml:space="preserve"> </w:t>
      </w:r>
      <w:r>
        <w:rPr>
          <w:rStyle w:val="VerbatimChar"/>
        </w:rPr>
        <w:t xml:space="preserve">batch = cohort</w:t>
      </w:r>
      <w:r>
        <w:t xml:space="preserve"> </w:t>
      </w:r>
      <w:r>
        <w:t xml:space="preserve">and</w:t>
      </w:r>
      <w:r>
        <w:t xml:space="preserve"> </w:t>
      </w:r>
      <w:r>
        <w:rPr>
          <w:rStyle w:val="VerbatimChar"/>
        </w:rPr>
        <w:t xml:space="preserve">covariates = NULL</w:t>
      </w:r>
      <w:r>
        <w:t xml:space="preserve">; the metadata object supplied to</w:t>
      </w:r>
      <w:r>
        <w:t xml:space="preserve"> </w:t>
      </w:r>
      <w:r>
        <w:rPr>
          <w:rStyle w:val="VerbatimChar"/>
        </w:rPr>
        <w:t xml:space="preserve">adjust_batch</w:t>
      </w:r>
      <w:r>
        <w:t xml:space="preserve"> </w:t>
      </w:r>
      <w:r>
        <w:t xml:space="preserve">did not include a diagnosis column at all. In both cases, cohort identity and every sample’s own raw feature values are used (this is what makes the design transductive), but no sample’s true AD/CN label is ever used during correction. Corrected count tables (ComBat-seq) or relative abundances (MMUPHin) were CLR-transformed using the same multiplicative zero-replacement procedure described in Section 2.3.</w:t>
      </w:r>
    </w:p>
    <w:p>
      <w:pPr>
        <w:pStyle w:val="BodyText"/>
      </w:pPr>
      <w:r>
        <w:rPr>
          <w:b/>
          <w:bCs/>
        </w:rPr>
        <w:t xml:space="preserve">Design 2 — label-informed transductive correction (exploratory/oracle-style sensitivity).</w:t>
      </w:r>
      <w:r>
        <w:t xml:space="preserve"> </w:t>
      </w:r>
      <w:r>
        <w:t xml:space="preserve">The same two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 i.e., using every sample’s own true diagnosis label, for all four labeled cohorts jointly, including the sample’s own held-out-cohort membership in the eventual LOCO evaluation. This design cannot estimate prospective external-validation performance, because the correction step has already seen the answer for every sample it corrects, including test-cohort samples. We retain it only as an exploratory, oracle-style sensitivity analysis illustrating an upper/alternative bound on what correction with label information could do, not as evidence about deployable performance.</w:t>
      </w:r>
    </w:p>
    <w:p>
      <w:pPr>
        <w:pStyle w:val="BodyText"/>
      </w:pPr>
      <w:r>
        <w:t xml:space="preserve">After each correction, the LOCO generalization experiment (Section 2.5) was repeated on the corresponding batch-corrected CLR matrices, and within-cohort AUC on corrected data was re-computed under the same nested-CV procedure as Section 2.4. Because Design 2’s correction step is explicitly told each sample’s own diagnosis label as part of a global, jointly-fit model, a within-cohort AUC measured on Design-2-corrected features cannot be used to argue that</w:t>
      </w:r>
      <w:r>
        <w:t xml:space="preserve"> </w:t>
      </w:r>
      <w:r>
        <w:t xml:space="preserve">“genuine”</w:t>
      </w:r>
      <w:r>
        <w:t xml:space="preserve"> </w:t>
      </w:r>
      <w:r>
        <w:t xml:space="preserve">disease-associated biological signal survived correction independent of that label information — some or all of any preserved within-cohort separability could instead be an artifact of the correction algorithm’s own label-preservation mechanism (</w:t>
      </w:r>
      <w:r>
        <w:rPr>
          <w:rStyle w:val="VerbatimChar"/>
        </w:rPr>
        <w:t xml:space="preserve">full_mod=TRUE</w:t>
      </w:r>
      <w:r>
        <w:t xml:space="preserve"> </w:t>
      </w:r>
      <w:r>
        <w:t xml:space="preserve">/</w:t>
      </w:r>
      <w:r>
        <w:t xml:space="preserve"> </w:t>
      </w:r>
      <w:r>
        <w:rPr>
          <w:rStyle w:val="VerbatimChar"/>
        </w:rPr>
        <w:t xml:space="preserve">covariates="diagnosis"</w:t>
      </w:r>
      <w:r>
        <w:t xml:space="preserve">) rather than evidence about biology. This caveat does not apply to Design 1, whose within-cohort AUC on corrected data is not confounded by label use during correction, though it remains a transductive (not prospective) result like the LOCO evaluation itself.</w:t>
      </w:r>
    </w:p>
    <w:bookmarkEnd w:id="18"/>
    <w:bookmarkStart w:id="19"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for both models, and is not affected by the direction issue described below.</w:t>
      </w:r>
    </w:p>
    <w:p>
      <w:pPr>
        <w:pStyle w:val="BodyText"/>
      </w:pPr>
      <w:r>
        <w:rPr>
          <w:b/>
          <w:bCs/>
        </w:rPr>
        <w:t xml:space="preserve">Direction is not defined from mean signed SHAP.</w:t>
      </w:r>
      <w:r>
        <w:t xml:space="preserve"> </w:t>
      </w:r>
      <w:r>
        <w:t xml:space="preserve">For a linear model evaluated with</w:t>
      </w:r>
      <w:r>
        <w:t xml:space="preserve"> </w:t>
      </w:r>
      <w:r>
        <w:rPr>
          <w:rStyle w:val="VerbatimChar"/>
        </w:rPr>
        <w:t xml:space="preserve">LinearExplainer</w:t>
      </w:r>
      <w:r>
        <w:t xml:space="preserve"> </w:t>
      </w:r>
      <w:r>
        <w:t xml:space="preserve">under interventional feature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the mean signed SHAP value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a quantity that depends on both the fitted coefficient</w:t>
      </w:r>
      <w:r>
        <w:t xml:space="preserve"> </w:t>
      </w:r>
      <w:r>
        <w:rPr>
          <w:i/>
          <w:iCs/>
        </w:rPr>
        <w:t xml:space="preserve">and</w:t>
      </w:r>
      <w:r>
        <w:t xml:space="preserve"> </w:t>
      </w:r>
      <w:r>
        <w:t xml:space="preserve">the mean-abundance difference between the evaluation set and whichever background set was chosen, not on the coefficient sign alone. Within a single cohort’s own OOF folds this background-vs-eval difference is close to sampling noise (both come from the same cohort), but it is not zero, and for cross-cohort (LOCO) SHAP the background (the N−1 training cohorts) and evaluation set (the held-out cohort) come from systematically different populations by construction — exactly the compositional difference quantified by PERMANOVA in Section 2.6 — so mean signed LOCO SHAP is confounded with raw cross-cohort abundance differences rather than reflecting the fitted model’s direction. For this reason, mean signed SHAP is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the coefficient for every genus was recorded, together with its sign. A genus’s direction in a given cohort was called</w:t>
      </w:r>
      <w:r>
        <w:t xml:space="preserve"> </w:t>
      </w:r>
      <w:r>
        <w:rPr>
          <w:b/>
          <w:bCs/>
        </w:rPr>
        <w:t xml:space="preserve">stable</w:t>
      </w:r>
      <w:r>
        <w:t xml:space="preserve"> </w:t>
      </w:r>
      <w:r>
        <w:t xml:space="preserve">— positive or negative — if the coefficient carried that sign in at least 8 of the 10 outer folds (a threshold specified before any results were examined); a coefficient of exactly zero counted toward neither direction. A genus was classified as meeting this</w:t>
      </w:r>
      <w:r>
        <w:t xml:space="preserve"> </w:t>
      </w:r>
      <w:r>
        <w:rPr>
          <w:b/>
          <w:bCs/>
        </w:rPr>
        <w:t xml:space="preserve">descriptive coefficient-sign-stability screen</w:t>
      </w:r>
      <w:r>
        <w:t xml:space="preserve"> </w:t>
      </w:r>
      <w:r>
        <w:t xml:space="preserve">only if it (a) appeared in the top-20 OOF mean-|SHAP| ranking in at least two cohorts, (b) had a stable positive coefficient in at least one of those cohorts, and (c) had a stable negative coefficient in at least one other. This is a conservative definition relative to a naive sign check on mean SHAP, because it requires the direction to be reproducible across most of the 10 outer folds within each cohort, not merely to differ in its single pooled mean-SHAP sign.</w:t>
      </w:r>
      <w:r>
        <w:t xml:space="preserve"> </w:t>
      </w:r>
      <w:r>
        <w:rPr>
          <w:b/>
          <w:bCs/>
        </w:rPr>
        <w:t xml:space="preserve">We treat this screen as descriptive, not as a formal hypothesis test: the 10 outer-CV folds within a cohort share substantially overlapping training data (each fold trains on the same 9/10 of that cohort’s samples), so fold-level coefficient signs are not independent statistical replications, and no multiplicity-adjusted p-value is assigned to any individual taxon.</w:t>
      </w:r>
      <w:r>
        <w:t xml:space="preserve"> </w:t>
      </w:r>
      <w:r>
        <w:rPr>
          <w:b/>
          <w:bCs/>
        </w:rPr>
        <w:t xml:space="preserve">LightGBM is a tree ensemble with no single coefficient-like, globally monotonic direction, and its SHAP feature-genus relationships may be nonlinear or non-monotonic; no coefficient-based (or any other) global direction or stability screen is therefore applied to LightGBM anywhere in this paper.</w:t>
      </w:r>
      <w:r>
        <w:t xml:space="preserve"> </w:t>
      </w:r>
      <w:r>
        <w:t xml:space="preserve">LightGBM results are limited to OOF mean-|SHAP| feature importance and the top-feature-overlap/Jaccard analysis below, which do not require a direction assignment.</w:t>
      </w:r>
    </w:p>
    <w:p>
      <w:pPr>
        <w:pStyle w:val="BodyText"/>
      </w:pPr>
      <w:r>
        <w:t xml:space="preserve">For LOCO analyses, SHAP values were computed on the held-out test cohort from each LOCO-trained model, with the three-cohort training pool as the SHAP background, and are reported and used only as a feature-</w:t>
      </w:r>
      <w:r>
        <w:rPr>
          <w:i/>
          <w:iCs/>
        </w:rPr>
        <w:t xml:space="preserve">importance</w:t>
      </w:r>
      <w:r>
        <w:t xml:space="preserve"> </w:t>
      </w:r>
      <w:r>
        <w:t xml:space="preserve">ranking (mean |SHAP|); consistent with the confound described above, no cross-cohort AD/CN direction is assigned to LOCO SHAP values for either model.</w:t>
      </w:r>
    </w:p>
    <w:p>
      <w:pPr>
        <w:pStyle w:val="BodyText"/>
      </w:pPr>
      <w:r>
        <w:rPr>
          <w:b/>
          <w:bCs/>
        </w:rPr>
        <w:t xml:space="preserve">Cross-cohort taxonomic overlap.</w:t>
      </w:r>
      <w:r>
        <w:t xml:space="preserve"> </w:t>
      </w:r>
      <w:r>
        <w:t xml:space="preserve">Pairwise taxonomic overlap between cohorts was quantified using Jaccard similarity on the top-N SHAP genera (N ∈ {10, 20, 50}); N=20 is the primary threshold. The statistic actually reported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w:t>
      </w:r>
      <w:r>
        <w:t xml:space="preserve">pairs). The null distribution against which this statistic is compared was constructed to match it exactly: in each of 100,000 replicates, four independent random top-N gene sets were drawn (without replacement) from the full 396-genus pool, and the same six unique pairwise Jaccard similarities among those four random sets were averaged to produce one null replicate — the same statistic-construction procedure as the observed value, rather than a single pairwise Jaccard between two random sets. The empirical one-sided p-value was computed as</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 A genus was classified as a directional flip using the coefficient-stability criterion above, not from this overlap analysis.</w:t>
      </w:r>
    </w:p>
    <w:bookmarkEnd w:id="19"/>
    <w:bookmarkStart w:id="20"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20"/>
    <w:bookmarkStart w:id="21"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the Round 2 revision described below. All original (Round 1) Python analyses used scikit-learn v1.5, lightgbm v4, shap v0.51, pandas v2.x, and numpy v1.x in a conda environment (Python 3.11); original R analyses used vegan v2.6, sva v3.50 (ComBat-seq), and MMUPHin v1.15 in R v4.3. The Round 2 analyses added in response to peer review (training-only feature-selection sensitivity, label-blind batch correction, SHAP coefficient-stability, and the matched Jaccard null; Sections 2.5.1, 2.7, 2.8) were executed in Python 3.11.15 (scikit-learn 1.5.2, lightgbm 4.6.0, shap 0.51.0 — matching the original Python package versions) and R 4.5.1 (vegan 2.7.1, sva 3.58.0, MMUPHin 1.24.0 — newer than the original R environment, reflecting routine system updates between the two analysis rounds). This mixed provenance — original DADA2/R4.3 preprocessing feeding into a partially re-run, newer R4.5.1/unchanged-Python downstream analysis — is disclosed here rather than described as a single uniform environment. Figures were generated with matplotlib v3.8 (Round 1) or v3.11 (Round 2 SHAP/Figure 6 regeneration) at 300 DPI.</w:t>
      </w:r>
    </w:p>
    <w:p>
      <w:r>
        <w:pict>
          <v:rect style="width:0;height:1.5pt" o:hralign="center" o:hrstd="t" o:hr="t"/>
        </w:pict>
      </w:r>
    </w:p>
    <w:bookmarkEnd w:id="21"/>
    <w:bookmarkEnd w:id="22"/>
    <w:bookmarkStart w:id="29" w:name="results"/>
    <w:p>
      <w:pPr>
        <w:pStyle w:val="Heading2"/>
      </w:pPr>
      <w:r>
        <w:t xml:space="preserve">3. Results</w:t>
      </w:r>
    </w:p>
    <w:bookmarkStart w:id="23"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3"/>
    <w:bookmarkStart w:id="24"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[0.52–0.76], 0.862 [0.81–0.91], 0.979 [0.95–1.00],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Accession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 (analyzed)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Sequencing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Library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Supervised Analysis</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PRJNA554111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PRJNA633959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PRJNA489760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90 (fecal)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PRJNA811324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NovaSeq</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PRJEB50447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 4 only</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509</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232</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247</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AUC-ROC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 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Sensitivity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Specificity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Originally Reported AUC</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[0.51–0.75]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 (Zhuang et al., 2018)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[0.52–0.76]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 (Ling et al., 2021)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0.740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[0.99–1.00]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~0.94 (Zhu et al., 2022)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[0.95–1.00]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[0.66–0.86]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 (Kaiyrlykyzy et al., 2022)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[0.57–0.80]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w:t>
      </w:r>
    </w:p>
    <w:bookmarkEnd w:id="24"/>
    <w:bookmarkStart w:id="25"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[0.37–0.63]).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 LightGBM confidence intervals for the Ling 2020 LOCO estimate [0.59–0.75] do not overlap with the within-cohort estimate [0.81–0.91], suggesting a performance drop unlikely to be explained by sampling variability alone.</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that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to feature selection — changed LOCO AUC by at most 0.066 in either direction (largest changes: Kazakhstan LightGBM 0.591→0.525, Δ=−0.066; Kazakhstan LogReg 0.564→0.609, Δ=+0.045; all other cohort–model combinations changed by ≤0.031). The retained genus count under strict training-only selection ranged from 150 (when Kazakhstan — a comparatively high-prevalence cohort for many genera — was excluded from feature selection during its own hold-out) to 373, versus 396 under the global rule, yet no cohort–model combination changed its qualitative classification (near-chance, intermediate, or robust). Within-cohort nested-CV AUC under training-only selection likewise moved by −0.083 to +0.038 (Supplementary Table S4). We conclude that the global feature-selection design in the main analysis, while a genuine methodological limitation in principle, did not materially inflate or deflate the magnitude of the reported cross-cohort generalization failure.</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Within-Cohort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LOCO 95% 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AUC Drop</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[0.37–0.63]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0.129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[0.59–0.76]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[0.69–0.92]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0.758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[0.63–0.87]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[0.47–0.71]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0.103</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0.816</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0.640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0.176</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0.793</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0.146</w:t>
            </w:r>
          </w:p>
        </w:tc>
      </w:tr>
    </w:tbl>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5"/>
    <w:bookmarkStart w:id="26"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is an empirical statement about the relative magnitude of cohort- versus diagnosis-associated compositional heterogeneity in these data. It provides context for interpreting the batch-correction results in Section 3.5, but PERMANOVA marginal R² values do not by themselves establish that the cohort and diagnosis axes of variation overlap, nor do they explain why any particular batch-correction algorithm changed classifier performance in a specific direction; that relationship is discussed as a separate, more limited hypothesis in Section 4.2.</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This dispersion heterogeneity is relevant to interpreting PERMANOVA effect sizes and is acknowledged in the Methods section.</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6"/>
    <w:bookmarkStart w:id="27"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under the two designs described in Section 2.7: a</w:t>
      </w:r>
      <w:r>
        <w:t xml:space="preserve"> </w:t>
      </w:r>
      <w:r>
        <w:rPr>
          <w:b/>
          <w:bCs/>
        </w:rPr>
        <w:t xml:space="preserve">label-blind</w:t>
      </w:r>
      <w:r>
        <w:t xml:space="preserve"> </w:t>
      </w:r>
      <w:r>
        <w:t xml:space="preserve">design (no diagnosis information used during correction; primary analysis) and a</w:t>
      </w:r>
      <w:r>
        <w:t xml:space="preserve"> </w:t>
      </w:r>
      <w:r>
        <w:rPr>
          <w:b/>
          <w:bCs/>
        </w:rPr>
        <w:t xml:space="preserve">label-informed</w:t>
      </w:r>
      <w:r>
        <w:t xml:space="preserve"> </w:t>
      </w:r>
      <w:r>
        <w:t xml:space="preserve">design (each sample’s own true diagnosis label used during correction; exploratory/oracle-style sensitivity only) (Figure 5; Table 4).</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Design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Method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 Mean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 Mean Drop from Within-Cohort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 Mean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 Mean Drop</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0.146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Label-blind (primary)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Label-blind (primary)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0.145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Label-informed (exploratory)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0.322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0.238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Label-informed (exploratory)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0.210</w:t>
            </w:r>
          </w:p>
        </w:tc>
      </w:tr>
    </w:tbl>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the design that does not use any sample’s diagnosis label — mean LOCO AUC changed by no more than 0.007 in either direction relative to uncorrected, for either model (Table 4). No individual cohort collapsed: per-cohort logistic-regression LOCO AUC under label-blind ComBat-seq ranged from 0.525 (zhuang2018) to 0.769 (shanghai2022/Zhu 2022), closely tracking the uncorrected values (0.504–0.813) rather than diverging sharply from them.</w:t>
      </w:r>
      <w:r>
        <w:t xml:space="preserve"> </w:t>
      </w:r>
      <w:r>
        <w:rPr>
          <w:b/>
          <w:bCs/>
        </w:rPr>
        <w:t xml:space="preserve">Batch correction, evaluated under a design that cannot see the answer it is being asked to help predict, neither improves nor substantially worsens cross-cohort transferability in this dataset — it is simply ineffective at recovering it.</w:t>
      </w:r>
    </w:p>
    <w:p>
      <w:pPr>
        <w:pStyle w:val="BodyText"/>
      </w:pPr>
      <w:r>
        <w:rPr>
          <w:b/>
          <w:bCs/>
        </w:rPr>
        <w:t xml:space="preserve">Label-informed correction (exploratory/oracle-style sensitivity; Supplementary Figure S5): the previously reported severe degradation is largely an artifact of using target labels during correction, not evidence about batch correction’s effect on biological signal.</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the Kazakhstan cohort collapsing to AUC=0.308 [0.20–0.42]. The same cohort under label-blind ComBat-seq scored 0.560, closely matching its uncorrected value (0.564). This side-by-side comparison indicates that the severe, cohort-specific collapse previously observed was driven substantially by the label-informed design itself — most likely because a global correction model that is explicitly told each sample’s own diagnosis label (via</w:t>
      </w:r>
      <w:r>
        <w:t xml:space="preserve"> </w:t>
      </w:r>
      <w:r>
        <w:rPr>
          <w:rStyle w:val="VerbatimChar"/>
        </w:rPr>
        <w:t xml:space="preserve">full_mod=TRUE</w:t>
      </w:r>
      <w:r>
        <w:t xml:space="preserve">/</w:t>
      </w:r>
      <w:r>
        <w:rPr>
          <w:rStyle w:val="VerbatimChar"/>
        </w:rPr>
        <w:t xml:space="preserve">covariates="diagnosis"</w:t>
      </w:r>
      <w:r>
        <w:t xml:space="preserve">) constructs a label-conditional transformation that does not correspond to any transformation a genuinely prospective classifier could apply, rather than by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which provides a comparison free of diagnosis-label leakage during correction, because the label-blind correction never saw any sample’s diagnosis label. This comparison is not free of other confounding, however — it remains transductive (cohort membership and raw feature values are still used during correction) and retains whatever cohort/population confounding is otherwise present in the dataset.</w:t>
      </w:r>
      <w:r>
        <w:t xml:space="preserve"> </w:t>
      </w:r>
      <w:r>
        <w:rPr>
          <w:b/>
          <w:bCs/>
        </w:rPr>
        <w:t xml:space="preserve">We do not draw the same conclusion from within-cohort AUC on label-informed-corrected data — that comparison is additionally confounded by label use</w:t>
      </w:r>
      <w:r>
        <w:t xml:space="preserve">, because the label-informed correction’s own covariate-preservation mechanism (</w:t>
      </w:r>
      <w:r>
        <w:rPr>
          <w:rStyle w:val="VerbatimChar"/>
        </w:rPr>
        <w:t xml:space="preserve">full_mod=TRUE</w:t>
      </w:r>
      <w:r>
        <w:t xml:space="preserve"> </w:t>
      </w:r>
      <w:r>
        <w:t xml:space="preserve">for ComBat-seq;</w:t>
      </w:r>
      <w:r>
        <w:t xml:space="preserve"> </w:t>
      </w:r>
      <w:r>
        <w:rPr>
          <w:rStyle w:val="VerbatimChar"/>
        </w:rPr>
        <w:t xml:space="preserve">covariates="diagnosis"</w:t>
      </w:r>
      <w:r>
        <w:t xml:space="preserve"> </w:t>
      </w:r>
      <w:r>
        <w:t xml:space="preserve">for MMUPHin) is explicitly designed to retain diagnosis-associated structure using every sample’s own true label; any preserved within-cohort separability under that design cannot be attributed to correction-independent biological signal versus the correction algorithm’s own label-preservation step. We therefore no longer draw the previously stated conclusion that</w:t>
      </w:r>
      <w:r>
        <w:t xml:space="preserve"> </w:t>
      </w:r>
      <w:r>
        <w:t xml:space="preserve">“within-cohort AUC preservation rules out indiscriminate signal removal”</w:t>
      </w:r>
      <w:r>
        <w:t xml:space="preserve"> </w:t>
      </w:r>
      <w:r>
        <w:t xml:space="preserve">from the label-informed results; that inference required a comparison free of diagnosis-label leakage during correction, which only the label-blind design provides, and the label-blind within-cohort comparison does support it descriptively (Supplementary Table S5), without establishing this as strong biological evidence beyond the observed AUC values themselves.</w:t>
      </w:r>
    </w:p>
    <w:p>
      <w:pPr>
        <w:pStyle w:val="BodyText"/>
      </w:pPr>
      <w:r>
        <w:t xml:space="preserve">The empirical PERMANOVA finding that cohort explains approximately 12 times more compositional variance than disease status (marginal R²: 0.172 vs. 0.014; Section 3.4) provides context for why a correction method targeting cohort-associated variance might struggle to leave disease-associated variance fully intact, but it does not, by itself, establish that the two sources of variation overlap, nor does it explain the specific pattern observed here — namely that a properly label-blind correction left performance essentially flat while a label-informed one produced large, method- and cohort-specific movements. That specific pattern is more directly explained by the transductive, label-informed design itself (Section 2.7) than by the general cohort/diagnosis variance disparity, and we present it as such rather than as a demonstration that linear batch correction</w:t>
      </w:r>
      <w:r>
        <w:t xml:space="preserve"> </w:t>
      </w:r>
      <w:r>
        <w:t xml:space="preserve">“cannot”</w:t>
      </w:r>
      <w:r>
        <w:t xml:space="preserve"> </w:t>
      </w:r>
      <w:r>
        <w:t xml:space="preserve">separate cohort from disease signal in general.</w:t>
      </w:r>
    </w:p>
    <w:bookmarkEnd w:id="27"/>
    <w:bookmarkStart w:id="28"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 Feature importance (mean |SHAP|) is reported for both models; direction is reported only for logistic regression, using the fitted-coefficient-based definition in Section 2.8 (not mean signed SHAP).</w:t>
      </w:r>
    </w:p>
    <w:p>
      <w:pPr>
        <w:pStyle w:val="BodyText"/>
      </w:pPr>
      <w:r>
        <w:rPr>
          <w:b/>
          <w:bCs/>
        </w:rPr>
        <w:t xml:space="preserve">Minimal overlap in top predictive taxa across cohorts, now assessed against a null matched to the observed statistic.</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a null distribution constructed to match this statistic exactly (100,000 replicates, each averaging the six pairwise Jaccards among four random top-20 sets; Section 2.8), logistic regression overlap was significantly above chance (null mean 0.027 [95% CI: 0.009–0.049]; p&lt;0.0001), and LightGBM overlap was also significantly above chance at this N (p=0.0048). A sensitivity check across N∈{10,20,50} (Supplementary Table S7) shows logistic regression significant at all three thresholds, while LightGBM was significant at N=20 and N=50 but not at N=10 (p=0.45) — indicating that LightGBM’s top-predictor overlap across cohorts, while small in absolute magnitude (0.058, versus a null expectation of 0.027), is a real, detectable signal at the primary and larger N thresholds, more consistent than previously reported but still substantially smaller than logistic regression’s overlap and correspondingly less informative for identifying a small set of consistently important taxa.</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was the top predictor in the remaining three cohorts (Zhu 2022 |SHAP|=0.228; Kazakhstan |SHAP|=0.136; Ling 2020 |SHAP|=0.270). Under the fitted model’s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 of 10 outer folds positive in every cohort; Supplementary Table S6) — higher CLR abundance consistently predicts higher AD log-odds under the fitted model, with no coefficient-based flip anywhere. This is a useful negative control for the direction-definition problem itself: the pooled mean SHAP value for this same genus is negative in Ling 2020 and Zhuang 2018 (which an earlier, mean-SHAP-based version of this analysis read as</w:t>
      </w:r>
      <w:r>
        <w:t xml:space="preserve"> </w:t>
      </w:r>
      <w:r>
        <w:t xml:space="preserve">“CN-associated”</w:t>
      </w:r>
      <w:r>
        <w:t xml:space="preserve">) but positive in Zhu 2022 and Kazakhstan — an apparent flip that does</w:t>
      </w:r>
      <w:r>
        <w:t xml:space="preserve"> </w:t>
      </w:r>
      <w:r>
        <w:rPr>
          <w:b/>
          <w:bCs/>
        </w:rPr>
        <w:t xml:space="preserve">not</w:t>
      </w:r>
      <w:r>
        <w:t xml:space="preserve"> </w:t>
      </w:r>
      <w:r>
        <w:t xml:space="preserve">reflect the coefficient the model actually learned, and is instead a background-relative artifact of the kind described in Section 2.8. We report this discrepancy explicitly because it demonstrates, on real data from this study, why mean signed SHAP was not an adequate direction statistic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LightGBM values (Section 2.8).</w:t>
      </w:r>
    </w:p>
    <w:p>
      <w:pPr>
        <w:pStyle w:val="BodyText"/>
      </w:pPr>
      <w:r>
        <w:rPr>
          <w:b/>
          <w:bCs/>
        </w:rPr>
        <w:t xml:space="preserve">Coefficient-sign stability screen (logistic regression only).</w:t>
      </w:r>
      <w:r>
        <w:t xml:space="preserve"> </w:t>
      </w:r>
      <w:r>
        <w:t xml:space="preserve">Using the pre-specified coefficient-stability criterion (Section 2.8: a stable positive coefficient sign in ≥8 of 10 outer folds in at least one cohort, and a stable negative coefficient sign in ≥8 of 10 outer folds in at least one other cohort,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describe this deliberately as a descriptive screen rather than a statistically confirmed set of contradictions: the 10 outer-CV folds share substantially overlapping training sets (each fold’s training data is 9/10 of the same cohort), so fold-level coefficient signs are not 10 independent replications, and no multiplicity-adjusted p-value is assigned to any individual taxon (Section 2.8, Limitations). This is nonetheless a smaller and more conservative set than an earlier, less rigorous analysis of this dataset that classified any genus with opposite-signed pooled mean SHAP across two cohorts as a</w:t>
      </w:r>
      <w:r>
        <w:t xml:space="preserve"> </w:t>
      </w:r>
      <w:r>
        <w:t xml:space="preserve">“flip”</w:t>
      </w:r>
      <w:r>
        <w:t xml:space="preserve"> </w:t>
      </w:r>
      <w:r>
        <w:t xml:space="preserve">(which had identified twelve such genera); the stability requirement removes genera whose apparent flip was not reproducible across most of a cohort’s own outer folds.</w:t>
      </w:r>
      <w:r>
        <w:t xml:space="preserve"> </w:t>
      </w:r>
      <w:r>
        <w:rPr>
          <w:b/>
          <w:bCs/>
        </w:rPr>
        <w:t xml:space="preserve">No comparable screen is applied to LightGBM</w:t>
      </w:r>
      <w:r>
        <w:t xml:space="preserve">: a tree ensemble has no single coefficient-like, globally monotonic direction, and LightGBM’s SHAP–feature relationships may be nonlinear or non-monotonic, so no scalar direction statistic — descriptive or otherwise — is computed or reported for it.</w:t>
      </w:r>
    </w:p>
    <w:p>
      <w:pPr>
        <w:pStyle w:val="BodyText"/>
      </w:pPr>
      <w:r>
        <w:rPr>
          <w:i/>
          <w:iCs/>
        </w:rPr>
        <w:t xml:space="preserve">Romboutsia</w:t>
      </w:r>
      <w:r>
        <w:t xml:space="preserve"> </w:t>
      </w:r>
      <w:r>
        <w:t xml:space="preserve">shows the cleanest population-level pattern among the eight taxa meeting the screen: a stable negative coefficient (higher relative abundance predicts lower AD log-odds under the fitted model) in all three Chinese cohorts (Zhuang 2018, Ling 2020, Zhu 2022) and a stable positive coefficient in Kazakhstan (9/10 folds; Supplementary Table S6) — the one genus among the eight whose pattern cleanly separates by country in this dataset. We do not have a specific mechanistic or dietary hypothesis for</w:t>
      </w:r>
      <w:r>
        <w:t xml:space="preserve"> </w:t>
      </w:r>
      <w:r>
        <w:rPr>
          <w:i/>
          <w:iCs/>
        </w:rPr>
        <w:t xml:space="preserve">Romboutsia</w:t>
      </w:r>
      <w:r>
        <w:t xml:space="preserve"> </w:t>
      </w:r>
      <w:r>
        <w:t xml:space="preserve">and do not offer one here.</w:t>
      </w:r>
    </w:p>
    <w:p>
      <w:pPr>
        <w:pStyle w:val="BodyText"/>
      </w:pPr>
      <w:r>
        <w:rPr>
          <w:i/>
          <w:iCs/>
        </w:rPr>
        <w:t xml:space="preserve">Lactobacillus</w:t>
      </w:r>
      <w:r>
        <w:t xml:space="preserve"> </w:t>
      </w:r>
      <w:r>
        <w:t xml:space="preserve">also meets the screen, and is a genus with a well-documented, biologically plausible reason to differ by population — it is the dominant organism in fermented dairy products (kumis, kefir) that are culturally prominent in Central Asian diets — but its actual data pattern does not cleanly support a simple Chinese-cohorts-versus-Kazakhstan narrative: it is stable-negative in Zhuang 2018 only, and stable-positive in Ling 2020, Zhu 2022,</w:t>
      </w:r>
      <w:r>
        <w:t xml:space="preserve"> </w:t>
      </w:r>
      <w:r>
        <w:rPr>
          <w:i/>
          <w:iCs/>
        </w:rPr>
        <w:t xml:space="preserve">and</w:t>
      </w:r>
      <w:r>
        <w:t xml:space="preserve"> </w:t>
      </w:r>
      <w:r>
        <w:t xml:space="preserve">Kazakhstan (Supplementary Table S6) — three of the four cohorts share the same direction, with Zhuang 2018 the outlier rather than Kazakhstan. We flag this discrepancy explicitly rather than fitting the fermented-dairy narrative to a pattern the data do not actually show; a plausible dietary mechanism does not by itself establish that it explains this specific empirical result.</w:t>
      </w:r>
    </w:p>
    <w:p>
      <w:pPr>
        <w:pStyle w:val="BodyText"/>
      </w:pPr>
      <w:r>
        <w:rPr>
          <w:i/>
          <w:iCs/>
        </w:rPr>
        <w:t xml:space="preserve">Akkermansia</w:t>
      </w:r>
      <w:r>
        <w:t xml:space="preserve"> </w:t>
      </w:r>
      <w:r>
        <w:t xml:space="preserve">is a useful contrast to both: despite appearing to reverse direction under the old, invalid mean-signed-SHAP statistic (Section 3.6), its fitted coefficient is stable and</w:t>
      </w:r>
      <w:r>
        <w:t xml:space="preserve"> </w:t>
      </w:r>
      <w:r>
        <w:rPr>
          <w:b/>
          <w:bCs/>
        </w:rPr>
        <w:t xml:space="preserve">positive in all four cohorts</w:t>
      </w:r>
      <w:r>
        <w:t xml:space="preserve"> </w:t>
      </w:r>
      <w:r>
        <w:t xml:space="preserve">(10/10 outer folds in every cohort; Supplementary Table S6) — it does not meet the screen at all under the coefficient-based definition. This genus’s abundance is strongly influenced by host diet, particularly fiber and polyphenol intake (Plovier et al., 2017), and by geographic-population-specific dietary patterns that likely modulate its abundance independently of any AD-specific effect; the coefficient-based analysis indicates that, at least under this fitted model, its association with AD status is directionally consistent across these four populations even though its raw pooled-SHAP appearance was not. All dietary explanations offered in this section remain speculative in the absence of dietary co-variate data and should be read as hypotheses, not established conclusions.</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held-out conditions. Consistent with Section 2.8, we do not assign an AD/CN direction to these LOCO SHAP values: the LOCO SHAP background (the three training cohorts) and evaluation set (the held-out cohort) are drawn from systematically different populations by construction, so the sign of a LOCO mean SHAP value is confounded with the raw cross-cohort compositional difference quantified by PERMANOVA (Section 3.4) rather than reflecting a stable, model-derived direction. The absence of a single top-importance genus across all four held-out cohorts is itself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28"/>
    <w:bookmarkEnd w:id="29"/>
    <w:bookmarkStart w:id="36" w:name="discussion"/>
    <w:p>
      <w:pPr>
        <w:pStyle w:val="Heading2"/>
      </w:pPr>
      <w:r>
        <w:t xml:space="preserve">4. Discussion</w:t>
      </w:r>
    </w:p>
    <w:bookmarkStart w:id="30"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failure in gut microbiome-based AD classifiers. Across four labeled cohorts, two model types, two cross-cohort evaluation designs, and two batch correction methods, we consistently observe the same result: classifiers trained within one population fail to generalize reliably to another. The mean LOCO AUC drop of 0.176 points for logistic regression and 0.146 for LightGBM, with one of eight model–cohort combinations near chance, demonstrates that previously reported within-cohort performance figures cannot be taken as evidence of a generalizable diagnostic signal.</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30"/>
    <w:bookmarkStart w:id="31" w:name="Xa47da470aef9839ece143b4c55458caec0eec5c"/>
    <w:p>
      <w:pPr>
        <w:pStyle w:val="Heading3"/>
      </w:pPr>
      <w:r>
        <w:t xml:space="preserve">4.2 Batch Correction Does Not Recover Generalization, and the Reason Requires Separating an Empirical Result from a Hypothesis</w:t>
      </w:r>
    </w:p>
    <w:p>
      <w:pPr>
        <w:pStyle w:val="FirstParagraph"/>
      </w:pPr>
      <w:r>
        <w:t xml:space="preserve">Two distinct findings must be kept separate here, because conflating them was a limitation of how this section was framed in an earlier version of this manuscript.</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establishes that compositional space is overwhelmingly organized by cohort-of-origin. Separately and equally empirically: batch correction, evaluated under a label-blind design that cannot see any sample’s diagnosis label, left mean LOCO AUC essentially unchanged (within 0.007 AUC of uncorrected for both ComBat-seq and MMUPHin, both models; Section 3.5) — it neither recovered cross-cohort transferability nor substantially degraded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a known, controlled degree of cohort/diagnosis-axis overlap) capable of testing it in this dataset. We therefore present it as a hypothesis consistent with the observed pattern, not as a demonstrated mechanism, and we no longer state that batch correction</w:t>
      </w:r>
      <w:r>
        <w:t xml:space="preserve"> </w:t>
      </w:r>
      <w:r>
        <w:t xml:space="preserve">“cannot”</w:t>
      </w:r>
      <w:r>
        <w:t xml:space="preserve"> </w:t>
      </w:r>
      <w:r>
        <w:t xml:space="preserve">work in general or that this analysis proves cohort and disease axes overlap.</w:t>
      </w:r>
    </w:p>
    <w:p>
      <w:pPr>
        <w:pStyle w:val="BodyText"/>
      </w:pPr>
      <w:r>
        <w:t xml:space="preserve">A previous version of this analysis additionally reported that ComBat-seq’s correction</w:t>
      </w:r>
      <w:r>
        <w:t xml:space="preserve"> </w:t>
      </w:r>
      <w:r>
        <w:t xml:space="preserve">“substantially worsened”</w:t>
      </w:r>
      <w:r>
        <w:t xml:space="preserve"> </w:t>
      </w:r>
      <w:r>
        <w:t xml:space="preserve">LOCO AUC (mean LogReg: 0.640→0.493, with one cohort collapsing to AUC=0.308) and interpreted this as evidence that ComBat-seq’s negative-binomial framework is poorly calibrated for compositional 16S data. That result was obtained under the label-informed design, in which ComBat-seq and MMUPHin were both told every sample’s own true diagnosis label during a single joint fit across all four labeled cohorts (Section 2.7). Repeating the identical comparison under a label-blind design — same cohorts, same raw features, same downstream LOCO classifiers, the only change being that no diagnosis label is supplied to the correction step — reproduces essentially flat LOCO AUC instead of severe, cohort-specific collapse (Section 3.5, Table 4). This indicates that the earlier</w:t>
      </w:r>
      <w:r>
        <w:t xml:space="preserve"> </w:t>
      </w:r>
      <w:r>
        <w:t xml:space="preserve">“ComBat-seq substantially worsens generalization”</w:t>
      </w:r>
      <w:r>
        <w:t xml:space="preserve"> </w:t>
      </w:r>
      <w:r>
        <w:t xml:space="preserve">claim was driven in large part by the label-informed design itself, not by an intrinsic incompatibility between ComBat-seq’s modeling framework and 16S compositional data; we retract that specific mechanistic claim and retain the label-informed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more useful result for the field — is narrower than originally stated: under the label-blind transductive evaluation, two widely used batch-correction methods designed for other data types (RNA-seq counts; general microbiome meta-analysis) did not recover cross-cohort transferability for AD classification in this dataset. This is a demonstration of ineffectiveness at the specific task of restoring cross-cohort generalization, not a demonstration that these methods actively destroy signal, nor an explanation of the underlying compositional-geometry reason such correction is difficult. The field may still need fundamentally different approaches — multi-cohort training with cohort as an explicit stratification variable, domain adaptation methods, or meta-analytic frameworks that explicitly model between-cohort heterogeneity rather than attempting to remove it — but we no longer claim to have shown mechanistically why standard correction fails, only that it does not succeed under the conditions tested here.</w:t>
      </w:r>
    </w:p>
    <w:bookmarkEnd w:id="31"/>
    <w:bookmarkStart w:id="32"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2"/>
    <w:bookmarkStart w:id="33" w:name="Xcbd54829c1c3e93a275d7b4d9ead5b5ecf73f04"/>
    <w:p>
      <w:pPr>
        <w:pStyle w:val="Heading3"/>
      </w:pPr>
      <w:r>
        <w:t xml:space="preserve">4.4 Coefficient-Sign Stability Screen: A Conservative, Descriptive View of Cross-Population Contradictions</w:t>
      </w:r>
    </w:p>
    <w:p>
      <w:pPr>
        <w:pStyle w:val="FirstParagraph"/>
      </w:pPr>
      <w:r>
        <w:t xml:space="preserve">Using a pre-specified coefficient-sign-stability criterion (≥8 of 10 outer folds agreeing in sign; Section 2.8), eight genera met this descriptive screen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a smaller, more conservative set than the meta-analytic literature’s qualitative suggestion that some taxa carry opposite associations with AD status in different populations might imply, and we present it descriptively rather than as a statistically confirmed set of contradictions: the 10 outer-CV folds share substantially overlapping training data (each fold’s training set is 9/10 of the same cohort), so fold-level coefficient signs are not independent replications in the formal statistical sense, and we do not assign multiplicity-adjusted p-values to individual taxa (Section 2.8, Limitations). We emphasize</w:t>
      </w:r>
      <w:r>
        <w:t xml:space="preserve"> </w:t>
      </w:r>
      <w:r>
        <w:t xml:space="preserve">“conservative”</w:t>
      </w:r>
      <w:r>
        <w:t xml:space="preserve"> </w:t>
      </w:r>
      <w:r>
        <w:t xml:space="preserve">deliberately — an earlier version of this analysis defined a flip as any genus with opposite-signed</w:t>
      </w:r>
      <w:r>
        <w:t xml:space="preserve"> </w:t>
      </w:r>
      <w:r>
        <w:rPr>
          <w:i/>
          <w:iCs/>
        </w:rPr>
        <w:t xml:space="preserve">pooled mean SHAP</w:t>
      </w:r>
      <w:r>
        <w:t xml:space="preserve"> </w:t>
      </w:r>
      <w:r>
        <w:t xml:space="preserve">across two cohorts (a background-relative quantity, not the model’s coefficient; Section 2.8) and reported twelve such genera for logistic regression and, using the same invalid statistic, a further twelve for LightGBM. Requiring the direction to be reproducible across most of a cohort’s own outer folds, and grounding it in the fitted coefficient rather than a background-dependent SHAP quantity, reduces the logistic-regression count to eight; no comparable count is reported for LightGBM at all, because a tree ensemble has no single coefficient-like global direction to test for stability in the first place (Section 2.8). We treat the removal of the LightGBM claim as a correction, not merely a footnote: the original twelve-taxon LightGBM</w:t>
      </w:r>
      <w:r>
        <w:t xml:space="preserve"> </w:t>
      </w:r>
      <w:r>
        <w:t xml:space="preserve">“flip”</w:t>
      </w:r>
      <w:r>
        <w:t xml:space="preserve"> </w:t>
      </w:r>
      <w:r>
        <w:t xml:space="preserve">list should not be relied upon or cited as evidence of directional inconsistency in tree-based models from this dataset.</w:t>
      </w:r>
    </w:p>
    <w:p>
      <w:pPr>
        <w:pStyle w:val="BodyText"/>
      </w:pPr>
      <w:r>
        <w:rPr>
          <w:i/>
          <w:iCs/>
        </w:rPr>
        <w:t xml:space="preserve">Romboutsia</w:t>
      </w:r>
      <w:r>
        <w:t xml:space="preserve"> </w:t>
      </w:r>
      <w:r>
        <w:t xml:space="preserve">shows the cleanest population-level pattern among the eight: a stable negative fitted coefficient (higher relative abundance predicts lower AD log-odds) in all three Chinese cohorts, and a stable positive coefficient in Kazakhstan. We do not have a specific mechanistic or dietary hypothesis for this genus.</w:t>
      </w:r>
      <w:r>
        <w:t xml:space="preserve"> </w:t>
      </w:r>
      <w:r>
        <w:rPr>
          <w:i/>
          <w:iCs/>
        </w:rPr>
        <w:t xml:space="preserve">Lactobacillus</w:t>
      </w:r>
      <w:r>
        <w:t xml:space="preserve"> </w:t>
      </w:r>
      <w:r>
        <w:t xml:space="preserve">also meets the screen and has an available biological rationale — it is the dominant organism in fermented dairy products (kumis, kefir) culturally prominent in Central Asian diets — but its actual per-cohort pattern is messier than a clean population split: stable-negative in Zhuang 2018 only, and stable-positive in Ling 2020, Zhu 2022,</w:t>
      </w:r>
      <w:r>
        <w:t xml:space="preserve"> </w:t>
      </w:r>
      <w:r>
        <w:rPr>
          <w:i/>
          <w:iCs/>
        </w:rPr>
        <w:t xml:space="preserve">and</w:t>
      </w:r>
      <w:r>
        <w:t xml:space="preserve"> </w:t>
      </w:r>
      <w:r>
        <w:t xml:space="preserve">Kazakhstan (Supplementary Table S6). We report this pattern as observed rather than fitting the fermented-dairy narrative to a Chinese-versus-Kazakhstan split the data do not show; a biologically plausible mechanism for a genus does not by itself establish that the mechanism explains this dataset’s specific result.</w:t>
      </w:r>
    </w:p>
    <w:p>
      <w:pPr>
        <w:pStyle w:val="BodyText"/>
      </w:pPr>
      <w:r>
        <w:rPr>
          <w:i/>
          <w:iCs/>
        </w:rPr>
        <w:t xml:space="preserve">Akkermansia</w:t>
      </w:r>
      <w:r>
        <w:t xml:space="preserve"> </w:t>
      </w:r>
      <w:r>
        <w:t xml:space="preserve">illustrates why the coefficient-based, stability-gated definition matters, in the clearest possible way: its pooled mean SHAP value appears to reverse sign between Ling 2020/Zhuang 2018 and Zhu 2022/Kazakhstan (Section 3.6), which an earlier, mean-SHAP-based version of this analysis read as a directional flip — but its fitted logistic-regression coefficient is positive and stable (10 of 10 outer folds) in all four cohorts (Supplementary Table S6), meaning the model never actually learned an inconsistent direction for this genus; the apparent flip was an artifact of the background-relative SHAP statistic, not a property of the fitted model.</w:t>
      </w:r>
      <w:r>
        <w:t xml:space="preserve"> </w:t>
      </w:r>
      <w:r>
        <w:rPr>
          <w:i/>
          <w:iCs/>
        </w:rPr>
        <w:t xml:space="preserve">A. muciniphila</w:t>
      </w:r>
      <w:r>
        <w:t xml:space="preserve"> </w:t>
      </w:r>
      <w:r>
        <w:t xml:space="preserve">abundance is strongly influenced by host diet, particularly fiber and polyphenol intake (Plovier et al., 2017), and geographic-population-specific dietary patterns likely modulate its abundance independently of any AD-specific effect; under the coefficient-based analysis, this genus’s association with AD status is directionally consistent (not flipped) across all four populations studied here.</w:t>
      </w:r>
    </w:p>
    <w:p>
      <w:pPr>
        <w:pStyle w:val="BodyText"/>
      </w:pPr>
      <w:r>
        <w:t xml:space="preserve">The critical implication of the eight taxa meeting this descriptive screen is that they may reflect biological population heterogeneity, technical study effects, or interactions between the two; the present design cannot disentangle these sources, nor does the screen itself establish that any individual taxon’s pattern exceeds what a non-independent, overlapping-fold coefficient estimate could show by chance. Standard batch correction methods, designed to remove technical batch effects, would not be expected to resolve directional disagreements to the extent that these differences are driven by population-level biological differences rather than technical artifacts alone — a point that is, if anything, reinforced by Section 4.2’s finding that label-blind batch correction left cross-cohort AUC essentially unchanged rather than recovering it.</w:t>
      </w:r>
    </w:p>
    <w:bookmarkEnd w:id="33"/>
    <w:bookmarkStart w:id="34"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4"/>
    <w:bookmarkStart w:id="35"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simultaneously, meaning the eventual held-out cohort in every LOCO/pairwise experiment contributed prevalence information to the feature universe. A dedicated training-only sensitivity analysis (Section 2.5.1, Section 3.3), run once under the same prespecified</w:t>
      </w:r>
      <w:r>
        <w:t xml:space="preserve"> </w:t>
      </w:r>
      <w:r>
        <w:rPr>
          <w:rStyle w:val="VerbatimChar"/>
        </w:rPr>
        <w:t xml:space="preserve">random_state=42</w:t>
      </w:r>
      <w:r>
        <w:t xml:space="preserve"> </w:t>
      </w:r>
      <w:r>
        <w:t xml:space="preserve">cross-validation partition used throughout this paper, re-derived genus selection independently within every split and found LOCO AUC changed by at most 0.066 — the qualitative generalization-failure conclusion is not an artifact of this design — but the global selection remains a methodological limitation in principle, and we recommend training-only feature selection as the default design for future cross-cohort microbiome classifier studies rather than a post hoc sensitivity check. Repeated cross-validation with multiple random seeds was not performed for this sensitivity analysis, so the 0.066 figure should be read as a single-partition estimate rather than one adjusted for ordinary fold-assignment variability.</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batch-correction designs are transductive — both estimate batch-effect parameters using the eventual held-out cohort’s own feature values and cohort membership — and neither should be extrapolated to prospective deployment. The label-informed design additionally uses every sample’s own true diagnosis label during correction and is retained only as an oracle-style sensitivity analysis; its results (including the previously reported severe Kazakhstan collapse under label-informed ComBat-seq) should not be read as evidence about batch correction’s effect on biological signal in general, since they are substantially confounded by the label-informed design itself (Section 4.2).</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and coefficient-direction interpretability limitations:</w:t>
      </w:r>
      <w:r>
        <w:t xml:space="preserve"> </w:t>
      </w:r>
      <w:r>
        <w:t xml:space="preserve">For logistic regression, direction is now defined from the fitted model’s coefficient sign (Section 2.8), not from mean signed SHAP; a stable coefficient sign is a statement about what the fitted model consistently learned across cross-validation folds, conditional on regularization (L2, not elastic-net — see below) and collinearity among CLR features, and is not a direct estimate of biological association, its statistical significance, or causal direction.</w:t>
      </w:r>
      <w:r>
        <w:t xml:space="preserve"> </w:t>
      </w:r>
      <w:r>
        <w:rPr>
          <w:b/>
          <w:bCs/>
        </w:rPr>
        <w:t xml:space="preserve">The ≥8/10-fold coefficient-sign-stability screen is descriptive, not a formal hypothesis test.</w:t>
      </w:r>
      <w:r>
        <w:t xml:space="preserve"> </w:t>
      </w:r>
      <w:r>
        <w:t xml:space="preserve">The 10 outer-CV folds within a cohort are fit on substantially overlapping training sets (each omits only 1/10 of that cohort’s samples), so they are not independent statistical replications; we do not apply a multiplicity correction across the candidate taxa screened, and no p-value is assigned to any individual taxon’s stability count. The eight genera meeting this screen and their dietary hypotheses should be treated as empirical patterns worthy of targeted, covariate-adjusted, and independently-replicated follow-up, not as statistically confirmed mechanistic findings. For LightGBM, no coefficient-like global direction exists, and no directional screen of any kind is applied to it in this paper; readers of an earlier draft of this work should disregard any previously reported LightGBM directional-flip count. All LOCO SHAP values (either model) are reported as feature-importance rankings only, without any assigned cross-cohort direction, because the LOCO SHAP background (training cohorts) and evaluation set (held-out cohort) come from systematically different populations, confounding sign with raw cross-cohort compositional differences.</w:t>
      </w:r>
    </w:p>
    <w:p>
      <w:pPr>
        <w:pStyle w:val="BodyText"/>
      </w:pPr>
      <w:r>
        <w:rPr>
          <w:b/>
          <w:bCs/>
        </w:rPr>
        <w:t xml:space="preserve">Model regularization mislabeled as</w:t>
      </w:r>
      <w:r>
        <w:rPr>
          <w:b/>
          <w:bCs/>
        </w:rPr>
        <w:t xml:space="preserve"> </w:t>
      </w:r>
      <w:r>
        <w:rPr>
          <w:b/>
          <w:bCs/>
        </w:rPr>
        <w:t xml:space="preserve">“elastic-net”</w:t>
      </w:r>
      <w:r>
        <w:rPr>
          <w:b/>
          <w:bCs/>
        </w:rPr>
        <w:t xml:space="preserve"> </w:t>
      </w:r>
      <w:r>
        <w:rPr>
          <w:b/>
          <w:bCs/>
        </w:rPr>
        <w:t xml:space="preserve">in earlier drafts:</w:t>
      </w:r>
      <w:r>
        <w:t xml:space="preserve"> </w:t>
      </w:r>
      <w:r>
        <w:t xml:space="preserve">The logistic-regression models throughout this paper (</w:t>
      </w:r>
      <w:r>
        <w:rPr>
          <w:rStyle w:val="VerbatimChar"/>
        </w:rPr>
        <w:t xml:space="preserve">solver="saga"</w:t>
      </w:r>
      <w:r>
        <w:t xml:space="preserve">) were never configured with</w:t>
      </w:r>
      <w:r>
        <w:t xml:space="preserve"> </w:t>
      </w:r>
      <w:r>
        <w:rPr>
          <w:rStyle w:val="VerbatimChar"/>
        </w:rPr>
        <w:t xml:space="preserve">penalty="elasticnet"</w:t>
      </w:r>
      <w:r>
        <w:t xml:space="preserve">, and are therefore L2 (ridge)-regularized, not elastic-net, despite being described as</w:t>
      </w:r>
      <w:r>
        <w:t xml:space="preserve"> </w:t>
      </w:r>
      <w:r>
        <w:t xml:space="preserve">“elastic-net”</w:t>
      </w:r>
      <w:r>
        <w:t xml:space="preserve"> </w:t>
      </w:r>
      <w:r>
        <w:t xml:space="preserve">in earlier drafts of this manuscript and despite an</w:t>
      </w:r>
      <w:r>
        <w:t xml:space="preserve"> </w:t>
      </w:r>
      <w:r>
        <w:rPr>
          <w:rStyle w:val="VerbatimChar"/>
        </w:rPr>
        <w:t xml:space="preserve">l1_ratio</w:t>
      </w:r>
      <w:r>
        <w:t xml:space="preserve"> </w:t>
      </w:r>
      <w:r>
        <w:t xml:space="preserve">parameter being present (and silently ignored by scikit-learn) in the estimator configuration. This is a terminology correction, not a re-fit: every AUC, SHAP, and coefficient value reported in this paper was always computed from the L2-regularized model actually fit by the code, and none of those numbers change as a result of this correction. One consequence is that essentially no fitted coefficient is exactly zero in the coefficient-stability analysis (Section 2.8), since L2 regularization does not perform the sparse variable selection that true elastic-net or L1 penalties would.</w:t>
      </w:r>
    </w:p>
    <w:p>
      <w:r>
        <w:pict>
          <v:rect style="width:0;height:1.5pt" o:hralign="center" o:hrstd="t" o:hr="t"/>
        </w:pict>
      </w:r>
    </w:p>
    <w:bookmarkEnd w:id="35"/>
    <w:bookmarkEnd w:id="36"/>
    <w:bookmarkStart w:id="37"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however, LOCO cross-cohort AUC values fell to 0.504–0.813, a mean drop of 0.176 AUC points for logistic regression. This generalization-failure pattern was robust to a strict training-only re-derivation of the feature-selection step (LOCO AUC changed by at most 0.066 when held-out-cohort information was fully excluded from genus selection). Batch correction was evaluated under two designs: a label-blind design (no diagnosis information used) left mean LOCO AUC essentially unchanged relative to uncorrected (within 0.007 AUC for both methods and models), and did not recover cross-cohort transferability; an exploratory label-informed design (using each sample’s own true diagnosis label, which cannot estimate prospective performance) produced large, cohort-specific degradation that is attributable in substantial part to the label-informed design itself rather than to an intrinsic property of the correction algorithms. PERMANOVA revealed that cohort identity explained approximately 12 times more compositional variance than disease status (marginal R²: 0.172 vs. 0.014) — an empirical measure of relative heterogeneity that provides context for, but does not by itself explain, the batch-correction results — and a cohort identity classifier achieved macro-AUC=0.9917, confirming that cohort structure dominates the feature space. Sensitivity analyses confirmed that generalization failure persists across all three prespecified cohort-exclusion configurations. Out-of-fold SHAP analysis identified near-zero but statistically detectable taxon overlap between cohort-specific predictive signatures (mean Jaccard 0.135 for logistic regression and 0.058 for LightGBM, both significant against a null matched to the observed statistic’s construction at the primary N=20 threshold, though the LightGBM result was not significant at N=10) and, using a pre-specified descriptive coefficient-sign-stability screen (not a formal hypothesis test), eight genera for logistic regression whose fitted-model coefficient direction is opposite and stable across cohorts; no comparable screen is applied to LightGBM, which has no single coefficient-like global direction. These findings demonstrate substantial cross-cohort generalization limitations in the cohorts evaluated here; the two batch-correction methods tested under the label-blind transductive design did not recover transferability. Multi-cohort harmonized prospective studies and mandatory cross-cohort validation are needed before microbiome-based AD biomarkers can achieve clinical utility.</w:t>
      </w:r>
    </w:p>
    <w:p>
      <w:r>
        <w:pict>
          <v:rect style="width:0;height:1.5pt" o:hralign="center" o:hrstd="t" o:hr="t"/>
        </w:pict>
      </w:r>
    </w:p>
    <w:bookmarkEnd w:id="37"/>
    <w:bookmarkStart w:id="38"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38"/>
    <w:bookmarkStart w:id="39"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39"/>
    <w:bookmarkStart w:id="40"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0"/>
    <w:bookmarkStart w:id="41"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1"/>
    <w:bookmarkStart w:id="42"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2"/>
    <w:bookmarkStart w:id="43"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2026-09-12T23:56:14Z</dcterms:created>
  <dcterms:modified xsi:type="dcterms:W3CDTF">2026-09-12T23:56:14Z</dcterms:modified>
</cp:coreProperties>
</file>

<file path=docProps/custom.xml><?xml version="1.0" encoding="utf-8"?>
<Properties xmlns="http://schemas.openxmlformats.org/officeDocument/2006/custom-properties" xmlns:vt="http://schemas.openxmlformats.org/officeDocument/2006/docPropsVTypes"/>
</file>