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(retained at ≥20% prevalence in at least one cohort, applied globally across all five cohorts before any supervised split), transformed to centered log-ratio (CLR) coordinates for compositional analysis; a dedicated sensitivity analysis re-deriving this feature set independently within each training split (never using held-out-cohort information) reproduced the same qualitative generalization-failure pattern (LOCO AUC changed by at most 0.066).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For Zhu 2022, whose near-perfect within-cohort AUC (0.998 logistic regression, 0.979 LightGBM) is based on only 60 samples, 50 repetitions of the nested-CV partition gave a mean AUC of 0.9955 (SD 0.0027) for logistic regression and 0.9760 (SD 0.0103) for LightGBM, indicating this performance level is not an artifact of one particular fold assignment; a 1,000-permutation label-permutation test under the same strict training-only pipeline gave a null distribution centered near chance (mean AUC≈0.47 for both models) with no permutation reaching the observed value for either model (empirical p≈0.000999, the resolution floor at this permutation count). In leave-one-cohort-out (LOCO) transfer experiments, LOCO AUC-ROC fell to 0.504–0.813, a mean drop of 0.176 AUC points for logistic regression and 0.146 for LightGBM, with one of eight model–cohort combinations collapsing to near chance (AUC = 0.504). A paired, diagnosis-stratified, participant-level bootstrap (10,000 replicates, identical resampled participants used for both the within-cohort and LOCO score in each replicate) formally compared within-cohort and LOCO AUC for all eight cohort–model pairs: five of eight showed a delta reliably above zero (95% bootstrap CI on the delta excluding zero), while the remaining three (Zhuang 2018, both models; Kazakhstan LightGBM) showed the same-signed (within-cohort higher than LOCO) delta but with a 95% CI that included zero. PERMANOVA on Aitchison distance showed that cohort identity explained 19.3% of total Aitchison variance across all five cohorts (F=30.13, p=0.0001); in the four-cohort marginal model, cohort explained R²=0.172 versus only 0.014 for disease label. This disparity is sensitive to cohort composition: restricting to the three technically more comparable Chinese paired-end MiSeq cohorts (Zhuang 2018, Ling 2020, Zhu 2022) reduced it from approximately 12-fold to approximately 2.6-fold (cohort R²=0.059 vs. diagnosis R²=0.023), and pairwise beta-dispersion comparisons showed the overall dispersion difference was driven predominantly by one cohort (Ling 2020) rather than uniformly across all pairs. Because cohort is a composite study-of-origin variable, PERMANOVA cannot decompose this variance into technical versus biological sources. Batch correction was evaluated under two designs: a label-blind design (ComBat-seq/MMUPHin fit without any diagnosis information) left mean LOCO AUC essentially unchanged relative to uncorrected (within 0.007 AUC for both methods and models), while an exploratory label-informed design (fit using each sample’s own true diagnosis label, which cannot estimate prospective performance) produced large, method- and cohort-specific degradation, including a collapse to AUC=0.308 for one cohort under ComBat-seq — a result attributable in large part to the label-informed design itself rather than to batch correction per se. Neither design recovered cross-cohort transferability. SHAP analysis using out-of-fold values revealed near-zero pairwise Jaccard similarity between cohorts’ top-20 predictive taxa (mean 0.135 for logistic regression and 0.058 for LightGBM); against a null distribution matched to the observed statistic’s own construction (four random top-N sets per replicate drawn from the shared 396-genus pool, averaging the six pairwise Jaccards among them, 100,000 replicates), logistic regression overlap was significantly above chance at all three tested thresholds (N=10, 20, 50), while LightGBM was significant at N=20 and N=50 but not N=10. A further sensitivity analysis restricting each cohort’s random draws to genera that actually reach ≥20% prevalence within that cohort’s own AD/CN samples (a per-cohort eligible universe rather than the shared pool) reversed the LightGBM finding: LightGBM overlap was not significant at any of N=10, 20, or 50 under this more realistic null (p=0.80, 0.24, 0.061), while logistic regression remained significant at all three thresholds. Using a pre-specified, descriptive cross-fold coefficient-sign-stability screen for logistic regression (positive or negative sign in ≥8 of 10 outer folds, not a formal hypothesis test), eight genera met the criterion for opposite, stable fitted-coefficient directions across cohorts; because LightGBM is a tree ensemble with no single coefficient-like direction, no comparable screen is applied to it. These results demonstrate substantial cross-cohort generalization limitations for gut microbiome-based AD classifiers among the evaluated publicly available 16S datasets, and that the batch correction methods evaluated here do not recover cross-cohort transferability. Multi-cohort harmonized training data and prospective validation across additional, more diverse cohorts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evaluation of whether two commonly used batch-correction approaches recover cross-cohort transferability—questions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cohort-associated versus diagnosis-associated compositional variance, as estimated by variance partitioning — noting that</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variance-partitioning method such as PERMANOVA cannot decompose into technical and biological components;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of taxa showing opposite, stable fitted-coefficient directions across cohorts. Together, these findings constitute a systematic quantification of cross-cohort generalization limitations among the evaluated publicly available gut microbiome AD classifier datasets, with direct implications for the field’s trajectory toward clinical translation.</w:t>
      </w:r>
    </w:p>
    <w:p>
      <w:r>
        <w:pict>
          <v:rect style="width:0;height:1.5pt" o:hralign="center" o:hrstd="t" o:hr="t"/>
        </w:pict>
      </w:r>
    </w:p>
    <w:bookmarkEnd w:id="10"/>
    <w:bookmarkStart w:id="24"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and we do not describe it as one; it is transparently identified as a global, all-cohort feature-selection step, and its effect on the paper’s conclusions is evaluated directly by a strict training-only sensitivity analysis (Section 2.5.1) rather than assumed to be negligible.</w:t>
      </w:r>
    </w:p>
    <w:p>
      <w:pPr>
        <w:pStyle w:val="BodyText"/>
      </w:pPr>
      <w:r>
        <w:rPr>
          <w:b/>
          <w:bCs/>
        </w:rPr>
        <w:t xml:space="preserve">Leakage status of every preprocessing step, stated explicitly.</w:t>
      </w:r>
      <w:r>
        <w:t xml:space="preserve"> </w:t>
      </w:r>
      <w:r>
        <w:t xml:space="preserve">To avoid any ambiguity about which steps could, in principle, leak held-out-cohort or held-out-sample information into a downstream evaluation, every preprocessing operation used in this paper is classified here: (1)</w:t>
      </w:r>
      <w:r>
        <w:t xml:space="preserve"> </w:t>
      </w:r>
      <w:r>
        <w:rPr>
          <w:i/>
          <w:iCs/>
        </w:rPr>
        <w:t xml:space="preserve">DADA2 ASV inference and error-model estimation</w:t>
      </w:r>
      <w:r>
        <w:t xml:space="preserve"> </w:t>
      </w:r>
      <w:r>
        <w:t xml:space="preserve">(this section) is performed independently per cohort using only that cohort’s own reads, is label-free (uses no diagnosis information), and cannot leak across cohorts or across AD/CN status by construction.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this is a genuine, acknowledged methodological limitation, not leakage-free, and its practical impact is bounded by the training-only sensitivity analysis in Section 2.5.1, which re-derives the feature set from only the training-side samples of every individual split and finds the qualitative generalization-failure conclusion unchanged. (3)</w:t>
      </w:r>
      <w:r>
        <w:t xml:space="preserve"> </w:t>
      </w:r>
      <w:r>
        <w:rPr>
          <w:i/>
          <w:iCs/>
        </w:rPr>
        <w:t xml:space="preserve">Zero-replacement and CLR transformation</w:t>
      </w:r>
      <w:r>
        <w:t xml:space="preserve"> </w:t>
      </w:r>
      <w:r>
        <w:t xml:space="preserve">(Section 2.3) are deterministic, closed-form functions applied independently to each sample’s own count vector; they use no information from any other sample, cohort, or diagnosis label, and are therefore sample-local operations with no leakage pathway of any kind. (4)</w:t>
      </w:r>
      <w:r>
        <w:t xml:space="preserve"> </w:t>
      </w:r>
      <w:r>
        <w:rPr>
          <w:i/>
          <w:iCs/>
        </w:rPr>
        <w:t xml:space="preserve">Model hyperparameter tuning and fitting</w:t>
      </w:r>
      <w:r>
        <w:t xml:space="preserve"> </w:t>
      </w:r>
      <w:r>
        <w:t xml:space="preserve">(Sections 2.4–2.5) use only the training-side samples of whichever split is being evaluated (inner CV within a training fold for within-cohort analyses; the training-cohort pool for LOCO/pairwise analyses), with test-side samples never used for tuning, fitting, or feature standardization. (5) The</w:t>
      </w:r>
      <w:r>
        <w:t xml:space="preserve"> </w:t>
      </w:r>
      <w:r>
        <w:rPr>
          <w:i/>
          <w:iCs/>
        </w:rPr>
        <w:t xml:space="preserve">strict training-only sensitivity re-derivation</w:t>
      </w:r>
      <w:r>
        <w:t xml:space="preserve"> </w:t>
      </w:r>
      <w:r>
        <w:t xml:space="preserve">(Section 2.5.1) additionally re-derives genus selection itself from only the training-side samples of every split, closing the one leakage pathway identified in (2) for that specific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both run under the strict training-only feature-selection pipeline (Section 2.5.1) rather than the global feature set, so that no step of either analysis could leak held-out-fold information.</w:t>
      </w:r>
    </w:p>
    <w:p>
      <w:pPr>
        <w:pStyle w:val="BodyText"/>
      </w:pPr>
      <w:r>
        <w:rPr>
          <w:b/>
          <w:bCs/>
        </w:rPr>
        <w:t xml:space="preserve">Repeated nested cross-validation.</w:t>
      </w:r>
      <w:r>
        <w:t xml:space="preserve"> </w:t>
      </w:r>
      <w:r>
        <w:t xml:space="preserve">The 10-fold outer / 5-fold inner nested-CV procedure (Section 2.4) was repeated 50 times, each repetition using a different, pre-specified deterministic random seed (seeds 1000–1049) for the stratified outer-fold partition, with genus selection, zero-replacement, CLR transformation, and model tuning re-derived independently within every outer fold of every repetition using only that fold’s training-side samples. We report the mean, standard deviation, median, 2.5th/97.5th percentile, minimum, and maximum pooled-OOF AUC across the 50 repetitions. This procedure quantifies sensitivity to the arbitrary choice of fold assignment; it is explicitly not a set of independent replications of the study (the underlying 60 participants are identical across all 50 repetitions), and we report it as fold-assignment stability rather than as an independent-sample validation.</w:t>
      </w:r>
    </w:p>
    <w:p>
      <w:pPr>
        <w:pStyle w:val="BodyText"/>
      </w:pPr>
      <w:r>
        <w:rPr>
          <w:b/>
          <w:bCs/>
        </w:rPr>
        <w:t xml:space="preserve">Label permutation test.</w:t>
      </w:r>
      <w:r>
        <w:t xml:space="preserve"> </w:t>
      </w:r>
      <w:r>
        <w:t xml:space="preserve">Under the same strict training-only pipeline and the same fixed outer-fold partition (random_state=42, matching the partition used throughout the rest of this paper), we additionally ran a label-permutation test: in each of up to 1,000 permutations, the AD/CN labels were randomly shuffled across the 60 participants (preserving the 30/30 class split) using a pre-specified seed, and the entire training-only pipeline — genus selection, zero-replacement, CLR transformation, hyperparameter tuning, and model fitting — was re-run inside every outer fold using only that fold’s training-side samples and the permuted labels, producing a null pooled-OOF AUC for that permutation. Because genus selection and CLR feature construction depend only on which participants are in a fold’s training set (not on their labels), these steps were precomputed once per outer-fold partition and reused across all permutations — a pure implementation optimization with no effect on the statistical result, since the model itself is always refit on the permuted labels. The empirical p-value was computed as</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using the training-only single-partition AUC as the observed value. If computational constraints prevented reaching 1,000 permutations, at least 500 were run and the actual number achieved is reported together with the resulting p-value resolution floor (</w:t>
      </w:r>
      <m:oMath>
        <m:r>
          <m:t>1</m:t>
        </m:r>
        <m:r>
          <m:rPr>
            <m:sty m:val="p"/>
          </m:rPr>
          <m:t>/</m:t>
        </m:r>
        <m:r>
          <m:rPr>
            <m:sty m:val="p"/>
          </m:rPr>
          <m:t>(</m:t>
        </m:r>
        <m:sSub>
          <m:e>
            <m:r>
              <m:t>n</m:t>
            </m:r>
          </m:e>
          <m:sub>
            <m:r>
              <m:t>p</m:t>
            </m:r>
            <m:r>
              <m:t>e</m:t>
            </m:r>
            <m:r>
              <m:t>r</m:t>
            </m:r>
            <m:r>
              <m:t>m</m:t>
            </m:r>
          </m:sub>
        </m:sSub>
        <m:r>
          <m:rPr>
            <m:sty m:val="p"/>
          </m:rPr>
          <m:t>+</m:t>
        </m:r>
        <m:r>
          <m:t>1</m:t>
        </m:r>
        <m:r>
          <m:rPr>
            <m:sty m:val="p"/>
          </m:rPr>
          <m:t>)</m:t>
        </m:r>
      </m:oMath>
      <w:r>
        <w:t xml:space="preserve">); we do not interpret any p-value below this floor as more precise than the floor itself.</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Non-overlap of two independently computed confidence intervals is not a formal statistical test of whether their difference is nonzero, and is not used as one anywhere in this paper; the AUC drop is instead evaluated with the paired bootstrap procedure described in Section 2.5.2.</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confidence intervals are a heuristic, not a formal statistical comparison of two AUC values. To formally test whether within-cohort AUC exceeds LOCO AUC for each of the eight cohort–model combinations, we performed a paired, diagnosis-stratified, participant-level bootstrap. For each cohort–model pair, the within-cohort out-of-fold prediction and the LOCO (that cohort held out) prediction refer to the same participants; each of 10,000 bootstrap replicates resampled participants with replacement, separately within the AD group and within the CN group, once per replicate, and used that same resampled index set to compute both the within-cohort AUC and the LOCO AUC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reflects a genuine paired comparison rather than the difference of two independently resampled statistics. We report the observed delta, the bootstrap mean delta, the 95% percentile CI of the bootstrap delta distribution, and the proportion of bootstrap replicates with</w:t>
      </w:r>
      <w:r>
        <w:t xml:space="preserve"> </w:t>
      </w:r>
      <m:oMath>
        <m:r>
          <m:rPr>
            <m:sty m:val="p"/>
          </m:rPr>
          <m:t>Δ</m:t>
        </m:r>
        <m:r>
          <m:rPr>
            <m:sty m:val="p"/>
          </m:rPr>
          <m:t>≤</m:t>
        </m:r>
        <m:r>
          <m:t>0</m:t>
        </m:r>
      </m:oMath>
      <w:r>
        <w:t xml:space="preserve">; this proportion is an empirical bootstrap quantity, not an exact parametric p-value, and we do not describe it as one. Every within-cohort and LOCO AUC 95% CI reported elsewhere in this paper (Table 2, Table 3, Table S1) was regenerated using this same diagnosis-stratified, participant-level bootstrap procedure (single-statistic percentile CI, 10,000 replicates), so that every confidence interval in the paper is produced by one consistent, explicitly specified resampling procedure.</w:t>
      </w:r>
    </w:p>
    <w:p>
      <w:pPr>
        <w:pStyle w:val="BodyText"/>
      </w:pPr>
      <w:r>
        <w:t xml:space="preserve">Within-cohort out-of-fold prediction files do not carry an explicit participant identifier; participant identity was recovered by replicating the exact data-loading and filtering sequence used to produce them and verified, before use, by an exact-match assertion between the recovered diagnosis vector and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 To identify which specific cohort pairs drive the overall dispersion difference, we additionally computed all pairwise betadisper comparisons among the five cohorts (Aitchison distance, 9,999 permutations per pair), with Holm and Benjamini-Hochberg multiplicity adjustment applied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used in this paper decomposes that total into its technical and biological components. To assess how sensitive the cohort-versus-diagnosis variance disparity (Section 3.4) is to this composite structure, we repeated the marginal PERMANOVA and betadisper analyses on a subset restricted to the three cohorts that are more technically comparable to one another — Zhuang 2018, Ling 2020, and Zhu 2022, all Chinese, paired-end MiSeq 2×300bp, V3–V4 studies — while still differing in recruitment site, exact diagnostic procedure, and other unmeasured factors, so this subset is more technically comparable, not technically identical. This sensitivity analysis used the same marginal (</w:t>
      </w:r>
      <w:r>
        <w:rPr>
          <w:rStyle w:val="VerbatimChar"/>
        </w:rPr>
        <w:t xml:space="preserve">by="margin"</w:t>
      </w:r>
      <w:r>
        <w:t xml:space="preserve">) two-variable (cohort + diagnosis) PERMANOVA specification and 9,999 permutations as the main four-cohort model, restricted to binary AD/CN samples from the three cohorts (n=317), together with betadisper/permutest and pairwise post-hoc comparisons on the same subset.</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correction (exploratory/oracle-style sensitivity).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has already seen the answer for every sample it corrects, including test-cohort samples. We retain it only as an exploratory, oracle-style sensitivity analysis illustrating an upper/alternative bound on what correction with label information could do, not as evidence about deployable performance.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meeting this</w:t>
      </w:r>
      <w:r>
        <w:t xml:space="preserve"> </w:t>
      </w:r>
      <w:r>
        <w:rPr>
          <w:b/>
          <w:bCs/>
        </w:rPr>
        <w:t xml:space="preserve">descriptive coefficient-sign-stability screen</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We treat this screen as descriptive, not as a formal hypothesis test: the 10 outer-CV folds within a cohort share substantially overlapping training data (each fold trains on the same 9/10 of that cohort’s samples), so fold-level coefficient signs are not independent statistical replications, and no multiplicity-adjusted p-value is assigned to any individual taxon.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 or stability screen is therefore applied to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Two null distributions are reported. The primary, matched-statistic null was constructed to match the observed statistic’s own construction exactly: in each of 100,000 replicates, four independent random top-N gene sets were drawn (without replacement) from the full, shared 396-genus pool, and the same six unique pairwise Jaccard similarities among those four random sets were averaged to produce one null replicate.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drawing from the shared 396-genus pool: per-cohort genus prevalence varies substantially (e.g., Kazakhstan alone reaches ≥20% prevalence for 356 of 396 genera, versus 115–131 for the three MiSeq cohorts), so a genus essentially absent from a given cohort could still be drawn into that cohort’s random comparison set under the shared-pool null. For this sensitivity analysis, each cohort’s own top-N ranking and its random draws were both restricted to genera reaching ≥20% prevalence within that specific cohort’s own AD/CN-labeled samples — a per-cohort eligible universe rather than the shared pool — with 100,000 replicates per (model, N) combination and every cohort confirmed to have at least N eligible genera before running (no adaptation of N was required for N∈{10,20,50}). We report both nulls and do not assume that significance under the shared-pool null implies significance under the prevalence-restricted null, or vice versa. A genus was classified as a directional flip using the coefficient-stability criterion above, not from this overlap analysis.</w:t>
      </w:r>
    </w:p>
    <w:bookmarkEnd w:id="21"/>
    <w:bookmarkStart w:id="22" w:name="ai-tool-disclosure"/>
    <w:p>
      <w:pPr>
        <w:pStyle w:val="Heading3"/>
      </w:pPr>
      <w:r>
        <w:t xml:space="preserve">2.9 AI Tool Disclosure</w:t>
      </w:r>
    </w:p>
    <w:p>
      <w:pPr>
        <w:pStyle w:val="FirstParagraph"/>
      </w:pPr>
      <w:r>
        <w:t xml:space="preserve">Generative AI tools were used substantively during the preparation of this manuscript and its accompanying analysis code, and this disclosure is intended to describe that use accurately rather than minimize it, per Frontiers’ policy on the use of generative AI in scientific writing. Claude Code (Anthropic; CLI version 2.1.104), using the Claude Sonnet 5 model (model identifier</w:t>
      </w:r>
      <w:r>
        <w:t xml:space="preserve"> </w:t>
      </w:r>
      <w:r>
        <w:rPr>
          <w:rStyle w:val="VerbatimChar"/>
        </w:rPr>
        <w:t xml:space="preserve">claude-sonnet-5</w:t>
      </w:r>
      <w:r>
        <w:t xml:space="preserve">), was used for: drafting and iteratively editing analysis scripts in Python and R; debugging code and diagnosing errors during pipeline development; drafting and revising manuscript and supplementary text; and preparing responses to peer-review comments, including identifying which passages of the manuscript needed to change in response to specific reviewer points. We have no record or evidence of ChatGPT or any other OpenAI tool being used in the preparation of this manuscript or its analyses; if such a tool was used by the author outside the record available for this disclosure, that use is not captured here.</w:t>
      </w:r>
    </w:p>
    <w:p>
      <w:pPr>
        <w:pStyle w:val="BodyText"/>
      </w:pPr>
      <w:r>
        <w:t xml:space="preserve">All code was executed in the author’s own local computational environment (Section 2.10); no analysis, statistical result, or figure in this paper was generated by an AI tool acting outside that environment or without the underlying code being available for inspection. Every numerical result, citation, and factual claim in this manuscript was checked by the author against its source (script output, source publication, or database record) before inclusion. Every methodological decision — including choice of statistical test, null model construction, feature-selection design, and interpretation of all results — was made and is owned by the author, who takes full responsibility for the accuracy and integrity of the manuscript, including any AI-assisted text or code it contains. No generative AI tool is credited as an author of this work.</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reported in this paper. The initial classifier, PERMANOVA, batch-correction, and SHAP analyses (Sections 2.4–2.8, excluding the additions described below) used scikit-learn v1.5, lightgbm v4, shap v0.51, pandas v2.x, and numpy v1.x in a conda environment (Python 3.11), and vegan v2.6, sva v3.50 (ComBat-seq), and MMUPHin v1.15 in R v4.3. Analyses added in response to peer review — the training-only feature-selection sensitivity, label-blind batch correction, SHAP coefficient-stability screen, the matched-statistic Jaccard null (Sections 2.5.1, 2.7, 2.8), the Zhu 2022 repeated-CV and permutation robustness analyses (Section 2.4.1), the paired within-cohort-vs-LOCO AUC-difference bootstrap (Section 2.5.2), the pairwise beta-dispersion and Chinese-MiSeq PERMANOVA sensitivity analyses (Section 2.6), and the prevalence-restricted Jaccard null (Section 2.8) — were executed in Python 3.11.15 (scikit-learn 1.5.2, lightgbm 4.6.0, shap 0.51.0, matching the original Python package versions) and R 4.5.1 (vegan 2.7.1, sva 3.58.0, MMUPHin 1.24.0, newer than the initial R environment, reflecting routine system updates over the course of this project). This mixed provenance — original DADA2/R4.3 preprocessing feeding a downstream analysis that combines an unchanged Python environment with an updated R4.5.1 environment — is disclosed here rather than described as a single uniform environment. Figures were generated with matplotlib v3.8 or v3.11 at 300 DPI.</w:t>
      </w:r>
    </w:p>
    <w:p>
      <w:r>
        <w:pict>
          <v:rect style="width:0;height:1.5pt" o:hralign="center" o:hrstd="t" o:hr="t"/>
        </w:pict>
      </w:r>
    </w:p>
    <w:bookmarkEnd w:id="23"/>
    <w:bookmarkEnd w:id="24"/>
    <w:bookmarkStart w:id="31" w:name="results"/>
    <w:p>
      <w:pPr>
        <w:pStyle w:val="Heading2"/>
      </w:pPr>
      <w:r>
        <w:t xml:space="preserve">3. Results</w:t>
      </w:r>
    </w:p>
    <w:bookmarkStart w:id="25"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5"/>
    <w:bookmarkStart w:id="26"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S6) — closely matching the single-partition training-only values (0.9956 and 0.9700, respectively) and showing that the near-perfect AUC is not an artifact of one particular fold assignment. This is a fold-assignment stability check, not an independent replication of the underlying 60-participant sample, which is identical across all 50 repetitions. A complementary label-permutation test under the same strict training-only pipeline and fixed outer-fold partition (1,000 permutations; Section 2.4.1) produced a null AUC distribution centered near chance for both models (logistic regression: null mean 0.473, SD 0.102, 95% range [0.280, 0.673]; LightGBM: null mean 0.472, SD 0.109, 95% range [0.264, 0.688]) — well below the observed training-only single-partition values of 0.9956 and 0.9700 respectively (Supplementary Table S9; Supplementary Figure S6). No permutation among the 1,000 drawn reached the observed AUC for either model, giving an empirical p-value at the resolution floor for this permutation count (p = 1/1,001 ≈ 0.000999 for both models); we report this p-value at its actual resolution and do not interpret it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use the diagnosis-stratified, participant-level bootstrap described in Section 2.5.2 (10,000 replicates), applied uniformly to every AUC CI in this paper.</w:t>
      </w:r>
    </w:p>
    <w:bookmarkEnd w:id="26"/>
    <w:bookmarkStart w:id="27"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w:t>
      </w:r>
    </w:p>
    <w:p>
      <w:pPr>
        <w:pStyle w:val="BodyText"/>
      </w:pPr>
      <w:r>
        <w:rPr>
          <w:b/>
          <w:bCs/>
        </w:rPr>
        <w:t xml:space="preserve">Formal paired test of the within-cohort vs. LOCO AUC difference (Section 2.5.2).</w:t>
      </w:r>
      <w:r>
        <w:t xml:space="preserve"> </w:t>
      </w:r>
      <w:r>
        <w:t xml:space="preserve">A paired, diagnosis-stratified, participant-level bootstrap (10,000 replicates, identical resampled participants used for both AUC values in each replicate) was used to test whether within-cohort AUC formally exceeds LOCO AUC for each of the eight cohort–model pairs, rather than relying on non-overlap of independently computed confidence intervals, which is not a formal test of a nonzero difference. Five of eight pairs showed a 95% bootstrap CI on the delta that excluded zero: Ling 2020 (logistic regression Δ=0.187, 95% CI [0.10, 0.28]; LightGBM Δ=0.188, 95% CI [0.10, 0.28]), Zhu 2022 (logistic regression Δ=0.184, 95% CI [0.07, 0.31]; LightGBM Δ=0.221, 95% CI [0.11, 0.35]), and Kazakhstan logistic regression (Δ=0.201, 95% CI [0.04, 0.36]). The remaining three pairs — Zhuang 2018 logistic regression (Δ=0.129, 95% CI [−0.05, 0.30], proportion of bootstrap replicates with Δ≤0: 0.079), Zhuang 2018 LightGBM (Δ=0.070, 95% CI [−0.10, 0.24], proportion Δ≤0: 0.214), and Kazakhstan LightGBM (Δ=0.104, 95% CI [−0.05, 0.26], proportion Δ≤0: 0.092) — showed the same-signed (within-cohort higher) point estimate but a 95% CI that included zero, and are not formally significant under this test despite the directional pattern being consistent across all eight pairs. We report this honestly rather than treating all eight LOCO drops as equally well-supported: the aggregate pattern of reduced cross-cohort performance is robust, but three of the eight individual cohort–model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formal significance for the AUC drop (Section 2.5.2; Supplementary Table S10): significant (95% CI on Δ excludes 0) for Ling 2020 (both models), Zhu 2022 (both models), and Kazakhstan LogReg; not significant at this sample size for Zhuang 2018 (both models) or Kazakhstan LGBM, despite all eight pairs showing the same-signed drop.</w:t>
      </w:r>
    </w:p>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7"/>
    <w:bookmarkStart w:id="28"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not a decomposition of cohort into technical and biological components:</w:t>
      </w:r>
      <w:r>
        <w:t xml:space="preserve"> </w:t>
      </w:r>
      <w:r>
        <w:t xml:space="preserve">“cohort”</w:t>
      </w:r>
      <w:r>
        <w:t xml:space="preserve"> </w:t>
      </w:r>
      <w:r>
        <w:t xml:space="preserve">is a composite study-of-origin variable bundling sequencing platform, library preparation, recruitment site, diagnostic ascertainment, and unmeasured dietary/lifestyle factors, and PERMANOVA cannot separate these bundled sources (Section 2.6).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PERMANOVA specification to the three cohorts that are more technically comparable to one another — Zhuang 2018, Ling 2020, and Zhu 2022, all Chinese, paired-end MiSeq V3–V4 studies (Section 2.6) — reduced the disparity from approximately 12-fold to approximately 2.6-fold: cohort (marginal) R²=0.0588 (F=10.05, p=0.0001) versus diagnosis (marginal) R²=0.0229 (F=7.83, p=0.0001) in this n=317 subset (Supplementary Table S11). This subset is more technically comparable, not technically identical — recruitment site, exact diagnostic procedure, and unmeasured dietary factors still differ across these three studies — but removing Kazakhstan’s single-end/NovaSeq platform and Kim/KBASE’s separate country substantially changes the cohort-to-diagnosis variance ratio. We conclude that the ~12-fold figure computed on the full four-cohort set is not a stable, generalizable property of</w:t>
      </w:r>
      <w:r>
        <w:t xml:space="preserve"> </w:t>
      </w:r>
      <w:r>
        <w:t xml:space="preserve">“cohort effects versus disease effects”</w:t>
      </w:r>
      <w:r>
        <w:t xml:space="preserve"> </w:t>
      </w:r>
      <w:r>
        <w:t xml:space="preserve">in gut microbiome data; it is specific to the particular set of cohorts compared, and is driven substantially by the inclusion of cohorts that differ from one another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Pairwise post-hoc betadisper comparisons (Section 2.6; Supplementary Table S12) show this overall dispersion difference is not uniform across all cohort pairs: Ling 2020 differs significantly in dispersion from every other cohort (all Holm-adjusted p≤0.0063), and is the single cohort driving most of the significant pairwise comparisons, while shanghai2022 (Zhu 2022) vs. zhuang2018 (Holm p=0.439) and kazakhstan2022 vs. kbase2022 (Holm p=0.439) are not significantly different from one another in dispersion. Within the Chinese-MiSeq-only subset described above, dispersion remained significant (F=7.946, p=0.0004) and was again driven mainly by one cohort — zhuang2018 differed significantly from both ling2020 (p=0.0001) and shanghai2022 (p=0.026), while ling2020 and shanghai2022 did not differ significantly from each other (p=0.343). This dispersion heterogeneity is relevant to interpreting PERMANOVA effect sizes and is acknowledged in the Methods and Limitations sections.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8"/>
    <w:bookmarkStart w:id="29"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exploratory/oracle-style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Batch correction, evaluated under a design that cannot see the answer it is being asked to help predict, neither improves nor substantially worsens cross-cohort transferability in this dataset — it is simply ineffective at recovering it.</w:t>
      </w:r>
    </w:p>
    <w:p>
      <w:pPr>
        <w:pStyle w:val="BodyText"/>
      </w:pPr>
      <w:r>
        <w:rPr>
          <w:b/>
          <w:bCs/>
        </w:rPr>
        <w:t xml:space="preserve">Label-informed correction (exploratory/oracle-style sensitivity; Supplementary Figure S5): severe degradation under this design is largely an artifact of using target labels during correction, not evidence about batch correction’s effect on biological signal.</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under the label-informed design was driven substantially by the design itself — most likely because a global correction model that is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constructs a label-conditional transformation that does not correspond to any transformation a genuinely prospective classifier could apply, rather than by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provides a comparison free of diagnosis-label leakage during correction, because the label-blind correction never saw any sample’s diagnosis label. This comparison is not free of other confounding, however — it remains transductive (cohort membership and raw feature values are still used during correction) and retains whatever cohort/population confounding is otherwise present in the dataset.</w:t>
      </w:r>
      <w:r>
        <w:t xml:space="preserve"> </w:t>
      </w:r>
      <w:r>
        <w:rPr>
          <w:b/>
          <w:bCs/>
        </w:rPr>
        <w:t xml:space="preserve">We do not draw the same conclusion from within-cohort AUC on label-informed-corrected data — that comparison is additionally confounded by label use</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Concluding that</w:t>
      </w:r>
      <w:r>
        <w:t xml:space="preserve"> </w:t>
      </w:r>
      <w:r>
        <w:t xml:space="preserve">“within-cohort AUC preservation rules out indiscriminate signal removal”</w:t>
      </w:r>
      <w:r>
        <w:t xml:space="preserve"> </w:t>
      </w:r>
      <w:r>
        <w:t xml:space="preserve">requires a comparison free of diagnosis-label leakage during correction, which only the label-blind design provides; the label-blind within-cohort comparison supports this conclusion descriptively (Supplementary Table S5), without establishing it as strong biological evidence beyond the observed AUC values themselves, and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9"/>
    <w:bookmarkStart w:id="30"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distribution constructed to match this statistic exactly (100,000 replicates, each averaging the six pairwise Jaccards among four random top-20 sets drawn from the full 396-genus pool; Section 2.8), logistic regression overlap was significantly above chance (null mean 0.027 [95% CI: 0.009–0.049]; p&lt;0.0001), and LightGBM overlap was also significantly above chance at this N (p=0.0048). A sensitivity check across N∈{10,20,50} under this same shared-pool null (Supplementary Table S7) shows logistic regression significant at all three thresholds, while LightGBM was significant at N=20 and N=50 but not at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every genus were equally available in every cohort, but per-cohort prevalence varies substantially (Section 2.8). Restricting each cohort’s top-N ranking and random draws to genera reaching ≥20% prevalence within that cohort’s own AD/CN samples (eligible universe sizes: 131 for Zhuang 2018, 126 for Ling 2020, 115 for Zhu 2022, 356 for Kazakhstan; 100,000 replicates per model/N) changes the LightGBM result: LightGBM overlap was</w:t>
      </w:r>
      <w:r>
        <w:t xml:space="preserve"> </w:t>
      </w:r>
      <w:r>
        <w:rPr>
          <w:b/>
          <w:bCs/>
        </w:rPr>
        <w:t xml:space="preserve">not significant at any of N=10, 20, or 50</w:t>
      </w:r>
      <w:r>
        <w:t xml:space="preserve"> </w:t>
      </w:r>
      <w:r>
        <w:t xml:space="preserve">under this prevalence-restricted null (observed mean Jaccard 0.018/0.063/0.167 vs. null mean 0.026/0.052/0.142; empirical p=0.80, 0.24, 0.061 respectively; Supplementary Table S13). Logistic regression remained significant at all three thresholds under the prevalence-restricted null (observed 0.085/0.135/0.231 vs. null mean 0.026/0.052/0.142; p=0.0017, 0.00003, 0.00001). We treat this as a genuine reversal rather than a discrepancy to be explained away: LightGBM’s cross-cohort top-predictor overlap, which appeared to be a real if small signal under the shared-pool null, is not distinguishable from chance once the null model accounts for each cohort’s own genus-prevalence structure. Logistic regression’s overlap is robust to this change and remains the stronger and more reliable cross-cohort taxonomic-overlap finding of the two models.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Coefficient-sign stability screen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describe this deliberately as a descriptive screen rather than a statistically confirmed set of contradictions: the 10 outer-CV folds share substantially overlapping training sets (each fold’s training data is 9/10 of the same cohort), so fold-level coefficient signs are not 10 independent replications, and no multiplicity-adjusted p-value is assigned to any individual taxon (Section 2.8, Limitations). This is a smaller and more conservative set than a less rigorous alternative approach that classifies any genus with opposite-signed pooled mean SHAP across two cohorts as a</w:t>
      </w:r>
      <w:r>
        <w:t xml:space="preserve"> </w:t>
      </w:r>
      <w:r>
        <w:t xml:space="preserve">“flip”</w:t>
      </w:r>
      <w:r>
        <w:t xml:space="preserve"> </w:t>
      </w:r>
      <w:r>
        <w:t xml:space="preserve">— an approach that, applied to this dataset, would identify twelve such genera; the stability requirement removes genera whose apparent flip is not reproducible across most of a cohort’s own outer folds.</w:t>
      </w:r>
      <w:r>
        <w:t xml:space="preserve"> </w:t>
      </w:r>
      <w:r>
        <w:rPr>
          <w:b/>
          <w:bCs/>
        </w:rPr>
        <w:t xml:space="preserve">No comparable screen is applied to LightGBM</w:t>
      </w:r>
      <w:r>
        <w:t xml:space="preserve">: a tree ensemble has no single coefficient-like, globally monotonic direction, and LightGBM’s SHAP–feature relationships may be nonlinear or non-monotonic, so no scalar direction statistic — descriptive or otherwise — is computed or reported for it.</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30"/>
    <w:bookmarkEnd w:id="31"/>
    <w:bookmarkStart w:id="38" w:name="discussion"/>
    <w:p>
      <w:pPr>
        <w:pStyle w:val="Heading2"/>
      </w:pPr>
      <w:r>
        <w:t xml:space="preserve">4. Discussion</w:t>
      </w:r>
    </w:p>
    <w:bookmarkStart w:id="32"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points for logistic regression and 0.146 for LightGBM, with one of eight model–cohort combinations near chance, demonstrates that within-cohort performance figures — whether from the original cohort publications or from this study’s own nested-CV estimates — cannot be taken as evidence of a generalizable diagnostic signal. A formal paired bootstrap test (Section 3.3) supports this drop for five of the eight cohort–model pairs at conventional significance; the remaining three pairs show the same directional pattern without reaching formal significance at this sample size, and we report this distinction rather than treating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2"/>
    <w:bookmarkStart w:id="33" w:name="Xa47da470aef9839ece143b4c55458caec0eec5c"/>
    <w:p>
      <w:pPr>
        <w:pStyle w:val="Heading3"/>
      </w:pPr>
      <w:r>
        <w:t xml:space="preserve">4.2 Batch Correction Does Not Recover Generalization, and the Reason Requires Separating an Empirical Result from a Hypothesis</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establishes that compositional space is overwhelmingly organized by cohort-of-origin. Separately and equally empirically: batch correction, evaluated under a label-blind design that cannot see any sample’s diagnosis label,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Under the label-informed design, in which ComBat-seq and MMUPHin were both told every sample’s own true diagnosis label during a single joint fit across all four labeled cohorts (Section 2.7), ComBat-seq’s correction substantially worsened LOCO AUC (mean LogReg: 0.640→0.493, with one cohort collapsing to AUC=0.308). Repeating the identical comparison under a label-blind design — same cohorts, same raw features, same downstream LOCO classifiers, the only change being that no diagnosis label is supplied to the correction step — instead reproduces essentially flat LOCO AUC (Section 3.5, Table 4). This side-by-side comparison indicates that the severe degradation under the label-informed design is driven in large part by the design itself — most plausibly because a correction model explicitly told each sample’s diagnosis label constructs a label-conditional transformation with no prospective analog — rather than by an intrinsic incompatibility between ComBat-seq’s negative-binomial framework and 16S compositional data. We therefore do not attribute the label-informed collapse to a property of ComBat-seq’s modeling framework, and we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the label-blind transductive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3"/>
    <w:bookmarkStart w:id="34"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4"/>
    <w:bookmarkStart w:id="35" w:name="Xcbd54829c1c3e93a275d7b4d9ead5b5ecf73f04"/>
    <w:p>
      <w:pPr>
        <w:pStyle w:val="Heading3"/>
      </w:pPr>
      <w:r>
        <w:t xml:space="preserve">4.4 Coefficient-Sign Stability Screen: A Conservative, Descriptive View of Cross-Population Contradictions</w:t>
      </w:r>
    </w:p>
    <w:p>
      <w:pPr>
        <w:pStyle w:val="FirstParagraph"/>
      </w:pPr>
      <w:r>
        <w:t xml:space="preserve">Using a pre-specified coefficient-sign-stability criterion (≥8 of 10 outer folds agreeing in sign; Section 2.8), eight genera met this descriptive screen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more conservative set than the meta-analytic literature’s qualitative suggestion that some taxa carry contradictory directions of effect in different populations might imply, and we present it descriptively rather than as a statistically confirmed set of contradictions: the 10 outer-CV folds share substantially overlapping training data (each fold’s training set is 9/10 of the same cohort), so fold-level coefficient signs are not independent replications in the formal statistical sense, and we do not assign multiplicity-adjusted p-values to individual taxa (Section 2.8, Limitations). A less conservative alternative approach — classifying a flip as any genus with opposite-signed</w:t>
      </w:r>
      <w:r>
        <w:t xml:space="preserve"> </w:t>
      </w:r>
      <w:r>
        <w:rPr>
          <w:i/>
          <w:iCs/>
        </w:rPr>
        <w:t xml:space="preserve">pooled mean SHAP</w:t>
      </w:r>
      <w:r>
        <w:t xml:space="preserve"> </w:t>
      </w:r>
      <w:r>
        <w:t xml:space="preserve">across two cohorts (a background-relative quantity, not the model’s coefficient; Section 2.8) — would identify twelve such genera for logistic regression and, using the same statistic, a further twelve for LightGBM. Requiring the direction to be reproducible across most of a cohort’s own outer folds, and grounding it in the fitted coefficient rather than a background-dependent SHAP quantity, is why this paper reports eight genera for logistic regression and none for LightGBM: a tree ensemble has no single coefficient-like global direction to test for stability in the first place (Section 2.8), so no LightGBM directional-flip count is reported anywhere in this paper.</w:t>
      </w:r>
    </w:p>
    <w:p>
      <w:pPr>
        <w:pStyle w:val="BodyText"/>
      </w:pPr>
      <w:r>
        <w:rPr>
          <w:i/>
          <w:iCs/>
        </w:rPr>
        <w:t xml:space="preserve">Romboutsia</w:t>
      </w:r>
      <w:r>
        <w:t xml:space="preserve"> </w:t>
      </w:r>
      <w:r>
        <w:t xml:space="preserve">shows the cleanest cohort-level pattern among the eight: a stable negative fitted coefficient in all three Chinese cohorts, and a stable positive coefficient in Kazakhstan; we offer no mechanistic hypothesis for this genus.</w:t>
      </w:r>
      <w:r>
        <w:t xml:space="preserve"> </w:t>
      </w:r>
      <w:r>
        <w:rPr>
          <w:i/>
          <w:iCs/>
        </w:rPr>
        <w:t xml:space="preserve">Lactobacillus</w:t>
      </w:r>
      <w:r>
        <w:t xml:space="preserve"> </w:t>
      </w:r>
      <w:r>
        <w:t xml:space="preserve">also meets the screen, but its per-cohort pattern (stable-negative in Zhuang 2018 only; stable-positive in the other three cohorts) does not cleanly separate by country. Diet is a plausible unmeasured confounder for genus-level cohort differences generally, but this dataset has no dietary covariate data, and we do not attribute any specific taxon’s pattern to diet or any other mechanism without such data.</w:t>
      </w:r>
    </w:p>
    <w:p>
      <w:pPr>
        <w:pStyle w:val="BodyText"/>
      </w:pPr>
      <w:r>
        <w:rPr>
          <w:i/>
          <w:iCs/>
        </w:rPr>
        <w:t xml:space="preserve">Akkermansia</w:t>
      </w:r>
      <w:r>
        <w:t xml:space="preserve"> </w:t>
      </w:r>
      <w:r>
        <w:t xml:space="preserve">illustrates why the coefficient-based, stability-gated definition matters: its pooled mean SHAP value appears to reverse sign between cohorts (Section 3.6), but its fitted logistic-regression coefficient is positive and stable (10 of 10 outer folds) in all four cohorts (Supplementary Table S6), meaning the model never learned an inconsistent direction for this genus; the apparent sign reversal is an artifact of the background-relative SHAP statistic, not a property of the fitted model.</w:t>
      </w:r>
    </w:p>
    <w:p>
      <w:pPr>
        <w:pStyle w:val="BodyText"/>
      </w:pPr>
      <w:r>
        <w:t xml:space="preserve">The critical implication of the eight taxa meeting this descriptive screen is that they may reflect biological population heterogeneity, technical study effects, or interactions between the two; the present design cannot disentangle these sources, nor does the screen itself establish that any individual taxon’s pattern exceeds what a non-independent, overlapping-fold coefficient estimate could show by chance.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5"/>
    <w:bookmarkStart w:id="36"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6"/>
    <w:bookmarkStart w:id="37"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run once under the same prespecified</w:t>
      </w:r>
      <w:r>
        <w:t xml:space="preserve"> </w:t>
      </w:r>
      <w:r>
        <w:rPr>
          <w:rStyle w:val="VerbatimChar"/>
        </w:rPr>
        <w:t xml:space="preserve">random_state=42</w:t>
      </w:r>
      <w:r>
        <w:t xml:space="preserve"> </w:t>
      </w:r>
      <w:r>
        <w:t xml:space="preserve">cross-validation partition used throughout this paper,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 Repeated cross-validation with multiple random seeds was not performed for this sensitivity analysis, so the 0.066 figure should be read as a single-partition estimate rather than one adjusted for ordinary fold-assignment variability.</w:t>
      </w:r>
    </w:p>
    <w:p>
      <w:pPr>
        <w:pStyle w:val="BodyText"/>
      </w:pPr>
      <w:r>
        <w:rPr>
          <w:b/>
          <w:bCs/>
        </w:rPr>
        <w:t xml:space="preserve">PERMANOVA cannot decompose cohort into technical and biological sources, and the cohort-versus-diagnosis variance disparity is sensitive to which cohorts are compared.</w:t>
      </w:r>
      <w:r>
        <w:t xml:space="preserve"> </w:t>
      </w:r>
      <w:r>
        <w:t xml:space="preserve">“Cohort”</w:t>
      </w:r>
      <w:r>
        <w:t xml:space="preserve"> </w:t>
      </w:r>
      <w:r>
        <w:t xml:space="preserve">in this study is a composite study-of-origin variable bundling sequencing platform, library preparation, recruitment site, diagnostic ascertainment, and unmeasured dietary/lifestyle differences; PERMANOVA and betadisper estimate the total variance associated with this composite variable, not a technical-batch-effect estimate specifically, and no method used in this paper separates the two (Section 2.6). The approximately 12-fold cohort-versus-diagnosis disparity computed across all four labeled cohorts fell to approximately 2.6-fold when restricted to the three more technically comparable Chinese paired-end MiSeq cohorts (Section 3.4), indicating that this ratio is not a fixed property of</w:t>
      </w:r>
      <w:r>
        <w:t xml:space="preserve"> </w:t>
      </w:r>
      <w:r>
        <w:t xml:space="preserve">“cohort effects”</w:t>
      </w:r>
      <w:r>
        <w:t xml:space="preserve"> </w:t>
      </w:r>
      <w:r>
        <w:t xml:space="preserve">in gut microbiome data generally but depends substantially on which cohorts happen to be compared. Readers should not extrapolate the ~12-fold figure to other cohort sets.</w:t>
      </w:r>
    </w:p>
    <w:p>
      <w:pPr>
        <w:pStyle w:val="BodyText"/>
      </w:pPr>
      <w:r>
        <w:rPr>
          <w:b/>
          <w:bCs/>
        </w:rPr>
        <w:t xml:space="preserve">Jaccard overlap significance depends on the null model chosen, and one finding reverses depending on that choice.</w:t>
      </w:r>
      <w:r>
        <w:t xml:space="preserve"> </w:t>
      </w:r>
      <w:r>
        <w:t xml:space="preserve">LightGBM’s cross-cohort top-predictor overlap was significant at N=20/50 (not N=10) under a null that draws candidate genera uniformly from the shared 396-genus pool, but was not significant at any tested N under a null restricted to each cohort’s own ≥20%-prevalence genera (Section 3.6). We report both nulls and the resulting reversal rather than selecting whichever null supports a stronger claim. Logistic regression’s overlap was significant under both null designs at all tested N and is the more robust of the two cross-model findings.</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oracle-style sensitivity analysis; its results (including the severe Kazakhstan collapse under label-informed ComBat-seq, Section 3.5) should not be read as evidence about batch correction’s effect on biological signal in general, since they are substantially confounded by the label-informed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in every repetition and therefore quantifies sensitivity to fold assignment, not sampling variability across independent samples; the label-permutation test in the same section is the analysis that formally tests whether the observed AUC exceeds chance. Separately, the formal paired bootstrap test of within-cohort-vs-LOCO AUC differences (Section 2.5.2, Section 3.3) found three of eight cohort–model pairs (Zhuang 2018, both models; Kazakhstan LightGBM) did not reach a 95% CI excluding zero, despite all eight showing the same-signed drop; we report this honestly rather than treating the aggregate mean drop as equally well-supported for every individual cohort–model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w:t>
      </w:r>
      <w:r>
        <w:t xml:space="preserve"> </w:t>
      </w:r>
      <w:r>
        <w:rPr>
          <w:b/>
          <w:bCs/>
        </w:rPr>
        <w:t xml:space="preserve">The ≥8/10-fold coefficient-sign-stability screen is descriptive, not a formal hypothesis test.</w:t>
      </w:r>
      <w:r>
        <w:t xml:space="preserve"> </w:t>
      </w:r>
      <w:r>
        <w:t xml:space="preserve">The 10 outer-CV folds within a cohort are fit on substantially overlapping training sets (each omits only 1/10 of that cohort’s samples), so they are not independent statistical replications; we do not apply a multiplicity correction across the candidate taxa screened, and no p-value is assigned to any individual taxon’s stability count. The eight genera meeting this screen should be treated as empirical patterns worthy of targeted, covariate-adjusted, and independently-replicated follow-up, not as statistically confirmed mechanistic findings, and no dietary or other mechanistic attribution is made for any of them in the absence of covariate data. For LightGBM, no coefficient-like global direction exists, and no directional screen or flip count of any kind is reported for it anywhere in this paper.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this paper (</w:t>
      </w:r>
      <w:r>
        <w:rPr>
          <w:rStyle w:val="VerbatimChar"/>
        </w:rPr>
        <w:t xml:space="preserve">solver="saga"</w:t>
      </w:r>
      <w:r>
        <w:t xml:space="preserve">) are configured with</w:t>
      </w:r>
      <w:r>
        <w:t xml:space="preserve"> </w:t>
      </w:r>
      <w:r>
        <w:rPr>
          <w:rStyle w:val="VerbatimChar"/>
        </w:rPr>
        <w:t xml:space="preserve">penalty="l2"</w:t>
      </w:r>
      <w:r>
        <w:t xml:space="preserve"> </w:t>
      </w:r>
      <w:r>
        <w:t xml:space="preserve">(not</w:t>
      </w:r>
      <w:r>
        <w:t xml:space="preserve"> </w:t>
      </w:r>
      <w:r>
        <w:rPr>
          <w:rStyle w:val="VerbatimChar"/>
        </w:rPr>
        <w:t xml:space="preserve">"elasticnet"</w:t>
      </w:r>
      <w:r>
        <w:t xml:space="preserve">), and are therefore L2 (ridge)-regularized. An</w:t>
      </w:r>
      <w:r>
        <w:t xml:space="preserve"> </w:t>
      </w:r>
      <w:r>
        <w:rPr>
          <w:rStyle w:val="VerbatimChar"/>
        </w:rPr>
        <w:t xml:space="preserve">l1_ratio</w:t>
      </w:r>
      <w:r>
        <w:t xml:space="preserve"> </w:t>
      </w:r>
      <w:r>
        <w:t xml:space="preserve">parameter is present in the estimator configuration but is silently ignored by scikit-learn under the L2 penalty. One consequence is that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7"/>
    <w:bookmarkEnd w:id="38"/>
    <w:bookmarkStart w:id="39"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the near-perfect Zhu 2022 result was stable across 50 repeated cross-validation partitions (mean AUC 0.9955–0.9760 depending on model) and was distinguishable from a label-permutation null. LOCO cross-cohort AUC values fell to 0.504–0.813, a mean drop of 0.176 AUC points for logistic regression and 0.146 for LightGBM; a formal paired bootstrap test found this drop statistically supported for five of eight cohort–model pairs (Ling 2020 and Zhu 2022, both models; Kazakhstan logistic regression), with the remaining three pairs (Zhuang 2018, both models; Kazakhstan LightGBM) showing the same directional pattern without reaching formal statistical support at this sample size. This generalization-limitation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attributable in substantial part to the label-informed design itself rather than to an intrinsic property of the correction algorithms. PERMANOVA revealed that cohort identity explained substantially more compositional variance than disease status (marginal R²: 0.172 vs. 0.014, approximately 12-fold, across the four labeled cohorts) — an empirical measure of relative heterogeneity in a composite, study-of-origin variable that PERMANOVA cannot decompose into technical and biological sources, and that does not by itself explain the batch-correction results. This disparity is sensitive to cohort composition: restricted to the three more technically comparable Chinese MiSeq cohorts, it falls to approximately 2.6-fold (R²=0.059 vs. 0.023), and pairwise dispersion comparisons show the overall dispersion effect is driven predominantly by one cohort rather than uniformly. A cohort identity classifier achieved macro-AUC=0.9917, confirming that cohort structure dominates the feature space regardless of its technical or biological composition. Sensitivity analyses confirmed that generalization failure persists across all three prespecified cohort-exclusion configurations. Out-of-fold SHAP analysis identified near-zero taxon overlap between cohort-specific predictive signatures (mean Jaccard 0.135 for logistic regression and 0.058 for LightGBM); against a null matched to the observed statistic’s construction, logistic regression overlap was significant at all tested N, while LightGBM was significant at N=20/50 but not N=10 under a shared-genus-pool null, and was not significant at any N under a more realistic per-cohort prevalence-restricted null — a result we report as a genuine reversal rather than preserving the earlier, less rigorous finding. Using a pre-specified descriptive coefficient-sign-stability screen (not a formal hypothesis test), eight genera for logistic regression showed opposite, stable fitted-coefficient direction across cohorts; no comparable screen is applied to LightGBM, which has no single coefficient-like global direction. These findings demonstrate substantial cross-cohort generalization limitations among the evaluated publicly available 16S datasets; the two batch-correction methods tested under the label-blind transductive design did not recover transferability. Multi-cohort harmonized prospective studies and mandatory cross-cohort validation are needed before microbiome-based AD biomarkers can achieve clinical utility.</w:t>
      </w:r>
    </w:p>
    <w:p>
      <w:r>
        <w:pict>
          <v:rect style="width:0;height:1.5pt" o:hralign="center" o:hrstd="t" o:hr="t"/>
        </w:pict>
      </w:r>
    </w:p>
    <w:bookmarkEnd w:id="39"/>
    <w:bookmarkStart w:id="40"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0"/>
    <w:bookmarkStart w:id="41"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1"/>
    <w:bookmarkStart w:id="42"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2"/>
    <w:bookmarkStart w:id="43"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3"/>
    <w:bookmarkStart w:id="44"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2026-09-14T06:36:20Z</dcterms:created>
  <dcterms:modified xsi:type="dcterms:W3CDTF">2026-09-14T06:36:20Z</dcterms:modified>
</cp:coreProperties>
</file>

<file path=docProps/custom.xml><?xml version="1.0" encoding="utf-8"?>
<Properties xmlns="http://schemas.openxmlformats.org/officeDocument/2006/custom-properties" xmlns:vt="http://schemas.openxmlformats.org/officeDocument/2006/docPropsVTypes"/>
</file>