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(retained at ≥20% prevalence in at least one cohort, applied globally across all five cohorts before any supervised split), transformed to centered log-ratio (CLR) coordinates for compositional analysis; a dedicated sensitivity analysis re-deriving this feature set independently within each training split (never using held-out-cohort information) reproduced the same qualitative generalization-failure pattern (LOCO AUC changed by at most 0.066).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in cohort-associated versus diagnosis-associated compositional heterogeneity, which provides context for the observed difficulty of harmonization but does not by itself establish that the two sources of variation overlap or explain why batch correction changed classifier performance. Batch correction was evaluated under two designs: a label-blind design (ComBat-seq/MMUPHin fit without any diagnosis information) left mean LOCO AUC essentially unchanged relative to uncorrected (within 0.007 AUC for both methods and models), while an exploratory label-informed design (fit using each sample’s own true diagnosis label, which cannot estimate prospective performance) produced large, method- and cohort-specific degradation, including a collapse to AUC=0.308 for one cohort under ComBat-seq — a result attributable in large part to the label-informed design itself rather than to batch correction per se. Neither design recovered cross-cohort transferability. SHAP analysis using out-of-fold values revealed near-zero pairwise Jaccard similarity between cohorts’ top-20 predictive taxa (mean 0.135 for logistic regression and 0.058 for LightGBM); against a null distribution matched to the observed statistic’s own construction (four random top-20 sets per replicate, averaging the six pairwise Jaccards among them, 100,000 replicates), both were significantly above chance at the primary N=20 threshold (logistic regression p&lt;0.0001; LightGBM p=0.0048), though the LightGBM result was not significant at N=10 (p=0.45), indicating overlap that is real but small in magnitude and sensitive to the choice of N. Using a pre-specified, descriptive cross-fold coefficient-sign-stability screen for logistic regression (positive or negative sign in ≥8 of 10 outer folds, not a formal hypothesis test), eight genera met the criterion for opposite, stable fitted-coefficient directions across cohorts; because LightGBM is a tree ensemble with no single coefficient-like direction, no comparable screen is applied to it. These results demonstrate that gut microbiome-based AD classifiers trained in one population do not transfer reliably to other populations, that the cohort effect is structurally much larger than the disease effect, and that the batch correction methods evaluated here do not recover this transferability.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reduced mean cross-cohort AUC rather than improving transferability;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2"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 a global feature-selection design whose held-out-cohort information use we evaluate directly in Section 2.5.1.</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was set in the estimator configuration but has no effect under the default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therefore L2 (ridge)-regularized, not elastic-net, despite the model being informally referred to as</w:t>
      </w:r>
      <w:r>
        <w:t xml:space="preserve"> </w:t>
      </w:r>
      <w:r>
        <w:t xml:space="preserve">“elastic-net”</w:t>
      </w:r>
      <w:r>
        <w:t xml:space="preserve"> </w:t>
      </w:r>
      <w:r>
        <w:t xml:space="preserve">in earlier drafts of this work. This is corrected here for accuracy; it does not require re-fitting any model, since the actual fitted models were always L2-regularized.</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6"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5"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5"/>
    <w:bookmarkEnd w:id="16"/>
    <w:bookmarkStart w:id="17"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7"/>
    <w:bookmarkStart w:id="18"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correction (exploratory/oracle-style sensitivity).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has already seen the answer for every sample it corrects, including test-cohort samples. We retain it only as an exploratory, oracle-style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18"/>
    <w:bookmarkStart w:id="19"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The null distribution against which this statistic is compared was constructed to match it exactly: in each of 100,000 replicates, four independent random top-N gene sets were drawn (without replacement) from the full 396-genus pool, and the same six unique pairwise Jaccard similarities among those four random sets were averaged to produce one null replicate — the same statistic-construction procedure as the observed value, rather than a single pairwise Jaccard between two random sets.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 A genus was classified as a directional flip using the coefficient-stability criterion above, not from this overlap analysis.</w:t>
      </w:r>
    </w:p>
    <w:bookmarkEnd w:id="19"/>
    <w:bookmarkStart w:id="20"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20"/>
    <w:bookmarkStart w:id="21"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the Round 2 revision described below. All original (Round 1) Python analyses used scikit-learn v1.5, lightgbm v4, shap v0.51, pandas v2.x, and numpy v1.x in a conda environment (Python 3.11); original R analyses used vegan v2.6, sva v3.50 (ComBat-seq), and MMUPHin v1.15 in R v4.3. The Round 2 analyses added in response to peer review (training-only feature-selection sensitivity, label-blind batch correction, SHAP coefficient-stability, and the matched Jaccard null; Sections 2.5.1, 2.7, 2.8) were executed in Python 3.11.15 (scikit-learn 1.5.2, lightgbm 4.6.0, shap 0.51.0 — matching the original Python package versions) and R 4.5.1 (vegan 2.7.1, sva 3.58.0, MMUPHin 1.24.0 — newer than the original R environment, reflecting routine system updates between the two analysis rounds). This mixed provenance — original DADA2/R4.3 preprocessing feeding into a partially re-run, newer R4.5.1/unchanged-Python downstream analysis — is disclosed here rather than described as a single uniform environment. Figures were generated with matplotlib v3.8 (Round 1) or v3.11 (Round 2 SHAP/Figure 6 regeneration) at 300 DPI.</w:t>
      </w:r>
    </w:p>
    <w:p>
      <w:r>
        <w:pict>
          <v:rect style="width:0;height:1.5pt" o:hralign="center" o:hrstd="t" o:hr="t"/>
        </w:pict>
      </w:r>
    </w:p>
    <w:bookmarkEnd w:id="21"/>
    <w:bookmarkEnd w:id="22"/>
    <w:bookmarkStart w:id="29" w:name="results"/>
    <w:p>
      <w:pPr>
        <w:pStyle w:val="Heading2"/>
      </w:pPr>
      <w:r>
        <w:t xml:space="preserve">3. Results</w:t>
      </w:r>
    </w:p>
    <w:bookmarkStart w:id="23"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3"/>
    <w:bookmarkStart w:id="24"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4"/>
    <w:bookmarkStart w:id="25"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5"/>
    <w:bookmarkStart w:id="26"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6"/>
    <w:bookmarkStart w:id="27"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exploratory/oracle-style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Design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Label-blind (primary)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Label-blind (primary)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Batch correction, evaluated under a design that cannot see the answer it is being asked to help predict, neither improves nor substantially worsens cross-cohort transferability in this dataset — it is simply ineffective at recovering it.</w:t>
      </w:r>
    </w:p>
    <w:p>
      <w:pPr>
        <w:pStyle w:val="BodyText"/>
      </w:pPr>
      <w:r>
        <w:rPr>
          <w:b/>
          <w:bCs/>
        </w:rPr>
        <w:t xml:space="preserve">Label-informed correction (exploratory/oracle-style sensitivity; Supplementary Figure S5): the previously reported severe degradation is largely an artifact of using target labels during correction, not evidence about batch correction’s effect on biological signal.</w:t>
      </w:r>
      <w:r>
        <w:t xml:space="preserve"> </w:t>
      </w:r>
      <w:r>
        <w:t xml:space="preserve">Under the label-informed design — which uses every sample’s own true diagnosis label during correction and therefore cannot represent a deployable or even a fair oracle-style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previously observed was driven substantially by the label-informed design itself — most likely because a global correction model that is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constructs a label-conditional transformation that does not correspond to any transformation a genuinely prospective classifier could apply, rather than by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is a fair, unconfounded comparison because the label-blind correction never saw any sample’s diagnosis label.</w:t>
      </w:r>
      <w:r>
        <w:t xml:space="preserve"> </w:t>
      </w:r>
      <w:r>
        <w:rPr>
          <w:b/>
          <w:bCs/>
        </w:rPr>
        <w:t xml:space="preserve">We do not draw the same conclusion from within-cohort AUC on label-informed-corrected data — that comparison is confounded</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We therefore no longer draw the previously stated conclusion that</w:t>
      </w:r>
      <w:r>
        <w:t xml:space="preserve"> </w:t>
      </w:r>
      <w:r>
        <w:t xml:space="preserve">“within-cohort AUC preservation rules out indiscriminate signal removal”</w:t>
      </w:r>
      <w:r>
        <w:t xml:space="preserve"> </w:t>
      </w:r>
      <w:r>
        <w:t xml:space="preserve">from the label-informed results; that inference required an unconfounded comparison that only the label-blind design provides, and the label-blind within-cohort comparison does support it descriptively (Supplementary Table S5), without establishing this as strong biological evidence beyond the observed AUC values themselves.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7"/>
    <w:bookmarkStart w:id="28"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now assessed against a null matched to the observed statistic.</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a null distribution constructed to match this statistic exactly (100,000 replicates, each averaging the six pairwise Jaccards among four random top-20 sets; Section 2.8), logistic regression overlap was significantly above chance (null mean 0.027 [95% CI: 0.009–0.049]; p&lt;0.0001), and LightGBM overlap was also significantly above chance at this N (p=0.0048). A sensitivity check across N∈{10,20,50} (Supplementary Table S7) shows logistic regression significant at all three thresholds, while LightGBM was significant at N=20 and N=50 but not at N=10 (p=0.45) — indicating that LightGBM’s top-predictor overlap across cohorts, while small in absolute magnitude (0.058, versus a null expectation of 0.027), is a real, detectable signal at the primary and larger N thresholds, more consistent than previously reported but still substantially smaller than logistic regression’s overlap and correspondingly less informative for identifying a small set of consistently important taxa.</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(which an earlier, mean-SHAP-based version of this analysis read as</w:t>
      </w:r>
      <w:r>
        <w:t xml:space="preserve"> </w:t>
      </w:r>
      <w:r>
        <w:t xml:space="preserve">“CN-associated”</w:t>
      </w:r>
      <w:r>
        <w:t xml:space="preserve">) but positive in Zhu 2022 and Kazakhstan — an apparent flip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nonetheless a smaller and more conservative set than an earlier, less rigorous analysis of this dataset that classified any genus with opposite-signed pooled mean SHAP across two cohorts as a</w:t>
      </w:r>
      <w:r>
        <w:t xml:space="preserve"> </w:t>
      </w:r>
      <w:r>
        <w:t xml:space="preserve">“flip”</w:t>
      </w:r>
      <w:r>
        <w:t xml:space="preserve"> </w:t>
      </w:r>
      <w:r>
        <w:t xml:space="preserve">(which had identified twelve such genera); the stability requirement removes genera whose apparent flip was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population-level pattern among the eight taxa meeting the screen: a stable negative coefficient (higher relative abundance predicts lower AD log-odds under the fitted model) in all three Chinese cohorts (Zhuang 2018, Ling 2020, Zhu 2022) and a stable positive coefficient in Kazakhstan (9/10 folds; Supplementary Table S6) — the one genus among the eight whose pattern cleanly separates by country in this dataset. We do not have a specific mechanistic or dietary hypothesis for</w:t>
      </w:r>
      <w:r>
        <w:t xml:space="preserve"> </w:t>
      </w:r>
      <w:r>
        <w:rPr>
          <w:i/>
          <w:iCs/>
        </w:rPr>
        <w:t xml:space="preserve">Romboutsia</w:t>
      </w:r>
      <w:r>
        <w:t xml:space="preserve"> </w:t>
      </w:r>
      <w:r>
        <w:t xml:space="preserve">and do not offer one here.</w:t>
      </w:r>
    </w:p>
    <w:p>
      <w:pPr>
        <w:pStyle w:val="BodyText"/>
      </w:pPr>
      <w:r>
        <w:rPr>
          <w:i/>
          <w:iCs/>
        </w:rPr>
        <w:t xml:space="preserve">Lactobacillus</w:t>
      </w:r>
      <w:r>
        <w:t xml:space="preserve"> </w:t>
      </w:r>
      <w:r>
        <w:t xml:space="preserve">also meets the screen, and is a genus with a well-documented, biologically plausible reason to differ by population — it is the dominant organism in fermented dairy products (kumis, kefir) that are culturally prominent in Central Asian diets — but its actual data pattern does not cleanly support a simple Chinese-cohorts-versus-Kazakhstan narrative: it is stable-negative in Zhuang 2018 only, and stable-positive in Ling 2020, Zhu 2022,</w:t>
      </w:r>
      <w:r>
        <w:t xml:space="preserve"> </w:t>
      </w:r>
      <w:r>
        <w:rPr>
          <w:i/>
          <w:iCs/>
        </w:rPr>
        <w:t xml:space="preserve">and</w:t>
      </w:r>
      <w:r>
        <w:t xml:space="preserve"> </w:t>
      </w:r>
      <w:r>
        <w:t xml:space="preserve">Kazakhstan (Supplementary Table S6) — three of the four cohorts share the same direction, with Zhuang 2018 the outlier rather than Kazakhstan. We flag this discrepancy explicitly rather than fitting the fermented-dairy narrative to a pattern the data do not actually show; a plausible dietary mechanism does not by itself establish that it explains this specific empirical result.</w:t>
      </w:r>
    </w:p>
    <w:p>
      <w:pPr>
        <w:pStyle w:val="BodyText"/>
      </w:pPr>
      <w:r>
        <w:rPr>
          <w:i/>
          <w:iCs/>
        </w:rPr>
        <w:t xml:space="preserve">Akkermansia</w:t>
      </w:r>
      <w:r>
        <w:t xml:space="preserve"> </w:t>
      </w:r>
      <w:r>
        <w:t xml:space="preserve">is a useful contrast to both: despite appearing to reverse direction under the old, invalid mean-signed-SHAP statistic (Section 3.6), its fitted coefficient is stable and</w:t>
      </w:r>
      <w:r>
        <w:t xml:space="preserve"> </w:t>
      </w:r>
      <w:r>
        <w:rPr>
          <w:b/>
          <w:bCs/>
        </w:rPr>
        <w:t xml:space="preserve">positive in all four cohorts</w:t>
      </w:r>
      <w:r>
        <w:t xml:space="preserve"> </w:t>
      </w:r>
      <w:r>
        <w:t xml:space="preserve">(10/10 outer folds in every cohort; Supplementary Table S6) — it does not meet the screen at all under the coefficient-based definition. This genus’s abundance is strongly influenced by host diet, particularly fiber and polyphenol intake (Plovier et al., 2017), and by geographic-population-specific dietary patterns that likely modulate its abundance independently of any AD-specific effect; the coefficient-based analysis indicates that, at least under this fitted model, its association with AD status is directionally consistent across these four populations even though its raw pooled-SHAP appearance was not. All dietary explanations offered in this section remain speculative in the absence of dietary co-variate data and should be read as hypotheses, not established conclusions.</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8"/>
    <w:bookmarkEnd w:id="29"/>
    <w:bookmarkStart w:id="36" w:name="discussion"/>
    <w:p>
      <w:pPr>
        <w:pStyle w:val="Heading2"/>
      </w:pPr>
      <w:r>
        <w:t xml:space="preserve">4. Discussion</w:t>
      </w:r>
    </w:p>
    <w:bookmarkStart w:id="30"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0"/>
    <w:bookmarkStart w:id="31" w:name="Xa47da470aef9839ece143b4c55458caec0eec5c"/>
    <w:p>
      <w:pPr>
        <w:pStyle w:val="Heading3"/>
      </w:pPr>
      <w:r>
        <w:t xml:space="preserve">4.2 Batch Correction Does Not Recover Generalization, and the Reason Requires Separating an Empirical Result from a Hypothesis</w:t>
      </w:r>
    </w:p>
    <w:p>
      <w:pPr>
        <w:pStyle w:val="FirstParagraph"/>
      </w:pPr>
      <w:r>
        <w:t xml:space="preserve">Two distinct findings must be kept separate here, because conflating them was a limitation of how this section was framed in an earlier version of this manuscript.</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establishes that compositional space is overwhelmingly organized by cohort-of-origin. Separately and equally empirically: batch correction, evaluated under a label-blind design that cannot see any sample’s diagnosis label,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A previous version of this analysis additionally reported that ComBat-seq’s correction</w:t>
      </w:r>
      <w:r>
        <w:t xml:space="preserve"> </w:t>
      </w:r>
      <w:r>
        <w:t xml:space="preserve">“substantially worsened”</w:t>
      </w:r>
      <w:r>
        <w:t xml:space="preserve"> </w:t>
      </w:r>
      <w:r>
        <w:t xml:space="preserve">LOCO AUC (mean LogReg: 0.640→0.493, with one cohort collapsing to AUC=0.308) and interpreted this as evidence that ComBat-seq’s negative-binomial framework is poorly calibrated for compositional 16S data. That result was obtained under the label-informed design, in which ComBat-seq and MMUPHin were both told every sample’s own true diagnosis label during a single joint fit across all four labeled cohorts (Section 2.7). Repeating the identical comparison under a label-blind design — same cohorts, same raw features, same downstream LOCO classifiers, the only change being that no diagnosis label is supplied to the correction step — reproduces essentially flat LOCO AUC instead of severe, cohort-specific collapse (Section 3.5, Table 4). This indicates that the earlier</w:t>
      </w:r>
      <w:r>
        <w:t xml:space="preserve"> </w:t>
      </w:r>
      <w:r>
        <w:t xml:space="preserve">“ComBat-seq substantially worsens generalization”</w:t>
      </w:r>
      <w:r>
        <w:t xml:space="preserve"> </w:t>
      </w:r>
      <w:r>
        <w:t xml:space="preserve">claim was driven in large part by the label-informed design itself, not by an intrinsic incompatibility between ComBat-seq’s modeling framework and 16S compositional data; we retract that specific mechanistic claim and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a fair, label-blind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1"/>
    <w:bookmarkStart w:id="32"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2"/>
    <w:bookmarkStart w:id="33" w:name="Xcbd54829c1c3e93a275d7b4d9ead5b5ecf73f04"/>
    <w:p>
      <w:pPr>
        <w:pStyle w:val="Heading3"/>
      </w:pPr>
      <w:r>
        <w:t xml:space="preserve">4.4 Coefficient-Sign Stability Screen: A Conservative, Descriptive View of Cross-Population Contradictions</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opposite associations with AD status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We emphasize</w:t>
      </w:r>
      <w:r>
        <w:t xml:space="preserve"> </w:t>
      </w:r>
      <w:r>
        <w:t xml:space="preserve">“conservative”</w:t>
      </w:r>
      <w:r>
        <w:t xml:space="preserve"> </w:t>
      </w:r>
      <w:r>
        <w:t xml:space="preserve">deliberately — an earlier version of this analysis defined a flip as any genus with opposite-signed</w:t>
      </w:r>
      <w:r>
        <w:t xml:space="preserve"> </w:t>
      </w:r>
      <w:r>
        <w:rPr>
          <w:i/>
          <w:iCs/>
        </w:rPr>
        <w:t xml:space="preserve">pooled mean SHAP</w:t>
      </w:r>
      <w:r>
        <w:t xml:space="preserve"> </w:t>
      </w:r>
      <w:r>
        <w:t xml:space="preserve">across two cohorts (a background-relative quantity, not the model’s coefficient; Section 2.8) and reported twelve such genera for logistic regression and, using the same invalid statistic, a further twelve for LightGBM. Requiring the direction to be reproducible across most of a cohort’s own outer folds, and grounding it in the fitted coefficient rather than a background-dependent SHAP quantity, reduces the logistic-regression count to eight; no comparable count is reported for LightGBM at all, because a tree ensemble has no single coefficient-like global direction to test for stability in the first place (Section 2.8). We treat the removal of the LightGBM claim as a correction, not merely a footnote: the original twelve-taxon LightGBM</w:t>
      </w:r>
      <w:r>
        <w:t xml:space="preserve"> </w:t>
      </w:r>
      <w:r>
        <w:t xml:space="preserve">“flip”</w:t>
      </w:r>
      <w:r>
        <w:t xml:space="preserve"> </w:t>
      </w:r>
      <w:r>
        <w:t xml:space="preserve">list should not be relied upon or cited as evidence of directional inconsistency in tree-based models from this dataset.</w:t>
      </w:r>
    </w:p>
    <w:p>
      <w:pPr>
        <w:pStyle w:val="BodyText"/>
      </w:pPr>
      <w:r>
        <w:rPr>
          <w:i/>
          <w:iCs/>
        </w:rPr>
        <w:t xml:space="preserve">Romboutsia</w:t>
      </w:r>
      <w:r>
        <w:t xml:space="preserve"> </w:t>
      </w:r>
      <w:r>
        <w:t xml:space="preserve">shows the cleanest population-level pattern among the eight: a stable negative fitted coefficient (higher relative abundance predicts lower AD log-odds) in all three Chinese cohorts, and a stable positive coefficient in Kazakhstan. We do not have a specific mechanistic or dietary hypothesis for this genus.</w:t>
      </w:r>
      <w:r>
        <w:t xml:space="preserve"> </w:t>
      </w:r>
      <w:r>
        <w:rPr>
          <w:i/>
          <w:iCs/>
        </w:rPr>
        <w:t xml:space="preserve">Lactobacillus</w:t>
      </w:r>
      <w:r>
        <w:t xml:space="preserve"> </w:t>
      </w:r>
      <w:r>
        <w:t xml:space="preserve">also meets the screen and has an available biological rationale — it is the dominant organism in fermented dairy products (kumis, kefir) culturally prominent in Central Asian diets — but its actual per-cohort pattern is messier than a clean population split: stable-negative in Zhuang 2018 only, and stable-positive in Ling 2020, Zhu 2022,</w:t>
      </w:r>
      <w:r>
        <w:t xml:space="preserve"> </w:t>
      </w:r>
      <w:r>
        <w:rPr>
          <w:i/>
          <w:iCs/>
        </w:rPr>
        <w:t xml:space="preserve">and</w:t>
      </w:r>
      <w:r>
        <w:t xml:space="preserve"> </w:t>
      </w:r>
      <w:r>
        <w:t xml:space="preserve">Kazakhstan (Supplementary Table S6). We report this pattern as observed rather than fitting the fermented-dairy narrative to a Chinese-versus-Kazakhstan split the data do not show; a biologically plausible mechanism for a genus does not by itself establish that the mechanism explains this dataset’s specific result.</w:t>
      </w:r>
    </w:p>
    <w:p>
      <w:pPr>
        <w:pStyle w:val="BodyText"/>
      </w:pPr>
      <w:r>
        <w:rPr>
          <w:i/>
          <w:iCs/>
        </w:rPr>
        <w:t xml:space="preserve">Akkermansia</w:t>
      </w:r>
      <w:r>
        <w:t xml:space="preserve"> </w:t>
      </w:r>
      <w:r>
        <w:t xml:space="preserve">illustrates why the coefficient-based, stability-gated definition matters, in the clearest possible way: its pooled mean SHAP value appears to reverse sign between Ling 2020/Zhuang 2018 and Zhu 2022/Kazakhstan (Section 3.6), which an earlier, mean-SHAP-based version of this analysis read as a directional flip — but its fitted logistic-regression coefficient is positive and stable (10 of 10 outer folds) in all four cohorts (Supplementary Table S6), meaning the model never actually learned an inconsistent direction for this genus; the apparent flip was an artifact of the background-relative SHAP statistic, not a property of the fitted model.</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under the coefficient-based analysis, this genus’s association with AD status is directionally consistent (not flipped) across all four populations studied here.</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3"/>
    <w:bookmarkStart w:id="34"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4"/>
    <w:bookmarkStart w:id="35"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oracle-style sensitivity analysis; its results (including the previously reported severe Kazakhstan collapse under label-informed ComBat-seq) should not be read as evidence about batch correction’s effect on biological signal in general, since they are substantially confounded by the label-informed design itself (Section 4.2).</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and their dietary hypotheses should be treated as empirical patterns worthy of targeted, covariate-adjusted, and independently-replicated follow-up, not as statistically confirmed mechanistic findings. For LightGBM, no coefficient-like global direction exists, and no directional screen of any kind is applied to it in this paper; readers of an earlier draft of this work should disregard any previously reported LightGBM directional-flip count.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Model regularization mislabeled as</w:t>
      </w:r>
      <w:r>
        <w:rPr>
          <w:b/>
          <w:bCs/>
        </w:rPr>
        <w:t xml:space="preserve"> </w:t>
      </w:r>
      <w:r>
        <w:rPr>
          <w:b/>
          <w:bCs/>
        </w:rPr>
        <w:t xml:space="preserve">“elastic-net”</w:t>
      </w:r>
      <w:r>
        <w:rPr>
          <w:b/>
          <w:bCs/>
        </w:rPr>
        <w:t xml:space="preserve"> </w:t>
      </w:r>
      <w:r>
        <w:rPr>
          <w:b/>
          <w:bCs/>
        </w:rPr>
        <w:t xml:space="preserve">in earlier drafts:</w:t>
      </w:r>
      <w:r>
        <w:t xml:space="preserve"> </w:t>
      </w:r>
      <w:r>
        <w:t xml:space="preserve">The logistic-regression models throughout this paper (</w:t>
      </w:r>
      <w:r>
        <w:rPr>
          <w:rStyle w:val="VerbatimChar"/>
        </w:rPr>
        <w:t xml:space="preserve">solver="saga"</w:t>
      </w:r>
      <w:r>
        <w:t xml:space="preserve">) were never configured with</w:t>
      </w:r>
      <w:r>
        <w:t xml:space="preserve"> </w:t>
      </w:r>
      <w:r>
        <w:rPr>
          <w:rStyle w:val="VerbatimChar"/>
        </w:rPr>
        <w:t xml:space="preserve">penalty="elasticnet"</w:t>
      </w:r>
      <w:r>
        <w:t xml:space="preserve">, and are therefore L2 (ridge)-regularized, not elastic-net, despite being described as</w:t>
      </w:r>
      <w:r>
        <w:t xml:space="preserve"> </w:t>
      </w:r>
      <w:r>
        <w:t xml:space="preserve">“elastic-net”</w:t>
      </w:r>
      <w:r>
        <w:t xml:space="preserve"> </w:t>
      </w:r>
      <w:r>
        <w:t xml:space="preserve">in earlier drafts of this manuscript and despite an</w:t>
      </w:r>
      <w:r>
        <w:t xml:space="preserve"> </w:t>
      </w:r>
      <w:r>
        <w:rPr>
          <w:rStyle w:val="VerbatimChar"/>
        </w:rPr>
        <w:t xml:space="preserve">l1_ratio</w:t>
      </w:r>
      <w:r>
        <w:t xml:space="preserve"> </w:t>
      </w:r>
      <w:r>
        <w:t xml:space="preserve">parameter being present (and silently ignored by scikit-learn) in the estimator configuration. This is a terminology correction, not a re-fit: every AUC, SHAP, and coefficient value reported in this paper was always computed from the L2-regularized model actually fit by the code, and none of those numbers change as a result of this correction. One consequence is that essentially no fitted coefficient is exactly zero in the coefficient-stability analysis (Section 2.8), since L2 regularization does not perform the sparse variable selection that true elastic-net or L1 penalties would.</w:t>
      </w:r>
    </w:p>
    <w:p>
      <w:r>
        <w:pict>
          <v:rect style="width:0;height:1.5pt" o:hralign="center" o:hrstd="t" o:hr="t"/>
        </w:pict>
      </w:r>
    </w:p>
    <w:bookmarkEnd w:id="35"/>
    <w:bookmarkEnd w:id="36"/>
    <w:bookmarkStart w:id="37"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This generalization-failure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that is attributable in substantial part to the label-informed design itself rather than to an intrinsic property of the correction algorithms. PERMANOVA revealed that cohort identity explained approximately 12 times more compositional variance than disease status (marginal R²: 0.172 vs. 0.014) — an empirical measure of relative heterogeneity that provides context for, but does not by itself explain, the batch-correction results —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but statistically detectable taxon overlap between cohort-specific predictive signatures (mean Jaccard 0.135 for logistic regression and 0.058 for LightGBM, both significant against a null matched to the observed statistic’s construction at the primary N=20 threshold, though the LightGBM result was not significant at N=10) and, using a pre-specified descriptive coefficient-sign-stability screen (not a formal hypothesis test), eight genera for logistic regression whose fitted-model coefficient direction is opposite and stable across cohorts; no comparable screen is applied to LightGBM, which has no single coefficient-like global direction. These findings demonstrate that the gut microbiome-based AD classifier literature has a fundamental generalization problem that the two batch-correction methods evaluated here, tested under a fair label-blind design, did not recover. Multi-cohort harmonized prospective studies and mandatory cross-cohort validation are needed before microbiome-based AD biomarkers can achieve clinical utility.</w:t>
      </w:r>
    </w:p>
    <w:p>
      <w:r>
        <w:pict>
          <v:rect style="width:0;height:1.5pt" o:hralign="center" o:hrstd="t" o:hr="t"/>
        </w:pict>
      </w:r>
    </w:p>
    <w:bookmarkEnd w:id="37"/>
    <w:bookmarkStart w:id="38"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8"/>
    <w:bookmarkStart w:id="39"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9"/>
    <w:bookmarkStart w:id="40"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0"/>
    <w:bookmarkStart w:id="41"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1"/>
    <w:bookmarkStart w:id="42"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2"/>
    <w:bookmarkStart w:id="43"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2026-09-12T23:29:10Z</dcterms:created>
  <dcterms:modified xsi:type="dcterms:W3CDTF">2026-09-12T23:29:10Z</dcterms:modified>
</cp:coreProperties>
</file>

<file path=docProps/custom.xml><?xml version="1.0" encoding="utf-8"?>
<Properties xmlns="http://schemas.openxmlformats.org/officeDocument/2006/custom-properties" xmlns:vt="http://schemas.openxmlformats.org/officeDocument/2006/docPropsVTypes"/>
</file>