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For Zhu 2022, whose near-perfect within-cohort AUC (0.998 logistic regression, 0.979 LightGBM) is based on only 60 samples, 50 repetitions of the nested-CV partition gave a mean AUC of 0.9955 (SD 0.0027) for logistic regression and 0.9760 (SD 0.0103) for LightGBM, indicating this performance level is not an artifact of one particular fold assignment; a 1,000-permutation label-permutation test under the same strict training-only pipeline gave a null distribution centered near chance (mean AUC≈0.47 for both models) with no permutation reaching the observed value for either model (empirical p≈0.000999, the resolution floor at this permutation count). In leave-one-cohort-out (LOCO) transfer experiments, LOCO AUC-ROC fell to 0.504–0.813, a mean drop of 0.176 AUC points for logistic regression and 0.146 for LightGBM, with one of eight model–cohort combinations collapsing to near chance (AUC = 0.504). A paired, diagnosis-stratified, participant-level bootstrap (10,000 replicates, identical resampled participants used for both the within-cohort and LOCO score in each replicate) formally compared within-cohort and LOCO AUC for all eight cohort–model pairs: five of eight showed a delta reliably above zero (95% bootstrap CI on the delta excluding zero), while the remaining three (Zhuang 2018, both models; Kazakhstan LightGBM) showed the same-signed (within-cohort higher than LOCO) delta but with a 95% CI that included zero. PERMANOVA on Aitchison distance showed that cohort identity explained 19.3% of total Aitchison variance across all five cohorts (F=30.13, p=0.0001); in the four-cohort marginal model, cohort explained R²=0.172 versus only 0.014 for disease label. This disparity is sensitive to cohort composition: restricting to the three technically more comparable Chinese paired-end MiSeq cohorts (Zhuang 2018, Ling 2020, Zhu 2022) reduced it from approximately 12-fold to approximately 2.6-fold (cohort R²=0.059 vs. diagnosis R²=0.023), and pairwise beta-dispersion comparisons showed the overall dispersion difference was driven predominantly by one cohort (Ling 2020) rather than uniformly across all pairs. Because cohort is a composite study-of-origin variable, PERMANOVA cannot decompose this variance into technical versus biological sources.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top-N sets per replicate drawn from the shared 396-genus pool, averaging the six pairwise Jaccards among them, 100,000 replicates), logistic regression overlap was significantly above chance at all three tested thresholds (N=10, 20, 50), while LightGBM was significant at N=20 and N=50 but not N=10. A further sensitivity analysis restricting each cohort’s random draws to genera that actually reach ≥20% prevalence within that cohort’s own AD/CN samples (a per-cohort eligible universe rather than the shared pool) reversed the LightGBM finding: LightGBM overlap was not significant at any of N=10, 20, or 50 under this more realistic null (p=0.80, 0.24, 0.061), while logistic regression remained significant at all three thresholds. Using a pre-specified, descriptive cross-fold coefficient-sign-stability screen for logistic regression (positive or negative sign in ≥8 of 10 outer folds, not a formal hypothesis test), eight genera met the criterion for opposite, stable fitted-coefficient directions across cohorts; because LightGBM is a tree ensemble with no single coefficient-like direction, no comparable screen is applied to it. These results demonstrate substantial cross-cohort generalization limitations for gut microbiome-based AD classifiers among the evaluated publicly available 16S datasets, and that the batch correction methods evaluated here do not recover cross-cohort transferability. Multi-cohort harmonized training data and prospective validation across additional, more diverse cohorts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exactly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r>
          <m:t>1000</m:t>
        </m:r>
        <m:r>
          <m:rPr>
            <m:sty m:val="p"/>
          </m:rPr>
          <m:t>+</m:t>
        </m:r>
        <m:r>
          <m:t>1</m:t>
        </m:r>
        <m:r>
          <m:rPr>
            <m:sty m:val="p"/>
          </m:rPr>
          <m:t>)</m:t>
        </m:r>
      </m:oMath>
      <w:r>
        <w:t xml:space="preserve">, using the training-only single-partition AUC as the observed value; the minimum attainable p-value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evaluate the within-cohort-versus-LOCO AUC difference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Every within-cohort and LOCO AUC 95% CI reported elsewhere in this paper (Table 2, Table 3, Table S1) was regenerated using this same diagnosis-stratified, participant-level bootstrap procedure (single-statistic percentile CI, 10,000 replicates), so that every confidence interval in the paper is produced by one consistent, explicitly specified resampling procedure.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sensitivity analysis (exploratory).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is fit using every sample’s own diagnosis label, including test-cohort samples. We retain it only as an exploratory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S6)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S6).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use the diagnosis-stratified, participant-level bootstrap described in Section 2.5.2 (10,000 replicates), applied uniformly to every AUC CI in this paper.</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was used to formally compare the within-cohort and LOCO AUC difference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Under label-blind transductive adjustment, which did not use diagnosis labels during correction, neither method materially changed mean LOCO AUC or recovered cross-cohort transferability under this design.</w:t>
      </w:r>
    </w:p>
    <w:p>
      <w:pPr>
        <w:pStyle w:val="BodyText"/>
      </w:pPr>
      <w:r>
        <w:rPr>
          <w:b/>
          <w:bCs/>
        </w:rPr>
        <w:t xml:space="preserve">Label-informed transductive sensitivity analysis (Supplementary Figure S5): severe degradation under this design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specific to that design — consistent with a correction model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therefore should not be interpreted as evidence that these correction methods generally degrade cross-cohort performance, or as evidence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a fixed property of the data, however: restricted to the three more technically comparable Chinese paired-end MiSeq cohorts, the same marginal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w:t>
      </w:r>
      <w:r>
        <w:t xml:space="preserve"> </w:t>
      </w:r>
      <w:r>
        <w:t xml:space="preserve">“how separated”</w:t>
      </w:r>
      <w:r>
        <w:t xml:space="preserve"> </w:t>
      </w:r>
      <w:r>
        <w:t xml:space="preserve">cohorts are. Taken together, compositional structure was strongly associated with cohort-of-origin in the evaluated datasets, but the exact magnitude of that association is sensitive to cohort composition and dispersion structure, not a single stable number. Separately and equally empirically: batch correction, evaluated under a label-blind design that did not use any sample’s diagnosis label during correction,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was specific to that design and therefore should not be interpreted as evidence that these correction methods generally degrade cross-cohort performance, or as evidence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The repeated-CV and label-permutation analyses (Section 2.4.1, Section 3.2) show this near-perfect estimate is stable to fold assignment and clearly distinguishable from a chance-label null; despite this stability, the estimate may still overstate population-level performance because it is derived from only 60 participants and has not been independently replicated.</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a hypothetical mixed-compartment analysis pooling fecal and blood samples together — a design this study avoided by excluding the blood samples at the outset (Section 2.4). We recommend that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clinical deployment across heterogeneous external cohorts without prospective validation. A classifier trained on the Zhuang 2018 cohort and applied to the Kazakhstan cohort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exploratory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 0.9955–0.9760 depending on model)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2026-09-14T07:19:27Z</dcterms:created>
  <dcterms:modified xsi:type="dcterms:W3CDTF">2026-09-14T07:19:27Z</dcterms:modified>
</cp:coreProperties>
</file>

<file path=docProps/custom.xml><?xml version="1.0" encoding="utf-8"?>
<Properties xmlns="http://schemas.openxmlformats.org/officeDocument/2006/custom-properties" xmlns:vt="http://schemas.openxmlformats.org/officeDocument/2006/docPropsVTypes"/>
</file>