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APPPS1 controls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using integrated data (Wang et al., 2026), confirming that multi-population integration remains a methodological frontier. The present study is complementary, providing a systematic quantification of cross-cohort generalization failure and an empirical evaluation of whether two commonly used batch-correction approaches recover cross-cohort transferability—questions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cohort-associated versus diagnosis-associated compositional variance, as estimated by variance partitioning — noting that</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variance-partitioning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of taxa showing opposite, stable fitted-coefficient directions across cohorts. Together, these findings constitute a systematic quantification of cross-cohort generalization limitations among the evaluated publicly available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(for supervised analyses);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2 sample types = 180 samples.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reached ≥20% prevalence (i.e., a nonzero count in ≥20% of samples) in at least one of the five cohorts; this prevalence threshold was computed per cohort and the union of genera passing in any cohort was taken across all five cohorts,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and we do not describe it as one; it is transparently identified as a global, all-cohort feature-selection step, and its effect on the paper’s conclusions is evaluated directly by a strict training-only sensitivity analysis (Section 2.5.1) rather than assumed to be negligible.</w:t>
      </w:r>
    </w:p>
    <w:p>
      <w:pPr>
        <w:pStyle w:val="BodyText"/>
      </w:pPr>
      <w:r>
        <w:rPr>
          <w:b/>
          <w:bCs/>
        </w:rPr>
        <w:t xml:space="preserve">Leakage status of every preprocessing step, stated explicitly.</w:t>
      </w:r>
      <w:r>
        <w:t xml:space="preserve"> </w:t>
      </w:r>
      <w:r>
        <w:t xml:space="preserve">To avoid any ambiguity about which steps could, in principle, leak held-out-cohort or held-out-sample information into a downstream evaluation, every preprocessing operation used in this paper is classified here: (1)</w:t>
      </w:r>
      <w:r>
        <w:t xml:space="preserve"> </w:t>
      </w:r>
      <w:r>
        <w:rPr>
          <w:i/>
          <w:iCs/>
        </w:rPr>
        <w:t xml:space="preserve">DADA2 ASV inference and error-model estimation</w:t>
      </w:r>
      <w:r>
        <w:t xml:space="preserve"> </w:t>
      </w:r>
      <w:r>
        <w:t xml:space="preserve">(this section) is performed independently per cohort using only that cohort’s own reads, is label-free (uses no diagnosis information), and cannot leak across cohorts or across AD/CN status by construction.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this is a genuine, acknowledged methodological limitation, not leakage-free, and its practical impact is bounded by the training-only sensitivity analysis in Section 2.5.1, which re-derives the feature set from only the training-side samples of every individual split and finds the qualitative generalization-failure conclusion unchanged. (3)</w:t>
      </w:r>
      <w:r>
        <w:t xml:space="preserve"> </w:t>
      </w:r>
      <w:r>
        <w:rPr>
          <w:i/>
          <w:iCs/>
        </w:rPr>
        <w:t xml:space="preserve">Zero-replacement and CLR transformation</w:t>
      </w:r>
      <w:r>
        <w:t xml:space="preserve"> </w:t>
      </w:r>
      <w:r>
        <w:t xml:space="preserve">(Section 2.3) are deterministic, closed-form functions applied independently to each sample’s own count vector; they use no information from any other sample, cohort, or diagnosis label, and are therefore sample-local operations with no leakage pathway of any kind. (4)</w:t>
      </w:r>
      <w:r>
        <w:t xml:space="preserve"> </w:t>
      </w:r>
      <w:r>
        <w:rPr>
          <w:i/>
          <w:iCs/>
        </w:rPr>
        <w:t xml:space="preserve">Model hyperparameter tuning and fitting</w:t>
      </w:r>
      <w:r>
        <w:t xml:space="preserve"> </w:t>
      </w:r>
      <w:r>
        <w:t xml:space="preserve">(Sections 2.4–2.5) use only the training-side samples of whichever split is being evaluated (inner CV within a training fold for within-cohort analyses; the training-cohort pool for LOCO/pairwise analyses), with test-side samples never used for tuning, fitting, or feature standardization. (5) The</w:t>
      </w:r>
      <w:r>
        <w:t xml:space="preserve"> </w:t>
      </w:r>
      <w:r>
        <w:rPr>
          <w:i/>
          <w:iCs/>
        </w:rPr>
        <w:t xml:space="preserve">strict training-only sensitivity re-derivation</w:t>
      </w:r>
      <w:r>
        <w:t xml:space="preserve"> </w:t>
      </w:r>
      <w:r>
        <w:t xml:space="preserve">(Section 2.5.1) additionally re-derives genus selection itself from only the training-side samples of every split, closing the one leakage pathway identified in (2) for that specific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both run under the strict training-only feature-selection pipeline (Section 2.5.1) rather than the global feature set, so that no step of either analysis could leak held-out-fold information.</w:t>
      </w:r>
    </w:p>
    <w:p>
      <w:pPr>
        <w:pStyle w:val="BodyText"/>
      </w:pPr>
      <w:r>
        <w:rPr>
          <w:b/>
          <w:bCs/>
        </w:rPr>
        <w:t xml:space="preserve">Repeated nested cross-validation.</w:t>
      </w:r>
      <w:r>
        <w:t xml:space="preserve"> </w:t>
      </w:r>
      <w:r>
        <w:t xml:space="preserve">The 10-fold outer / 5-fold inner nested-CV procedure (Section 2.4) was repeated 50 times, each repetition using a different, pre-specified deterministic random seed (seeds 1000–1049) for the stratified outer-fold partition, with genus selection, zero-replacement, CLR transformation, and model tuning re-derived independently within every outer fold of every repetition using only that fold’s training-side samples. We report the mean, standard deviation, median, 2.5th/97.5th percentile, minimum, and maximum pooled-OOF AUC across the 50 repetitions. This procedure quantifies sensitivity to the arbitrary choice of fold assignment; it is explicitly not a set of independent replications of the study (the underlying 60 participants are identical across all 50 repetitions), and we report it as fold-assignment stability rather than as an independent-sample validation.</w:t>
      </w:r>
    </w:p>
    <w:p>
      <w:pPr>
        <w:pStyle w:val="BodyText"/>
      </w:pPr>
      <w:r>
        <w:rPr>
          <w:b/>
          <w:bCs/>
        </w:rPr>
        <w:t xml:space="preserve">Label permutation test.</w:t>
      </w:r>
      <w:r>
        <w:t xml:space="preserve"> </w:t>
      </w:r>
      <w:r>
        <w:t xml:space="preserve">Under the same strict training-only pipeline and the same fixed outer-fold partition (random_state=42, matching the partition used throughout the rest of this paper), we additionally ran a label-permutation test: in each of exactly 1,000 permutations, the AD/CN labels were randomly shuffled across the 60 participants (preserving the 30/30 class split) using a pre-specified seed, and the entire training-only pipeline — genus selection, zero-replacement, CLR transformation, hyperparameter tuning, and model fitting — was re-run inside every outer fold using only that fold’s training-side samples and the permuted labels, producing a null pooled-OOF AUC for that permutation. Because genus selection and CLR feature construction depend only on which participants are in a fold’s training set (not on their labels), these steps were precomputed once per outer-fold partition and reused across all permutations — a pure implementation optimization with no effect on the statistical result, since the model itself is always refit on the permuted labels. The empirical p-value was computed as</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rPr>
            <m:sty m:val="p"/>
          </m:rPr>
          <m:t>(</m:t>
        </m:r>
        <m:r>
          <m:t>1000</m:t>
        </m:r>
        <m:r>
          <m:rPr>
            <m:sty m:val="p"/>
          </m:rPr>
          <m:t>+</m:t>
        </m:r>
        <m:r>
          <m:t>1</m:t>
        </m:r>
        <m:r>
          <m:rPr>
            <m:sty m:val="p"/>
          </m:rPr>
          <m:t>)</m:t>
        </m:r>
      </m:oMath>
      <w:r>
        <w:t xml:space="preserve">, using the training-only single-partition AUC as the observed value; the minimum attainable p-value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the floor itself.</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Non-overlap of two independently computed confidence intervals is not a formal statistical test of whether their difference is nonzero, and is not used as one anywhere in this paper; the AUC drop is instead evaluated with the paired bootstrap procedure described in Section 2.5.2.</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assess whether this affected the generalization-failure conclusion, we repeated the within-cohort nested-CV, LOCO, and pairwise-transfer analyses with genus selection re-derived independently inside every individual split, using only that split’s training-side samples: for each outer fold (within-cohort), each held-out cohort (LOCO), and each train cohort (pairwise), the ≥20%-prevalence filter was recomputed from scratch using only the training-side AD/CN-labeled samples for that specific split, and the corresponding test/held-out samples were projected onto the training-derived genus set (absent genera filled with zero count) before per-sample zero-replacement and CLR transformation. Model families, hyperparameter grids, random state, fold counts, and the bootstrap CI procedure were identical to the main analyses (Sections 2.4–2.5). This produces a strictly train-only feature universe for every split, at the cost of a smaller and split-specific genus count (e.g., 150 genera when Kazakhstan is excluded from feature selection during its own LOCO hold-out, versus 396 in the main global-feature analysis).</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confidence intervals are a heuristic, not a formal statistical comparison of two AUC values. To formally evaluate the within-cohort-versus-LOCO AUC difference for each of the eight cohort–model combinations, we performed a paired, diagnosis-stratified, participant-level bootstrap. For each cohort–model pair, the within-cohort out-of-fold prediction and the LOCO (that cohort held out) prediction refer to the same participants; each of 10,000 bootstrap replicates resampled participants with replacement, separately within the AD group and within the CN group, once per replicate, and used that same resampled index set to compute both the within-cohort AUC and the LOCO AUC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reflects a genuine paired comparison rather than the difference of two independently resampled statistics. We report the observed delta, the bootstrap mean delta, the 95% percentile CI of the bootstrap delta distribution, and the proportion of bootstrap replicates with</w:t>
      </w:r>
      <w:r>
        <w:t xml:space="preserve"> </w:t>
      </w:r>
      <m:oMath>
        <m:r>
          <m:rPr>
            <m:sty m:val="p"/>
          </m:rPr>
          <m:t>Δ</m:t>
        </m:r>
        <m:r>
          <m:rPr>
            <m:sty m:val="p"/>
          </m:rPr>
          <m:t>≤</m:t>
        </m:r>
        <m:r>
          <m:t>0</m:t>
        </m:r>
      </m:oMath>
      <w:r>
        <w:t xml:space="preserve">; this proportion is an empirical bootstrap quantity, not an exact parametric p-value, and we do not describe it as one. Every within-cohort and LOCO AUC 95% CI reported elsewhere in this paper (Table 2, Table 3, Table S1) was regenerated using this same diagnosis-stratified, participant-level bootstrap procedure (single-statistic percentile CI, 10,000 replicates), so that every confidence interval in the paper is produced by one consistent, explicitly specified resampling procedure.</w:t>
      </w:r>
    </w:p>
    <w:p>
      <w:pPr>
        <w:pStyle w:val="BodyText"/>
      </w:pPr>
      <w:r>
        <w:t xml:space="preserve">Within-cohort out-of-fold prediction files do not carry an explicit participant identifier; participant identity was recovered by replicating the exact data-loading and filtering sequence used to produce them and verified, before use, by an exact-match assertion between the recovered diagnosis vector and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 To identify which specific cohort pairs drive the overall dispersion difference, we additionally computed all pairwise betadisper comparisons among the five cohorts (Aitchison distance, 9,999 permutations per pair), with Holm and Benjamini-Hochberg multiplicity adjustment applied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used in this paper decomposes that total into its technical and biological components. To assess how sensitive the cohort-versus-diagnosis variance disparity (Section 3.4) is to this composite structure, we repeated the marginal PERMANOVA and betadisper analyses on a subset restricted to the three cohorts that are more technically comparable to one another — Zhuang 2018, Ling 2020, and Zhu 2022, all Chinese, paired-end MiSeq 2×300bp, V3–V4 studies — while still differing in recruitment site, exact diagnostic procedure, and other unmeasured factors, so this subset is more technically comparable, not technically identical. This sensitivity analysis used the same marginal (</w:t>
      </w:r>
      <w:r>
        <w:rPr>
          <w:rStyle w:val="VerbatimChar"/>
        </w:rPr>
        <w:t xml:space="preserve">by="margin"</w:t>
      </w:r>
      <w:r>
        <w:t xml:space="preserve">) two-variable (cohort + diagnosis) PERMANOVA specification and 9,999 permutations as the main four-cohort model, restricted to binary AD/CN samples from the three cohorts (n=317), together with betadisper/permutest and pairwise post-hoc comparisons on the same subset.</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applying each with cohort identity as the batch variable, under two distinct designs that differ in whether diagnosis (disease-label)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design is prospective or inductive (i.e., neither defines a transformation that could be applied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only) with</w:t>
      </w:r>
      <w:r>
        <w:t xml:space="preserve"> </w:t>
      </w:r>
      <w:r>
        <w:rPr>
          <w:rStyle w:val="VerbatimChar"/>
        </w:rPr>
        <w:t xml:space="preserve">group = NULL, full_mod = FALSE</w:t>
      </w:r>
      <w:r>
        <w:t xml:space="preserve"> </w:t>
      </w:r>
      <w:r>
        <w:t xml:space="preserve">— no diagnosis information of any kind is supplied. MMUPHin v1.15 (Ma et al., 2022) was run on relative-abundance profiles from the four labeled cohorts with</w:t>
      </w:r>
      <w:r>
        <w:t xml:space="preserve"> </w:t>
      </w:r>
      <w:r>
        <w:rPr>
          <w:rStyle w:val="VerbatimChar"/>
        </w:rPr>
        <w:t xml:space="preserve">batch = cohort</w:t>
      </w:r>
      <w:r>
        <w:t xml:space="preserve"> </w:t>
      </w:r>
      <w:r>
        <w:t xml:space="preserve">and</w:t>
      </w:r>
      <w:r>
        <w:t xml:space="preserve"> </w:t>
      </w:r>
      <w:r>
        <w:rPr>
          <w:rStyle w:val="VerbatimChar"/>
        </w:rPr>
        <w:t xml:space="preserve">covariates = NULL</w:t>
      </w:r>
      <w:r>
        <w:t xml:space="preserve">; the metadata object supplied to</w:t>
      </w:r>
      <w:r>
        <w:t xml:space="preserve"> </w:t>
      </w:r>
      <w:r>
        <w:rPr>
          <w:rStyle w:val="VerbatimChar"/>
        </w:rPr>
        <w:t xml:space="preserve">adjust_batch</w:t>
      </w:r>
      <w:r>
        <w:t xml:space="preserve"> </w:t>
      </w:r>
      <w:r>
        <w:t xml:space="preserve">did not include a diagnosis column at all. In both cases, cohort identity and every sample’s own raw feature values are used (this is what makes the design transductive), but no sample’s true AD/CN label is ever used during correction. Corrected count tables (ComBat-seq) or relative abundances (MMUPHin) were CLR-transformed using the same multiplicative zero-replacement procedure described in Section 2.3.</w:t>
      </w:r>
    </w:p>
    <w:p>
      <w:pPr>
        <w:pStyle w:val="BodyText"/>
      </w:pPr>
      <w:r>
        <w:rPr>
          <w:b/>
          <w:bCs/>
        </w:rPr>
        <w:t xml:space="preserve">Design 2 — label-informed transductive sensitivity analysis (exploratory).</w:t>
      </w:r>
      <w:r>
        <w:t xml:space="preserve"> </w:t>
      </w:r>
      <w:r>
        <w:t xml:space="preserve">The same two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 i.e., using every sample’s own true diagnosis label, for all four labeled cohorts jointly, including the sample’s own held-out-cohort membership in the eventual LOCO evaluation. This design cannot estimate prospective external-validation performance, because the correction step is fit using every sample’s own diagnosis label, including test-cohort samples. We retain it only as an exploratory sensitivity analysis illustrating an upper/alternative bound on what correction with label information could do, not as evidence about deployable performance.</w:t>
      </w:r>
    </w:p>
    <w:p>
      <w:pPr>
        <w:pStyle w:val="BodyText"/>
      </w:pPr>
      <w:r>
        <w:t xml:space="preserve">After each correction, the LOCO generalization experiment (Section 2.5) was repeated on the corresponding batch-corrected CLR matrices, and within-cohort AUC on corrected data was re-computed under the same nested-CV procedure as Section 2.4. Because Design 2’s correction step is explicitly told each sample’s own diagnosis label as part of a global, jointly-fit model, a within-cohort AUC measured on Design-2-corrected features cannot be used to argue that</w:t>
      </w:r>
      <w:r>
        <w:t xml:space="preserve"> </w:t>
      </w:r>
      <w:r>
        <w:t xml:space="preserve">“genuine”</w:t>
      </w:r>
      <w:r>
        <w:t xml:space="preserve"> </w:t>
      </w:r>
      <w:r>
        <w:t xml:space="preserve">disease-associated biological signal survived correction independent of that label information — some or all of any preserved within-cohort separability could instead be an artifact of the correction algorithm’s own label-preservation mechanism (</w:t>
      </w:r>
      <w:r>
        <w:rPr>
          <w:rStyle w:val="VerbatimChar"/>
        </w:rPr>
        <w:t xml:space="preserve">full_mod=TRUE</w:t>
      </w:r>
      <w:r>
        <w:t xml:space="preserve"> </w:t>
      </w:r>
      <w:r>
        <w:t xml:space="preserve">/</w:t>
      </w:r>
      <w:r>
        <w:t xml:space="preserve"> </w:t>
      </w:r>
      <w:r>
        <w:rPr>
          <w:rStyle w:val="VerbatimChar"/>
        </w:rPr>
        <w:t xml:space="preserve">covariates="diagnosis"</w:t>
      </w:r>
      <w:r>
        <w:t xml:space="preserve">) rather than evidence about biology. This caveat does not apply to Design 1, whose within-cohort AUC on corrected data is not confounded by label use during correction, though it remains a transductive (not prospective) result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for both models, and is not affected by the direction issue described below.</w:t>
      </w:r>
    </w:p>
    <w:p>
      <w:pPr>
        <w:pStyle w:val="BodyText"/>
      </w:pPr>
      <w:r>
        <w:rPr>
          <w:b/>
          <w:bCs/>
        </w:rPr>
        <w:t xml:space="preserve">Direction is not defined from mean signed SHAP.</w:t>
      </w:r>
      <w:r>
        <w:t xml:space="preserve"> </w:t>
      </w:r>
      <w:r>
        <w:t xml:space="preserve">For a linear model evaluated with</w:t>
      </w:r>
      <w:r>
        <w:t xml:space="preserve"> </w:t>
      </w:r>
      <w:r>
        <w:rPr>
          <w:rStyle w:val="VerbatimChar"/>
        </w:rPr>
        <w:t xml:space="preserve">LinearExplainer</w:t>
      </w:r>
      <w:r>
        <w:t xml:space="preserve"> </w:t>
      </w:r>
      <w:r>
        <w:t xml:space="preserve">under interventional feature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the mean signed SHAP value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a quantity that depends on both the fitted coefficient</w:t>
      </w:r>
      <w:r>
        <w:t xml:space="preserve"> </w:t>
      </w:r>
      <w:r>
        <w:rPr>
          <w:i/>
          <w:iCs/>
        </w:rPr>
        <w:t xml:space="preserve">and</w:t>
      </w:r>
      <w:r>
        <w:t xml:space="preserve"> </w:t>
      </w:r>
      <w:r>
        <w:t xml:space="preserve">the mean-abundance difference between the evaluation set and whichever background set was chosen, not on the coefficient sign alone. Within a single cohort’s own OOF folds this background-vs-eval difference is close to sampling noise (both come from the same cohort), but it is not zero, and for cross-cohort (LOCO) SHAP the background (the N−1 training cohorts) and evaluation set (the held-out cohort) come from systematically different populations by construction — exactly the compositional difference quantified by PERMANOVA in Section 2.6 — so mean signed LOCO SHAP is confounded with raw cross-cohort abundance differences rather than reflecting the fitted model’s direction. For this reason, mean signed SHAP is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the coefficient for every genus was recorded, together with its sign. A genus’s direction in a given cohort was called</w:t>
      </w:r>
      <w:r>
        <w:t xml:space="preserve"> </w:t>
      </w:r>
      <w:r>
        <w:rPr>
          <w:b/>
          <w:bCs/>
        </w:rPr>
        <w:t xml:space="preserve">stable</w:t>
      </w:r>
      <w:r>
        <w:t xml:space="preserve"> </w:t>
      </w:r>
      <w:r>
        <w:t xml:space="preserve">— positive or negative — if the coefficient carried that sign in at least 8 of the 10 outer folds (a threshold specified before any results were examined); a coefficient of exactly zero counted toward neither direction. A genus was classified as meeting this</w:t>
      </w:r>
      <w:r>
        <w:t xml:space="preserve"> </w:t>
      </w:r>
      <w:r>
        <w:rPr>
          <w:b/>
          <w:bCs/>
        </w:rPr>
        <w:t xml:space="preserve">descriptive coefficient-sign-stability screen</w:t>
      </w:r>
      <w:r>
        <w:t xml:space="preserve"> </w:t>
      </w:r>
      <w:r>
        <w:t xml:space="preserve">only if it (a) appeared in the top-20 OOF mean-|SHAP| ranking in at least two cohorts, (b) had a stable positive coefficient in at least one of those cohorts, and (c) had a stable negative coefficient in at least one other. This is a conservative definition relative to a naive sign check on mean SHAP, because it requires the direction to be reproducible across most of the 10 outer folds within each cohort, not merely to differ in its single pooled mean-SHAP sign.</w:t>
      </w:r>
      <w:r>
        <w:t xml:space="preserve"> </w:t>
      </w:r>
      <w:r>
        <w:rPr>
          <w:b/>
          <w:bCs/>
        </w:rPr>
        <w:t xml:space="preserve">We treat this screen as descriptive, not as a formal hypothesis test: the 10 outer-CV folds within a cohort share substantially overlapping training data (each fold trains on the same 9/10 of that cohort’s samples), so fold-level coefficient signs are not independent statistical replications, and no multiplicity-adjusted p-value is assigned to any individual taxon.</w:t>
      </w:r>
      <w:r>
        <w:t xml:space="preserve"> </w:t>
      </w:r>
      <w:r>
        <w:rPr>
          <w:b/>
          <w:bCs/>
        </w:rPr>
        <w:t xml:space="preserve">LightGBM is a tree ensemble with no single coefficient-like, globally monotonic direction, and its SHAP feature-genus relationships may be nonlinear or non-monotonic; no coefficient-based (or any other) global direction or stability screen is therefore applied to LightGBM anywhere in this paper.</w:t>
      </w:r>
      <w:r>
        <w:t xml:space="preserve"> </w:t>
      </w:r>
      <w:r>
        <w:t xml:space="preserve">LightGBM results are limited to OOF mean-|SHAP| feature importance and the top-feature-overlap/Jaccard analysis below, which do not require a direction assignment.</w:t>
      </w:r>
    </w:p>
    <w:p>
      <w:pPr>
        <w:pStyle w:val="BodyText"/>
      </w:pPr>
      <w:r>
        <w:t xml:space="preserve">For LOCO analyses, SHAP values were computed on the held-out test cohort from each LOCO-trained model, with the three-cohort training pool as the SHAP background, and are reported and used only as a feature-</w:t>
      </w:r>
      <w:r>
        <w:rPr>
          <w:i/>
          <w:iCs/>
        </w:rPr>
        <w:t xml:space="preserve">importance</w:t>
      </w:r>
      <w:r>
        <w:t xml:space="preserve"> </w:t>
      </w:r>
      <w:r>
        <w:t xml:space="preserve">ranking (mean |SHAP|); consistent with the confound described above, no cross-cohort AD/CN direction is assigned to LOCO SHAP values for either model.</w:t>
      </w:r>
    </w:p>
    <w:p>
      <w:pPr>
        <w:pStyle w:val="BodyText"/>
      </w:pPr>
      <w:r>
        <w:rPr>
          <w:b/>
          <w:bCs/>
        </w:rPr>
        <w:t xml:space="preserve">Cross-cohort taxonomic overlap.</w:t>
      </w:r>
      <w:r>
        <w:t xml:space="preserve"> </w:t>
      </w:r>
      <w:r>
        <w:t xml:space="preserve">Pairwise taxonomic overlap between cohorts was quantified using Jaccard similarity on the top-N SHAP genera (N ∈ {10, 20, 50}); N=20 is the primary threshold. The statistic actually reported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w:t>
      </w:r>
      <w:r>
        <w:t xml:space="preserve">pairs). Two null distributions are reported. The primary, matched-statistic null was constructed to match the observed statistic’s own construction exactly: in each of 100,000 replicates, four independent random top-N gene sets were drawn (without replacement) from the full, shared 396-genus pool, and the same six unique pairwise Jaccard similarities among those four random sets were averaged to produce one null replicate. The empirical one-sided p-value was computed as</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drawing from the shared 396-genus pool: per-cohort genus prevalence varies substantially (e.g., Kazakhstan alone reaches ≥20% prevalence for 356 of 396 genera, versus 115–131 for the three MiSeq cohorts), so a genus essentially absent from a given cohort could still be drawn into that cohort’s random comparison set under the shared-pool null. For this sensitivity analysis, each cohort’s own top-N ranking and its random draws were both restricted to genera reaching ≥20% prevalence within that specific cohort’s own AD/CN-labeled samples — a per-cohort eligible universe rather than the shared pool — with 100,000 replicates per (model, N) combination and every cohort confirmed to have at least N eligible genera before running (no adaptation of N was required for N∈{10,20,50}). We report both nulls and do not assume that significance under the shared-pool null implies significance under the prevalence-restricted null, or vice versa. A genus was classified as a directional flip using the coefficient-stability criterion above, not from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reported in this paper. The initial classifier, PERMANOVA, batch-correction, and SHAP analyses (Sections 2.4–2.8, excluding the additions described below) used scikit-learn v1.5, lightgbm v4, shap v0.51, pandas v2.x, and numpy v1.x in a conda environment (Python 3.11), and vegan v2.6, sva v3.50 (ComBat-seq), and MMUPHin v1.15 in R v4.3. Analyses added in response to peer review — the training-only feature-selection sensitivity, label-blind batch correction, SHAP coefficient-stability screen, the matched-statistic Jaccard null (Sections 2.5.1, 2.7, 2.8), the Zhu 2022 repeated-CV and permutation robustness analyses (Section 2.4.1), the paired within-cohort-vs-LOCO AUC-difference bootstrap (Section 2.5.2), the pairwise beta-dispersion and Chinese-MiSeq PERMANOVA sensitivity analyses (Section 2.6), and the prevalence-restricted Jaccard null (Section 2.8) — were executed in Python 3.11.15 (scikit-learn 1.5.2, lightgbm 4.6.0, shap 0.51.0, matching the original Python package versions) and R 4.5.1 (vegan 2.7.1, sva 3.58.0, MMUPHin 1.24.0, newer than the initial R environment, reflecting routine system updates over the course of this project). This mixed provenance — original DADA2/R4.3 preprocessing feeding a downstream analysis that combines an unchanged Python environment with an updated R4.5.1 environment — is disclosed here rather than described as a single uniform environment.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statistically detectable diagnosis-associated compositional differences in this cohort. However, the high AUC should be interpreted cautiously and the LOCO experiment (Section 3.3) provides a more informative assessment of how transferable this signal is.</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S6) — closely matching the single-partition training-only values (0.9956 and 0.9700, respectively) and showing that the near-perfect AUC is not an artifact of one particular fold assignment. This is a fold-assignment stability check, not an independent replication of the underlying 60-participant sample, which is identical across all 50 repetitions. A complementary label-permutation test under the same strict training-only pipeline and fixed outer-fold partition (1,000 permutations; Section 2.4.1) produced a null AUC distribution centered near chance for both models (logistic regression: null mean 0.473, SD 0.102, 95% range [0.280, 0.673]; LightGBM: null mean 0.472, SD 0.109, 95% range [0.264, 0.688]) — well below the observed training-only single-partition values of 0.9956 and 0.9700 respectively (Supplementary Table S9; Supplementary Figure S6). No permutation among the 1,000 drawn reached the observed AUC for either model, giving an empirical p-value at the resolution floor for this permutation count (p = 1/1,001 ≈ 0.000999 for both models); we report this p-value at its actual resolution and do not interpret it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use the diagnosis-stratified, participant-level bootstrap described in Section 2.5.2 (10,000 replicates), applied uniformly to every AUC CI in this paper.</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w:t>
      </w:r>
    </w:p>
    <w:p>
      <w:pPr>
        <w:pStyle w:val="BodyText"/>
      </w:pPr>
      <w:r>
        <w:t xml:space="preserve">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was used to formally compare the within-cohort and LOCO AUC difference for each of the eight cohort–model pairs, rather than relying on non-overlap of independently computed confidence intervals, which is not a formal test of a nonzero difference. Five of eight pairs showed a 95% bootstrap CI on the delta that excluded zero: Ling 2020 (logistic regression Δ=0.187, 95% CI [0.10, 0.28]; LightGBM Δ=0.188, 95% CI [0.10, 0.28]), Zhu 2022 (logistic regression Δ=0.184, 95% CI [0.07, 0.31]; LightGBM Δ=0.221, 95% CI [0.11, 0.35]), and Kazakhstan logistic regression (Δ=0.201, 95% CI [0.04, 0.36]). The remaining three pairs — Zhuang 2018 logistic regression (Δ=0.129, 95% CI [−0.05, 0.30], proportion of bootstrap replicates with Δ≤0: 0.079), Zhuang 2018 LightGBM (Δ=0.070, 95% CI [−0.10, 0.24], proportion Δ≤0: 0.214), and Kazakhstan LightGBM (Δ=0.104, 95% CI [−0.05, 0.26], proportion Δ≤0: 0.092) — showed the same-signed (within-cohort higher) point estimate but a 95% CI that included zero, and are not formally significant under this test despite the directional pattern being consistent across all eight pairs. We report this honestly rather than treating all eight LOCO drops as equally well-supported: the aggregate pattern of reduced cross-cohort performance is robust, but three of the eight individual cohort–model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Kazakhstan, Zhuang 2018, or Ling 2020 individually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that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to feature selection — changed LOCO AUC by at most 0.066 in either direction (largest changes: Kazakhstan LightGBM 0.591→0.525, Δ=−0.066; Kazakhstan LogReg 0.564→0.609, Δ=+0.045; all other cohort–model combinations changed by ≤0.031). The retained genus count under strict training-only selection ranged from 150 (when Kazakhstan — a comparatively high-prevalence cohort for many genera — was excluded from feature selection during its own hold-out) to 373, versus 396 under the global rule, yet no cohort–model combination changed its qualitative classification (near-chance, intermediate, or robust). Within-cohort nested-CV AUC under training-only selection likewise moved by −0.083 to +0.038 (Supplementary Table S4). We conclude that the global feature-selection design in the main analysis,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formal significance for the AUC drop (Section 2.5.2; Supplementary Table S10): significant (95% CI on Δ excludes 0) for Ling 2020 (both models), Zhu 2022 (both models), and Kazakhstan LogReg; not significant at this sample size for Zhuang 2018 (both models) or Kazakhstan LGBM, despite all eight pairs showing the same-signed drop.</w:t>
      </w:r>
    </w:p>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is an empirical statement about the relative magnitude of cohort- versus diagnosis-associated compositional heterogeneity in these data, not a decomposition of cohort into technical and biological components:</w:t>
      </w:r>
      <w:r>
        <w:t xml:space="preserve"> </w:t>
      </w:r>
      <w:r>
        <w:t xml:space="preserve">“cohort”</w:t>
      </w:r>
      <w:r>
        <w:t xml:space="preserve"> </w:t>
      </w:r>
      <w:r>
        <w:t xml:space="preserve">is a composite study-of-origin variable bundling sequencing platform, library preparation, recruitment site, diagnostic ascertainment, and unmeasured dietary/lifestyle factors, and PERMANOVA cannot separate these bundled sources (Section 2.6). It provides context for interpreting the batch-correction results in Section 3.5, but PERMANOVA marginal R² values do not by themselves establish that the cohort and diagnosis axes of variation overlap, nor do they explain why any particular batch-correction algorithm changed classifier performance in a specific direction; that relationship is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PERMANOVA specification to the three cohorts that are more technically comparable to one another — Zhuang 2018, Ling 2020, and Zhu 2022, all Chinese, paired-end MiSeq V3–V4 studies (Section 2.6) — reduced the disparity from approximately 12-fold to approximately 2.6-fold: cohort (marginal) R²=0.0588 (F=10.05, p=0.0001) versus diagnosis (marginal) R²=0.0229 (F=7.83, p=0.0001) in this n=317 subset (Supplementary Table S11). This subset is more technically comparable, not technically identical — recruitment site, exact diagnostic procedure, and unmeasured dietary factors still differ across these three studies — but removing Kazakhstan’s single-end/NovaSeq platform and Kim/KBASE’s separate country substantially changes the cohort-to-diagnosis variance ratio. We conclude that the ~12-fold figure computed on the full four-cohort set is not a stable, generalizable property of</w:t>
      </w:r>
      <w:r>
        <w:t xml:space="preserve"> </w:t>
      </w:r>
      <w:r>
        <w:t xml:space="preserve">“cohort effects versus disease effects”</w:t>
      </w:r>
      <w:r>
        <w:t xml:space="preserve"> </w:t>
      </w:r>
      <w:r>
        <w:t xml:space="preserve">in gut microbiome data; it is specific to the particular set of cohorts compared, and is driven substantially by the inclusion of cohorts that differ from one another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Pairwise post-hoc betadisper comparisons (Section 2.6; Supplementary Table S12) show this overall dispersion difference is not uniform across all cohort pairs: Ling 2020 differs significantly in dispersion from every other cohort (all Holm-adjusted p≤0.0063), and is the single cohort driving most of the significant pairwise comparisons, while shanghai2022 (Zhu 2022) vs. zhuang2018 (Holm p=0.439) and kazakhstan2022 vs. kbase2022 (Holm p=0.439) are not significantly different from one another in dispersion. Within the Chinese-MiSeq-only subset described above, dispersion remained significant (F=7.946, p=0.0004) and was again driven mainly by one cohort — zhuang2018 differed significantly from both ling2020 (p=0.0001) and shanghai2022 (p=0.026), while ling2020 and shanghai2022 did not differ significantly from each other (p=0.343). This dispersion heterogeneity is relevant to interpreting PERMANOVA effect sizes and is acknowledged in the Methods and Limitations sections.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detectable diagnosis-associated compositional difference in this dataset.</w:t>
      </w:r>
    </w:p>
    <w:bookmarkEnd w:id="28"/>
    <w:bookmarkStart w:id="29"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(on raw counts) and MMUPHin (on relative abundances) to the four labeled cohorts with cohort as the batch variable, under the two designs described in Section 2.7: a</w:t>
      </w:r>
      <w:r>
        <w:t xml:space="preserve"> </w:t>
      </w:r>
      <w:r>
        <w:rPr>
          <w:b/>
          <w:bCs/>
        </w:rPr>
        <w:t xml:space="preserve">label-blind</w:t>
      </w:r>
      <w:r>
        <w:t xml:space="preserve"> </w:t>
      </w:r>
      <w:r>
        <w:t xml:space="preserve">design (no diagnosis information used during correction; primary analysis) and a</w:t>
      </w:r>
      <w:r>
        <w:t xml:space="preserve"> </w:t>
      </w:r>
      <w:r>
        <w:rPr>
          <w:b/>
          <w:bCs/>
        </w:rPr>
        <w:t xml:space="preserve">label-informed</w:t>
      </w:r>
      <w:r>
        <w:t xml:space="preserve"> </w:t>
      </w:r>
      <w:r>
        <w:t xml:space="preserve">design (each sample’s own true diagnosis label used during correction; exploratory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the design that does not use any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rather than diverging sharply from them.</w:t>
      </w:r>
      <w:r>
        <w:t xml:space="preserve"> </w:t>
      </w:r>
      <w:r>
        <w:rPr>
          <w:b/>
          <w:bCs/>
        </w:rPr>
        <w:t xml:space="preserve">Under label-blind transductive adjustment, which did not use diagnosis labels during correction, neither method materially changed mean LOCO AUC or recovered cross-cohort transferability under this design.</w:t>
      </w:r>
    </w:p>
    <w:p>
      <w:pPr>
        <w:pStyle w:val="BodyText"/>
      </w:pPr>
      <w:r>
        <w:rPr>
          <w:b/>
          <w:bCs/>
        </w:rPr>
        <w:t xml:space="preserve">Label-informed transductive sensitivity analysis (Supplementary Figure S5): severe degradation under this design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the Kazakhstan cohort collapsing to AUC=0.308 [0.20–0.42]. The same cohort under label-blind ComBat-seq scored 0.560, closely matching its uncorrected value (0.564). This side-by-side comparison indicates that the severe, cohort-specific collapse under the label-informed design was specific to that design — consistent with a correction model explicitly told each sample’s own diagnosis label (via</w:t>
      </w:r>
      <w:r>
        <w:t xml:space="preserve">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therefore should not be interpreted as evidence that these correction methods generally degrade cross-cohort performance, or as evidence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which provides a comparison free of diagnosis-label leakage during correction, because the label-blind correction never saw any sample’s diagnosis label. This comparison is not free of other confounding, however — it remains transductive (cohort membership and raw feature values are still used during correction) and retains whatever cohort/population confounding is otherwise present in the dataset.</w:t>
      </w:r>
      <w:r>
        <w:t xml:space="preserve"> </w:t>
      </w:r>
      <w:r>
        <w:rPr>
          <w:b/>
          <w:bCs/>
        </w:rPr>
        <w:t xml:space="preserve">We do not draw the same conclusion from within-cohort AUC on label-informed-corrected data — that comparison is additionally confounded by label use</w:t>
      </w:r>
      <w:r>
        <w:t xml:space="preserve">, because the label-informed correction’s own covariate-preservation mechanism (</w:t>
      </w:r>
      <w:r>
        <w:rPr>
          <w:rStyle w:val="VerbatimChar"/>
        </w:rPr>
        <w:t xml:space="preserve">full_mod=TRUE</w:t>
      </w:r>
      <w:r>
        <w:t xml:space="preserve"> </w:t>
      </w:r>
      <w:r>
        <w:t xml:space="preserve">for ComBat-seq;</w:t>
      </w:r>
      <w:r>
        <w:t xml:space="preserve"> </w:t>
      </w:r>
      <w:r>
        <w:rPr>
          <w:rStyle w:val="VerbatimChar"/>
        </w:rPr>
        <w:t xml:space="preserve">covariates="diagnosis"</w:t>
      </w:r>
      <w:r>
        <w:t xml:space="preserve"> </w:t>
      </w:r>
      <w:r>
        <w:t xml:space="preserve">for MMUPHin) is explicitly designed to retain diagnosis-associated structure using every sample’s own true label; any preserved within-cohort separability under that design cannot be attributed to correction-independent biological signal versus the correction algorithm’s own label-preservation step. Concluding that</w:t>
      </w:r>
      <w:r>
        <w:t xml:space="preserve"> </w:t>
      </w:r>
      <w:r>
        <w:t xml:space="preserve">“within-cohort AUC preservation rules out indiscriminate signal removal”</w:t>
      </w:r>
      <w:r>
        <w:t xml:space="preserve"> </w:t>
      </w:r>
      <w:r>
        <w:t xml:space="preserve">requires a comparison free of diagnosis-label leakage during correction, which only the label-blind design provides; the label-blind within-cohort comparison supports this conclusion descriptively (Supplementary Table S5), without establishing it as strong biological evidence beyond the observed AUC values themselves, and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provides context for why a correction method targeting cohort-associated variance might struggle to leave disease-associated variance fully intact, but it does not, by itself, establish that the two sources of variation overlap, nor does it explain the specific pattern observed here — namely that a properly label-blind correction left performance essentially flat while a label-informed one produced large, method- and cohort-specific movements. That specific pattern is more directly explained by the transductive, label-informed design itself (Section 2.7) than by the general cohort/diagnosis variance disparity, and we present it as such rather than as a demonstration that linear batch correction</w:t>
      </w:r>
      <w:r>
        <w:t xml:space="preserve"> </w:t>
      </w:r>
      <w:r>
        <w:t xml:space="preserve">“cannot”</w:t>
      </w:r>
      <w:r>
        <w:t xml:space="preserve"> </w:t>
      </w:r>
      <w:r>
        <w:t xml:space="preserve">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the feature-level patterns underlying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the model’s out-of-sample feature importance. Feature importance (mean |SHAP|) is reported for both models; direction is reported only for logistic regression, using the fitted-coefficient-based definition in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distribution constructed to match this statistic exactly (100,000 replicates, each averaging the six pairwise Jaccards among four random top-20 sets drawn from the full 396-genus pool; Section 2.8), logistic regression overlap was significantly above chance (null mean 0.027 [95% CI: 0.009–0.049]; p&lt;0.0001), and LightGBM overlap was also significantly above chance at this N (p=0.0048). A sensitivity check across N∈{10,20,50} under this same shared-pool null (Supplementary Table S7) shows logistic regression significant at all three thresholds, while LightGBM was significant at N=20 and N=50 but not at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every genus were equally available in every cohort, but per-cohort prevalence varies substantially (Section 2.8). Restricting each cohort’s top-N ranking and random draws to genera reaching ≥20% prevalence within that cohort’s own AD/CN samples (eligible universe sizes: 131 for Zhuang 2018, 126 for Ling 2020, 115 for Zhu 2022, 356 for Kazakhstan; 100,000 replicates per model/N) changes the LightGBM result: LightGBM overlap was</w:t>
      </w:r>
      <w:r>
        <w:t xml:space="preserve"> </w:t>
      </w:r>
      <w:r>
        <w:rPr>
          <w:b/>
          <w:bCs/>
        </w:rPr>
        <w:t xml:space="preserve">not significant at any of N=10, 20, or 50</w:t>
      </w:r>
      <w:r>
        <w:t xml:space="preserve"> </w:t>
      </w:r>
      <w:r>
        <w:t xml:space="preserve">under this prevalence-restricted null (observed mean Jaccard 0.018/0.063/0.167 vs. null mean 0.026/0.052/0.142; empirical p=0.80, 0.24, 0.061 respectively; Supplementary Table S13). Logistic regression remained significant at all three thresholds under the prevalence-restricted null (observed 0.085/0.135/0.231 vs. null mean 0.026/0.052/0.142; p=0.0017, 0.00003, 0.00001). We treat this as a genuine reversal rather than a discrepancy to be explained away: LightGBM’s cross-cohort top-predictor overlap, which appeared to be a real if small signal under the shared-pool null, is not distinguishable from chance once the null model accounts for each cohort’s own genus-prevalence structure. Logistic regression’s overlap is robust to this change and remains the stronger and more reliable cross-cohort taxonomic-overlap finding of the two models.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was the top predictor in the remaining three cohorts (Zhu 2022 |SHAP|=0.228; Kazakhstan |SHAP|=0.136; Ling 2020 |SHAP|=0.270). Under the fitted model’s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 of 10 outer folds positive in every cohort; Supplementary Table S6) — higher CLR abundance consistently predicts higher AD log-odds under the fitted model, with no coefficient-based flip anywhere. This is a useful negative control for the direction-definition problem itself: the pooled mean SHAP value for this same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the model actually learned, and is instead a background-relative artifact of the kind described in Section 2.8. We report this discrepancy explicitly because it demonstrates, on real data from this study, why mean signed SHAP was not an adequate direction statistic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LightGBM values (Section 2.8).</w:t>
      </w:r>
    </w:p>
    <w:p>
      <w:pPr>
        <w:pStyle w:val="BodyText"/>
      </w:pPr>
      <w:r>
        <w:rPr>
          <w:b/>
          <w:bCs/>
        </w:rPr>
        <w:t xml:space="preserve">Coefficient-sign stability screen (logistic regression only).</w:t>
      </w:r>
      <w:r>
        <w:t xml:space="preserve"> </w:t>
      </w:r>
      <w:r>
        <w:t xml:space="preserve">Using the pre-specified coefficient-stability criterion (Section 2.8: a stable positive coefficient sign in ≥8 of 10 outer folds in at least one cohort, and a stable negative coefficient sign in ≥8 of 10 outer folds in at least one other cohort,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describe this deliberately as a descriptive screen rather than a statistically confirmed set of contradictions: the 10 outer-CV folds share substantially overlapping training sets (each fold’s training data is 9/10 of the same cohort), so fold-level coefficient signs are not 10 independent replications, and no multiplicity-adjusted p-value is assigned to any individual taxon (Section 2.8, Limitations). This is a smaller and more conservative set than a less rigorous alternative approach that classifies any genus with opposite-signed pooled mean SHAP across two cohorts as a</w:t>
      </w:r>
      <w:r>
        <w:t xml:space="preserve"> </w:t>
      </w:r>
      <w:r>
        <w:t xml:space="preserve">“flip”</w:t>
      </w:r>
      <w:r>
        <w:t xml:space="preserve"> </w:t>
      </w:r>
      <w:r>
        <w:t xml:space="preserve">— an approach that, applied to this dataset, would identify twelve such genera; the stability requirement removes genera whose apparent flip is not reproducible across most of a cohort’s own outer folds.</w:t>
      </w:r>
      <w:r>
        <w:t xml:space="preserve"> </w:t>
      </w:r>
      <w:r>
        <w:rPr>
          <w:b/>
          <w:bCs/>
        </w:rPr>
        <w:t xml:space="preserve">No comparable screen is applied to LightGBM</w:t>
      </w:r>
      <w:r>
        <w:t xml:space="preserve">: a tree ensemble has no single coefficient-like, globally monotonic direction, and LightGBM’s SHAP–feature relationships may be nonlinear or non-monotonic, so no scalar direction statistic — descriptive or otherwise — is computed or reported for it.</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held-out conditions. Consistent with Section 2.8, we do not assign an AD/CN direction to these LOCO SHAP values: the LOCO SHAP background (the three training cohorts) and evaluation set (the held-out cohort) are drawn from systematically different populations by construction, so the sign of a LOCO mean SHAP value is confounded with the raw cross-cohort compositional difference quantified by PERMANOVA (Section 3.4) rather than reflecting a stable, model-derived direction. The absence of a single top-importance genus across all four held-out cohorts is itself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points for logistic regression and 0.146 for LightGBM, with one of eight model–cohort combinations near chance, demonstrates that within-cohort performance figures — whether from the original cohort publications or from this study’s own nested-CV estimates — cannot be taken as evidence of a generalizable diagnostic signal. A formal paired bootstrap test (Section 3.3) supports this drop for five of the eight cohort–model pairs at conventional significance; the remaining three pairs show the same directional pattern without reaching formal significance at this sample size, and we report this distinction rather than treating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on average, neither method recovered cross-cohort transferability.</w:t>
      </w:r>
    </w:p>
    <w:bookmarkEnd w:id="32"/>
    <w:bookmarkStart w:id="33"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a fixed property of the data, however: restricted to the three more technically comparable Chinese paired-end MiSeq cohorts, the same marginal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w:t>
      </w:r>
      <w:r>
        <w:t xml:space="preserve"> </w:t>
      </w:r>
      <w:r>
        <w:t xml:space="preserve">“how separated”</w:t>
      </w:r>
      <w:r>
        <w:t xml:space="preserve"> </w:t>
      </w:r>
      <w:r>
        <w:t xml:space="preserve">cohorts are. Taken together, compositional structure was strongly associated with cohort-of-origin in the evaluated datasets, but the exact magnitude of that association is sensitive to cohort composition and dispersion structure, not a single stable number. Separately and equally empirically: batch correction, evaluated under a label-blind design that did not use any sample’s diagnosis label during correction, left mean LOCO AUC essentially unchanged (within 0.007 AUC of uncorrected for both ComBat-seq and MMUPHin, both models; Section 3.5) — it neither recovered cross-cohort transferability nor substantially degraded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a known, controlled degree of cohort/diagnosis-axis overlap) capable of testing it in this dataset. We therefore present it as a hypothesis consistent with the observed pattern, not as a demonstrated mechanism, and we no longer state that batch correction</w:t>
      </w:r>
      <w:r>
        <w:t xml:space="preserve"> </w:t>
      </w:r>
      <w:r>
        <w:t xml:space="preserve">“cannot”</w:t>
      </w:r>
      <w:r>
        <w:t xml:space="preserve"> </w:t>
      </w:r>
      <w:r>
        <w:t xml:space="preserve">work in general or that this analysis proves cohort and disease axes overlap.</w:t>
      </w:r>
    </w:p>
    <w:p>
      <w:pPr>
        <w:pStyle w:val="BodyText"/>
      </w:pPr>
      <w:r>
        <w:t xml:space="preserve">Under the label-informed design, in which ComBat-seq and MMUPHin were both told every sample’s own true diagnosis label during a single joint fit across all four labeled cohorts (Section 2.7), ComBat-seq’s correction substantially worsened LOCO AUC (mean LogReg: 0.640→0.493, with one cohort collapsing to AUC=0.308). Repeating the identical comparison under a label-blind design — same cohorts, same raw features, same downstream LOCO classifiers, the only change being that no diagnosis label is supplied to the correction step — instead reproduces essentially flat LOCO AUC (Section 3.5, Table 4). This side-by-side comparison indicates that the severe degradation under the label-informed design was specific to that design and therefore should not be interpreted as evidence that these correction methods generally degrade cross-cohort performance, or as evidence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we retain the label-informed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more useful result for the field — is narrower than originally stated: under the label-blind transductive evaluation, two widely used batch-correction methods designed for other data types (RNA-seq counts; general microbiome meta-analysis) did not recover cross-cohort transferability for AD classification in this dataset. This is a demonstration of ineffectiveness at the specific task of restoring cross-cohort generalization, not a demonstration that these methods actively destroy signal, nor an explanation of the underlying compositional-geometry reason such correction is difficult. The field may still need fundamentally different approaches — multi-cohort training with cohort as an explicit stratification variable, domain adaptation methods, or meta-analytic frameworks that explicitly model between-cohort heterogeneity rather than attempting to remove it — but we no longer claim to have shown mechanistically why standard correction fails, only that it does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Zhu 2022 showed the largest detectable diagnosis-associated compositional effect (R²=0.094, F=6.01, p=0.0001) of the four labeled cohorts. The repeated-CV and label-permutation analyses (Section 2.4.1, Section 3.2) show this near-perfect estimate is stable to fold assignment and clearly distinguishable from a chance-label null; despite this stability, the estimate may still overstate population-level performance because it is derived from only 60 participants and has not been independently replicated.</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a hypothetical mixed-compartment analysis pooling fecal and blood samples together — a design this study avoided by excluding the blood samples at the outset (Section 2.4). We recommend that future AD microbiome studies report sample types explicitly and analyze each compartment independently before pooling.</w:t>
      </w:r>
    </w:p>
    <w:bookmarkEnd w:id="34"/>
    <w:bookmarkStart w:id="35" w:name="X8760b2c7f44609ac2536b415795b45d841bbb3a"/>
    <w:p>
      <w:pPr>
        <w:pStyle w:val="Heading3"/>
      </w:pPr>
      <w:r>
        <w:t xml:space="preserve">4.4 Coefficient-Sign Stability Screen: Descriptive Cross-Cohort Direction Heterogeneity</w:t>
      </w:r>
    </w:p>
    <w:p>
      <w:pPr>
        <w:pStyle w:val="FirstParagraph"/>
      </w:pPr>
      <w:r>
        <w:t xml:space="preserve">Using a pre-specified coefficient-sign-stability criterion (≥8 of 10 outer folds agreeing in sign; Section 2.8), eight genera met this descriptive screen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a smaller, more conservative set than the meta-analytic literature’s qualitative suggestion that some taxa carry contradictory directions of effect in different populations might imply, and we present it descriptively rather than as a statistically confirmed set of contradictions: the 10 outer-CV folds share substantially overlapping training data (each fold’s training set is 9/10 of the same cohort), so fold-level coefficient signs are not independent replications in the formal statistical sense, and we do not assign multiplicity-adjusted p-values to individual taxa (Section 2.8, Limitations). A less conservative alternative approach — classifying a flip as any genus with opposite-signed</w:t>
      </w:r>
      <w:r>
        <w:t xml:space="preserve"> </w:t>
      </w:r>
      <w:r>
        <w:rPr>
          <w:i/>
          <w:iCs/>
        </w:rPr>
        <w:t xml:space="preserve">pooled mean SHAP</w:t>
      </w:r>
      <w:r>
        <w:t xml:space="preserve"> </w:t>
      </w:r>
      <w:r>
        <w:t xml:space="preserve">across two cohorts (a background-relative quantity, not the model’s coefficient; Section 2.8) — would identify twelve such genera for logistic regression and, using the same statistic, a further twelve for LightGBM. Requiring the direction to be reproducible across most of a cohort’s own outer folds, and grounding it in the fitted coefficient rather than a background-dependent SHAP quantity, is why this paper reports eight genera for logistic regression and none for LightGBM: a tree ensemble has no single coefficient-like global direction to test for stability in the first place (Section 2.8), so no LightGBM directional-flip count is reported anywhere in this paper.</w:t>
      </w:r>
    </w:p>
    <w:p>
      <w:pPr>
        <w:pStyle w:val="BodyText"/>
      </w:pPr>
      <w:r>
        <w:rPr>
          <w:i/>
          <w:iCs/>
        </w:rPr>
        <w:t xml:space="preserve">Romboutsia</w:t>
      </w:r>
      <w:r>
        <w:t xml:space="preserve"> </w:t>
      </w:r>
      <w:r>
        <w:t xml:space="preserve">shows the cleanest cohort-level pattern among the eight: a stable negative fitted coefficient in all three Chinese cohorts, and a stable positive coefficient in Kazakhstan; we offer no mechanistic hypothesis for this genus.</w:t>
      </w:r>
      <w:r>
        <w:t xml:space="preserve"> </w:t>
      </w:r>
      <w:r>
        <w:rPr>
          <w:i/>
          <w:iCs/>
        </w:rPr>
        <w:t xml:space="preserve">Lactobacillus</w:t>
      </w:r>
      <w:r>
        <w:t xml:space="preserve"> </w:t>
      </w:r>
      <w:r>
        <w:t xml:space="preserve">also meets the screen, but its per-cohort pattern (stable-negative in Zhuang 2018 only; stable-positive in the other three cohorts) does not cleanly separate by country. Diet is a plausible unmeasured confounder for genus-level cohort differences generally, but this dataset has no dietary covariate data, and we do not attribute any specific taxon’s pattern to diet or any other mechanism without such data.</w:t>
      </w:r>
    </w:p>
    <w:p>
      <w:pPr>
        <w:pStyle w:val="BodyText"/>
      </w:pPr>
      <w:r>
        <w:rPr>
          <w:i/>
          <w:iCs/>
        </w:rPr>
        <w:t xml:space="preserve">Akkermansia</w:t>
      </w:r>
      <w:r>
        <w:t xml:space="preserve"> </w:t>
      </w:r>
      <w:r>
        <w:t xml:space="preserve">illustrates why the coefficient-based, stability-gated definition matters: its pooled mean SHAP value appears to reverse sign between cohorts (Section 3.6), but its fitted logistic-regression coefficient is positive and stable (10 of 10 outer folds) in all four cohorts (Supplementary Table S6), meaning the model never learned an inconsistent direction for this genus; the apparent sign reversal is an artifact of the background-relative SHAP statistic, not a property of the fitted model.</w:t>
      </w:r>
    </w:p>
    <w:p>
      <w:pPr>
        <w:pStyle w:val="BodyText"/>
      </w:pPr>
      <w:r>
        <w:t xml:space="preserve">The critical implication of the eight taxa meeting this descriptive screen is that they may reflect biological population heterogeneity, technical study effects, or interactions between the two; the present design cannot disentangle these sources, nor does the screen itself establish that any individual taxon’s pattern exceeds what a non-independent, overlapping-fold coefficient estimate could show by chance. Standard batch correction methods, designed to remove technical batch effects, would not be expected to resolve directional disagreements to the extent that these differences are driven by population-level biological differences rather than technical artifacts alone — a point that is, if anything, reinforced by Section 4.2’s finding that label-blind batch correction left cross-cohort AUC essentially unchanged rather than recovering it.</w:t>
      </w:r>
    </w:p>
    <w:bookmarkEnd w:id="35"/>
    <w:bookmarkStart w:id="36"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clinical deployment across heterogeneous external cohorts without prospective validation. A classifier trained on the Zhuang 2018 cohort and applied to the Kazakhstan cohort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The public archive contains 180 samples representing 90 participants, a subset of the 302 participants analyzed in the published study (PRJNA489760). The deposited subset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simultaneously, meaning the eventual held-out cohort in every LOCO/pairwise experiment contributed prevalence information to the feature universe. A dedicated training-only sensitivity analysis (Section 2.5.1, Section 3.3), run once under the same prespecified</w:t>
      </w:r>
      <w:r>
        <w:t xml:space="preserve"> </w:t>
      </w:r>
      <w:r>
        <w:rPr>
          <w:rStyle w:val="VerbatimChar"/>
        </w:rPr>
        <w:t xml:space="preserve">random_state=42</w:t>
      </w:r>
      <w:r>
        <w:t xml:space="preserve"> </w:t>
      </w:r>
      <w:r>
        <w:t xml:space="preserve">cross-validation partition used throughout this paper, re-derived genus selection independently within every split and found LOCO AUC changed by at most 0.066 — the qualitative generalization-failure conclusion is not an artifact of this design — but the global selection remains a methodological limitation in principle, and we recommend training-only feature selection as the default design for future cross-cohort microbiome classifier studies rather than a post hoc sensitivity check. Repeated cross-validation with multiple random seeds was not performed for this sensitivity analysis, so the 0.066 figure should be read as a single-partition estimate rather than one adjusted for ordinary fold-assignment variability.</w:t>
      </w:r>
    </w:p>
    <w:p>
      <w:pPr>
        <w:pStyle w:val="BodyText"/>
      </w:pPr>
      <w:r>
        <w:rPr>
          <w:b/>
          <w:bCs/>
        </w:rPr>
        <w:t xml:space="preserve">PERMANOVA cannot decompose cohort into technical and biological sources, and the cohort-versus-diagnosis variance disparity is sensitive to which cohorts are compared.</w:t>
      </w:r>
      <w:r>
        <w:t xml:space="preserve"> </w:t>
      </w:r>
      <w:r>
        <w:t xml:space="preserve">“Cohort”</w:t>
      </w:r>
      <w:r>
        <w:t xml:space="preserve"> </w:t>
      </w:r>
      <w:r>
        <w:t xml:space="preserve">in this study is a composite study-of-origin variable bundling sequencing platform, library preparation, recruitment site, diagnostic ascertainment, and unmeasured dietary/lifestyle differences; PERMANOVA and betadisper estimate the total variance associated with this composite variable, not a technical-batch-effect estimate specifically, and no method used in this paper separates the two (Section 2.6). The approximately 12-fold cohort-versus-diagnosis disparity computed across all four labeled cohorts fell to approximately 2.6-fold when restricted to the three more technically comparable Chinese paired-end MiSeq cohorts (Section 3.4), indicating that this ratio is not a fixed property of</w:t>
      </w:r>
      <w:r>
        <w:t xml:space="preserve"> </w:t>
      </w:r>
      <w:r>
        <w:t xml:space="preserve">“cohort effects”</w:t>
      </w:r>
      <w:r>
        <w:t xml:space="preserve"> </w:t>
      </w:r>
      <w:r>
        <w:t xml:space="preserve">in gut microbiome data generally but depends substantially on which cohorts happen to be compared. Readers should not extrapolate the ~12-fold figure to other cohort sets.</w:t>
      </w:r>
    </w:p>
    <w:p>
      <w:pPr>
        <w:pStyle w:val="BodyText"/>
      </w:pPr>
      <w:r>
        <w:rPr>
          <w:b/>
          <w:bCs/>
        </w:rPr>
        <w:t xml:space="preserve">Jaccard overlap significance depends on the null model chosen, and one finding reverses depending on that choice.</w:t>
      </w:r>
      <w:r>
        <w:t xml:space="preserve"> </w:t>
      </w:r>
      <w:r>
        <w:t xml:space="preserve">LightGBM’s cross-cohort top-predictor overlap was significant at N=20/50 (not N=10) under a null that draws candidate genera uniformly from the shared 396-genus pool, but was not significant at any tested N under a null restricted to each cohort’s own ≥20%-prevalence genera (Section 3.6). We report both nulls and the resulting reversal rather than selecting whichever null supports a stronger claim. Logistic regression’s overlap was significant under both null designs at all tested N and is the more robust of the two cross-model findings.</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batch-correction designs are transductive — both estimate batch-effect parameters using the eventual held-out cohort’s own feature values and cohort membership — and neither should be extrapolated to prospective deployment. The label-informed design additionally uses every sample’s own true diagnosis label during correction and is retained only as an exploratory sensitivity analysis; its results (including the severe Kazakhstan collapse under label-informed ComBat-seq, Section 3.5) should not be read as evidence about batch correction’s effect on biological signal in general, since they are substantially confounded by the label-informed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in every repetition and therefore quantifies sensitivity to fold assignment, not sampling variability across independent samples; the label-permutation test in the same section is the analysis that formally tests whether the observed AUC exceeds chance. Separately, the formal paired bootstrap test of within-cohort-vs-LOCO AUC differences (Section 2.5.2, Section 3.3) found three of eight cohort–model pairs (Zhuang 2018, both models; Kazakhstan LightGBM) did not reach a 95% CI excluding zero, despite all eight showing the same-signed drop; we report this honestly rather than treating the aggregate mean drop as equally well-supported for every individual cohort–model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and coefficient-direction interpretability limitations:</w:t>
      </w:r>
      <w:r>
        <w:t xml:space="preserve"> </w:t>
      </w:r>
      <w:r>
        <w:t xml:space="preserve">For logistic regression, direction is now defined from the fitted model’s coefficient sign (Section 2.8), not from mean signed SHAP; a stable coefficient sign is a statement about what the fitted model consistently learned across cross-validation folds, conditional on regularization (L2, not elastic-net — see below) and collinearity among CLR features, and is not a direct estimate of biological association, its statistical significance, or causal direction.</w:t>
      </w:r>
      <w:r>
        <w:t xml:space="preserve"> </w:t>
      </w:r>
      <w:r>
        <w:rPr>
          <w:b/>
          <w:bCs/>
        </w:rPr>
        <w:t xml:space="preserve">The ≥8/10-fold coefficient-sign-stability screen is descriptive, not a formal hypothesis test.</w:t>
      </w:r>
      <w:r>
        <w:t xml:space="preserve"> </w:t>
      </w:r>
      <w:r>
        <w:t xml:space="preserve">The 10 outer-CV folds within a cohort are fit on substantially overlapping training sets (each omits only 1/10 of that cohort’s samples), so they are not independent statistical replications; we do not apply a multiplicity correction across the candidate taxa screened, and no p-value is assigned to any individual taxon’s stability count. The eight genera meeting this screen should be treated as empirical patterns worthy of targeted, covariate-adjusted, and independently-replicated follow-up, not as statistically confirmed mechanistic findings, and no dietary or other mechanistic attribution is made for any of them in the absence of covariate data. For LightGBM, no coefficient-like global direction exists, and no directional screen or flip count of any kind is reported for it anywhere in this paper. All LOCO SHAP values (either model) are reported as feature-importance rankings only, without any assigned cross-cohort direction, because the LOCO SHAP background (training cohorts) and evaluation set (held-out cohort)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this paper (</w:t>
      </w:r>
      <w:r>
        <w:rPr>
          <w:rStyle w:val="VerbatimChar"/>
        </w:rPr>
        <w:t xml:space="preserve">solver="saga"</w:t>
      </w:r>
      <w:r>
        <w:t xml:space="preserve">) are configured with</w:t>
      </w:r>
      <w:r>
        <w:t xml:space="preserve"> </w:t>
      </w:r>
      <w:r>
        <w:rPr>
          <w:rStyle w:val="VerbatimChar"/>
        </w:rPr>
        <w:t xml:space="preserve">penalty="l2"</w:t>
      </w:r>
      <w:r>
        <w:t xml:space="preserve"> </w:t>
      </w:r>
      <w:r>
        <w:t xml:space="preserve">(not</w:t>
      </w:r>
      <w:r>
        <w:t xml:space="preserve"> </w:t>
      </w:r>
      <w:r>
        <w:rPr>
          <w:rStyle w:val="VerbatimChar"/>
        </w:rPr>
        <w:t xml:space="preserve">"elasticnet"</w:t>
      </w:r>
      <w:r>
        <w:t xml:space="preserve">), and are therefore L2 (ridge)-regularized. An</w:t>
      </w:r>
      <w:r>
        <w:t xml:space="preserve"> </w:t>
      </w:r>
      <w:r>
        <w:rPr>
          <w:rStyle w:val="VerbatimChar"/>
        </w:rPr>
        <w:t xml:space="preserve">l1_ratio</w:t>
      </w:r>
      <w:r>
        <w:t xml:space="preserve"> </w:t>
      </w:r>
      <w:r>
        <w:t xml:space="preserve">parameter is present in the estimator configuration but is silently ignored by scikit-learn under the L2 penalty. One consequence is that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the near-perfect Zhu 2022 result was stable across 50 repeated cross-validation partitions (mean AUC 0.9955–0.9760 depending on model) and was distinguishable from a label-permutation null. LOCO cross-cohort AUC values fell to 0.504–0.813, a mean drop of 0.176 AUC points for logistic regression and 0.146 for LightGBM; a formal paired bootstrap test found this drop statistically supported for five of eight cohort–model pairs (Ling 2020 and Zhu 2022, both models; Kazakhstan logistic regression), with the remaining three pairs (Zhuang 2018, both models; Kazakhstan LightGBM) showing the same directional pattern without reaching formal statistical support at this sample size. This generalization-limitation pattern was robust to a strict training-only re-derivation of the feature-selection step (LOCO AUC changed by at most 0.066 when held-out-cohort information was fully excluded from genus selection). Batch correction was evaluated under two designs: a label-blind design (no diagnosis information used) left mean LOCO AUC essentially unchanged relative to uncorrected (within 0.007 AUC for both methods and models), and did not recover cross-cohort transferability; an exploratory label-informed design (using each sample’s own true diagnosis label, which cannot estimate prospective performance) produced large, cohort-specific degradation attributable in substantial part to the label-informed design itself rather than to an intrinsic property of the correction algorithms. PERMANOVA revealed that cohort identity explained substantially more compositional variance than disease status (marginal R²: 0.172 vs. 0.014, approximately 12-fold, across the four labeled cohorts) — an empirical measure of relative heterogeneity in a composite, study-of-origin variable that PERMANOVA cannot decompose into technical and biological sources, and that does not by itself explain the batch-correction results. This disparity is sensitive to cohort composition: restricted to the three more technically comparable Chinese MiSeq cohorts, it falls to approximately 2.6-fold (R²=0.059 vs. 0.023), and pairwise dispersion comparisons show the overall dispersion effect is driven predominantly by one cohort rather than uniformly. A cohort identity classifier achieved macro-AUC=0.9917, confirming that cohort structure dominates the feature space regardless of its technical or biological composition. Sensitivity analyses confirmed that generalization failure persists across all three prespecified cohort-exclusion configurations. Out-of-fold SHAP analysis identified near-zero taxon overlap between cohort-specific predictive signatures (mean Jaccard 0.135 for logistic regression and 0.058 for LightGBM); against a null matched to the observed statistic’s construction, logistic regression overlap was significant at all tested N, while LightGBM was significant at N=20/50 but not N=10 under a shared-genus-pool null, and was not significant at any N under a more realistic per-cohort prevalence-restricted null — a result we report as a genuine reversal rather than preserving the earlier, less rigorous finding. Using a pre-specified descriptive coefficient-sign-stability screen (not a formal hypothesis test), eight genera for logistic regression showed opposite, stable fitted-coefficient direction across cohorts; no comparable screen is applied to LightGBM, which has no single coefficient-like global direction. These findings demonstrate substantial cross-cohort generalization limitations among the evaluated publicly available 16S datasets; the two batch-correction methods tested under the label-blind transductive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Ma, L., Wu, T., Yang, S., Du, X., O’Brien, T.J., Zhang, J., Zhang, 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2026-09-14T15:08:31Z</dcterms:created>
  <dcterms:modified xsi:type="dcterms:W3CDTF">2026-09-14T15:08:31Z</dcterms:modified>
</cp:coreProperties>
</file>

<file path=docProps/custom.xml><?xml version="1.0" encoding="utf-8"?>
<Properties xmlns="http://schemas.openxmlformats.org/officeDocument/2006/custom-properties" xmlns:vt="http://schemas.openxmlformats.org/officeDocument/2006/docPropsVTypes"/>
</file>