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 United States</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most common cause of dementia, accounting for an estimated 60–70% of cases; approximately 57 million people worldwide were living with dementia in 2021 (World Health Organization, 2026).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because it can represent a preclinical or prodromal stage of AD, though not all MCI progresses to AD, and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the two evaluated batch-adjustment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5"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ascertainment differed across cohorts: Zhuang 2018, Ling 2020, and Zhu 2022 used clinical AD diagnosis; Kazakhstan used NINCDS-ADRDA criteria (confirmed by neurologists); and Kim/KBASE 2022 used amyloid-PET positivity for preclinical AD.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were performed once independently within each cohort using that cohort’s full read set, with no diagnosis labels and no samples from other cohorts, and were not re-estimated within outer-CV folds. Thus, this raw-read stage does not introduce diagnosis-label leakage or cross-cohort pooling, although within-cohort performance is not fully fold-isolated at the denoising stage because error-model estimation used the cohort’s full read set. The strict training-only sensitivity below re-derives genus selection and downstream supervised preprocessing/model fitting, not DADA2.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for each of exactly 1,000 permutations, AD/CN labels were shuffled across the 60 participants while preserving the 30/30 class balance. Within every outer fold, all label-dependent model fitting and hyperparameter tuning were rerun using the permuted training labels. Fold-specific genus selection, zero replacement, and CLR construction depend only on fold membership and feature counts rather than diagnosis labels; these components were therefore precomputed once for the fixed partition and reused across permutations. This is an implementation optimization and does not alter the permutation null because the classifier is refit on the permuted labels in every replicate.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bookmarkEnd w:id="23"/>
    <w:bookmarkStart w:id="24" w:name="ethics-statement"/>
    <w:p>
      <w:pPr>
        <w:pStyle w:val="Heading3"/>
      </w:pPr>
      <w:r>
        <w:t xml:space="preserve">2.11 Ethics Statement</w:t>
      </w:r>
    </w:p>
    <w:p>
      <w:pPr>
        <w:pStyle w:val="FirstParagraph"/>
      </w:pPr>
      <w:r>
        <w:t xml:space="preserve">This study is a secondary analysis of publicly available, de-identified sequencing data and involved no direct participant recruitment, intervention, or access to identifiable information. Ethical approval and informed consent for primary data collection were the responsibility of the originating studies as reported in their publications; no new participants were recruited for the present analysis.</w:t>
      </w:r>
    </w:p>
    <w:p>
      <w:r>
        <w:pict>
          <v:rect style="width:0;height:1.5pt" o:hralign="center" o:hrstd="t" o:hr="t"/>
        </w:pict>
      </w:r>
    </w:p>
    <w:bookmarkEnd w:id="24"/>
    <w:bookmarkEnd w:id="25"/>
    <w:bookmarkStart w:id="32" w:name="results"/>
    <w:p>
      <w:pPr>
        <w:pStyle w:val="Heading2"/>
      </w:pPr>
      <w:r>
        <w:t xml:space="preserve">3. Results</w:t>
      </w:r>
    </w:p>
    <w:bookmarkStart w:id="26"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6"/>
    <w:bookmarkStart w:id="27"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bookmarkEnd w:id="27"/>
    <w:bookmarkStart w:id="28"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8"/>
    <w:bookmarkStart w:id="29"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Cohort-associated compositional variation was substantially larger than diagnosis-associated variation in this pooled four-cohort model: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2018, Ling 2020) were more tightly dispersed. Pairwise post-hoc betadisper comparisons (Section 2.6; Supplementary Table S12) show this is not uniform across all pairs: Ling 2020 differs significantly from every other cohort (all Holm-adjusted p≤0.0420) and drives most of the significant comparisons, while Zhu 2022 vs. Zhuang 2018 (Holm p=0.439) and Kazakhstan vs. Kim/KBASE 2022 (Holm p=0.439) do not differ significantly. Within the Chinese-MiSeq-only subset, dispersion remained significant overall (F=7.946, p=0.0004): Zhuang 2018 differed significantly from Ling 2020 after Holm correction (raw p=0.0001, Holm-adjusted p=0.0003), but its difference from Zhu 2022 did not survive Holm correction (raw p=0.026, Holm-adjusted p=0.052), and Ling 2020 and Zhu 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9"/>
    <w:bookmarkStart w:id="30"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 2018) to 0.769 (Zhu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30"/>
    <w:bookmarkStart w:id="31"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1"/>
    <w:bookmarkEnd w:id="32"/>
    <w:bookmarkStart w:id="39" w:name="discussion"/>
    <w:p>
      <w:pPr>
        <w:pStyle w:val="Heading2"/>
      </w:pPr>
      <w:r>
        <w:t xml:space="preserve">4. Discussion</w:t>
      </w:r>
    </w:p>
    <w:bookmarkStart w:id="33"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2019),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3"/>
    <w:bookmarkStart w:id="34"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4"/>
    <w:bookmarkStart w:id="35"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classification pattern learned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5"/>
    <w:bookmarkStart w:id="36"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If some directional disagreements arise from biological population differences rather than technical artifacts, technical batch correction would not necessarily resolve them; the present design cannot determine which source dominates, consistent with Section 4.2’s finding that label-blind correction left cross-cohort AUC essentially unchanged.</w:t>
      </w:r>
    </w:p>
    <w:bookmarkEnd w:id="36"/>
    <w:bookmarkStart w:id="37"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measured and accounted for through study design, stratification, covariate adjustment, or sensitivity analysis,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7"/>
    <w:bookmarkStart w:id="38"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8"/>
    <w:bookmarkEnd w:id="39"/>
    <w:bookmarkStart w:id="40"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indicating strong cohort structure in the feature space, and generalization failure persisted across all three prespecified cohort-exclusion sensitivity configurations. Out-of-fold SHAP analysis found low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40"/>
    <w:bookmarkStart w:id="41"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1"/>
    <w:bookmarkStart w:id="42"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2"/>
    <w:bookmarkStart w:id="43"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3"/>
    <w:bookmarkStart w:id="44"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pPr>
        <w:pStyle w:val="BodyText"/>
      </w:pPr>
      <w:r>
        <w:t xml:space="preserve">Generative-AI tool disclosure: Claude Code (Anthropic; version 2.1.104), running the Claude Sonnet 5 model (Anthropic; source: https://www.anthropic.com), provided minimal assistance with initial manuscript drafting and computational scripting, as detailed in Methods 2.9. All analytical decisions, parameter choices, experimental design, statistical interpretations, and scientific conclusions were made by the author.</w:t>
      </w:r>
    </w:p>
    <w:p>
      <w:r>
        <w:pict>
          <v:rect style="width:0;height:1.5pt" o:hralign="center" o:hrstd="t" o:hr="t"/>
        </w:pict>
      </w:r>
    </w:p>
    <w:bookmarkEnd w:id="44"/>
    <w:bookmarkStart w:id="45"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(2026).</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p>
      <w:r>
        <w:pict>
          <v:rect style="width:0;height:1.5pt" o:hralign="center" o:hrstd="t" o:hr="t"/>
        </w:pict>
      </w:r>
    </w:p>
    <w:bookmarkEnd w:id="46"/>
    <w:bookmarkStart w:id="47" w:name="tables"/>
    <w:p>
      <w:pPr>
        <w:pStyle w:val="Heading2"/>
      </w:pPr>
      <w:r>
        <w:t xml:space="preserve">Tables</w:t>
      </w:r>
    </w:p>
    <w:p>
      <w:pPr>
        <w:pStyle w:val="FirstParagraph"/>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r>
        <w:pict>
          <v:rect style="width:0;height:1.5pt" o:hralign="center" o:hrstd="t" o:hr="t"/>
        </w:pict>
      </w:r>
    </w:p>
    <w:bookmarkEnd w:id="47"/>
    <w:bookmarkStart w:id="48" w:name="figure-captions"/>
    <w:p>
      <w:pPr>
        <w:pStyle w:val="Heading2"/>
      </w:pPr>
      <w:r>
        <w:t xml:space="preserve">Figure Captions</w:t>
      </w:r>
    </w:p>
    <w:p>
      <w:pPr>
        <w:pStyle w:val="FirstParagraph"/>
      </w:pPr>
      <w:r>
        <w:rPr>
          <w:b/>
          <w:bCs/>
        </w:rPr>
        <w:t xml:space="preserve">Figure 1.</w:t>
      </w:r>
      <w:r>
        <w:t xml:space="preserve"> </w:t>
      </w:r>
      <w:r>
        <w:t xml:space="preserve">Study design. (</w:t>
      </w:r>
      <w:r>
        <w:rPr>
          <w:b/>
          <w:bCs/>
        </w:rPr>
        <w:t xml:space="preserve">A</w:t>
      </w:r>
      <w:r>
        <w:t xml:space="preserve">) Overview of the five 16S rRNA amplicon sequencing cohorts assembled for this study, including country of origin, sample size, sequencing mode, 16S variable region, diagnosis label availability, and analytic phases in which each cohort participates. (</w:t>
      </w:r>
      <w:r>
        <w:rPr>
          <w:b/>
          <w:bCs/>
        </w:rPr>
        <w:t xml:space="preserve">B</w:t>
      </w:r>
      <w:r>
        <w:t xml:space="preserve">) Summary of the six-phase analysis pipeline, from DADA2 processing through SHAP feature-importance and logistic-regression coefficient-stability analyses.</w:t>
      </w:r>
    </w:p>
    <w:p>
      <w:pPr>
        <w:pStyle w:val="BodyText"/>
      </w:pPr>
      <w:r>
        <w:rPr>
          <w:b/>
          <w:bCs/>
        </w:rPr>
        <w:t xml:space="preserve">Figure 2.</w:t>
      </w:r>
      <w:r>
        <w:t xml:space="preserve"> </w:t>
      </w:r>
      <w:r>
        <w:t xml:space="preserve">Within-cohort classification performance under nested cross-validation (10-fold outer / 5-fold inner CV). Bars show out-of-fold AUC-ROC; error bars represent 95% CIs from the diagnosis-stratified, participant-level bootstrap (10,000 replicates; Section 2.5.2), matching Table 2. Dashed line = chance (AUC = 0.50). LogReg = L2-regularized logistic regression; LGBM = LightGBM.</w:t>
      </w:r>
    </w:p>
    <w:p>
      <w:pPr>
        <w:pStyle w:val="BodyText"/>
      </w:pPr>
      <w:r>
        <w:rPr>
          <w:b/>
          <w:bCs/>
        </w:rPr>
        <w:t xml:space="preserve">Figure 3.</w:t>
      </w:r>
      <w:r>
        <w:t xml:space="preserve"> </w:t>
      </w:r>
      <w:r>
        <w:t xml:space="preserve">Cross-cohort generalization failure. (</w:t>
      </w:r>
      <w:r>
        <w:rPr>
          <w:b/>
          <w:bCs/>
        </w:rPr>
        <w:t xml:space="preserve">A</w:t>
      </w:r>
      <w:r>
        <w:t xml:space="preserve">) Within-cohort (solid bars) versus LOCO cross-cohort (hatched bars) AUC-ROC for logistic regression (blue) and LightGBM (pink). Error bars on the LOCO bars = 95% CI from the diagnosis-stratified, participant-level bootstrap (10,000 replicates; Section 2.5.2), matching Table 3; within-cohort bars are shown without error bars in this panel. (</w:t>
      </w:r>
      <w:r>
        <w:rPr>
          <w:b/>
          <w:bCs/>
        </w:rPr>
        <w:t xml:space="preserve">B</w:t>
      </w:r>
      <w:r>
        <w:t xml:space="preserve">,</w:t>
      </w:r>
      <w:r>
        <w:t xml:space="preserve"> </w:t>
      </w:r>
      <w:r>
        <w:rPr>
          <w:b/>
          <w:bCs/>
        </w:rPr>
        <w:t xml:space="preserve">C</w:t>
      </w:r>
      <w:r>
        <w:t xml:space="preserve">) Pairwise single-cohort-train / single-cohort-test AUC heatmaps for logistic regression and LightGBM respectively. Diagonal (within-cohort) values are omitted; colour scale: red = lower AUC, green = higher AUC.</w:t>
      </w:r>
    </w:p>
    <w:p>
      <w:pPr>
        <w:pStyle w:val="BodyText"/>
      </w:pPr>
      <w:r>
        <w:rPr>
          <w:b/>
          <w:bCs/>
        </w:rPr>
        <w:t xml:space="preserve">Figure 4.</w:t>
      </w:r>
      <w:r>
        <w:t xml:space="preserve"> </w:t>
      </w:r>
      <w:r>
        <w:t xml:space="preserve">PERMANOVA variance decomposition and beta-diversity structure. (</w:t>
      </w:r>
      <w:r>
        <w:rPr>
          <w:b/>
          <w:bCs/>
        </w:rPr>
        <w:t xml:space="preserve">A</w:t>
      </w:r>
      <w:r>
        <w:t xml:space="preserve">) Marginal R² values from a two-variable PERMANOVA model on the four labeled cohorts (n=401): cohort R²=0.172 and diagnosis R²=0.014, shown as independent bars. These Type III marginal R² values are estimated independently and do not sum to 1. (</w:t>
      </w:r>
      <w:r>
        <w:rPr>
          <w:b/>
          <w:bCs/>
        </w:rPr>
        <w:t xml:space="preserve">B</w:t>
      </w:r>
      <w:r>
        <w:t xml:space="preserve">) PCoA of Aitchison distance matrix (all five cohorts; n=509). Cohort R²=0.193 (F=30.13, p=0.0001, 9,999 permutations). Ellipses = 95% normal confidence ellipses. (</w:t>
      </w:r>
      <w:r>
        <w:rPr>
          <w:b/>
          <w:bCs/>
        </w:rPr>
        <w:t xml:space="preserve">C</w:t>
      </w:r>
      <w:r>
        <w:t xml:space="preserve">) Beta-dispersion: distance from each sample to its cohort centroid (F=13.93, p=0.0001, 9,999 permutations).</w:t>
      </w:r>
    </w:p>
    <w:p>
      <w:pPr>
        <w:pStyle w:val="BodyText"/>
      </w:pPr>
      <w:r>
        <w:rPr>
          <w:b/>
          <w:bCs/>
        </w:rPr>
        <w:t xml:space="preserve">Figure 5.</w:t>
      </w:r>
      <w:r>
        <w:t xml:space="preserve"> </w:t>
      </w:r>
      <w:r>
        <w:t xml:space="preserve">Effect of label-blind batch correction on LOCO cross-cohort AUC-ROC (primary analysis; no diagnosis information used during correction). (</w:t>
      </w:r>
      <w:r>
        <w:rPr>
          <w:b/>
          <w:bCs/>
        </w:rPr>
        <w:t xml:space="preserve">A</w:t>
      </w:r>
      <w:r>
        <w:t xml:space="preserve">) Logistic regression and (</w:t>
      </w:r>
      <w:r>
        <w:rPr>
          <w:b/>
          <w:bCs/>
        </w:rPr>
        <w:t xml:space="preserve">B</w:t>
      </w:r>
      <w:r>
        <w:t xml:space="preserve">) LightGBM LOCO AUC for each held-out cohort under three conditions: uncorrected (green), ComBat-seq label-blind corrected (magenta), and MMUPHin label-blind corrected (salmon). Error bars = 95% bootstrap CI (1,000 non-stratified resamples on held-out test predictions; Section 2.5). Dashed line = chance (0.50). Under this label-blind design, both methods left mean LOCO AUC essentially unchanged relative to uncorrected (within 0.007 AUC for both methods and models), neither recovering nor substantially worsening cross-cohort generalization. An exploratory label-informed transductive sensitivity comparison, in which correction used each sample’s own true diagnosis label and which produced substantially different, more severe degradation for some cohorts, is reported separately in Supplementary Figure S4 and is not treated as evidence about prospective performance (Section 2.7, Section 3.5).</w:t>
      </w:r>
    </w:p>
    <w:p>
      <w:pPr>
        <w:pStyle w:val="BodyText"/>
      </w:pPr>
      <w:r>
        <w:rPr>
          <w:b/>
          <w:bCs/>
        </w:rPr>
        <w:t xml:space="preserve">Figure 6.</w:t>
      </w:r>
      <w:r>
        <w:t xml:space="preserve"> </w:t>
      </w:r>
      <w:r>
        <w:t xml:space="preserve">SHAP feature importance and coefficient-based direction analysis, logistic regression. (</w:t>
      </w:r>
      <w:r>
        <w:rPr>
          <w:b/>
          <w:bCs/>
        </w:rPr>
        <w:t xml:space="preserve">A</w:t>
      </w:r>
      <w:r>
        <w:t xml:space="preserve">) Top-20 SHAP genera by maximum |SHAP| across cohorts. Dot size ∝ mean |SHAP|; feature importance only — no direction is encoded in this panel. (</w:t>
      </w:r>
      <w:r>
        <w:rPr>
          <w:b/>
          <w:bCs/>
        </w:rPr>
        <w:t xml:space="preserve">B</w:t>
      </w:r>
      <w:r>
        <w:t xml:space="preserve">) Fitted-coefficient direction by cohort for the eight genera meeting a pre-specified descriptive coefficient-sign-stability screen (top-20 in ≥2 cohorts; a stable positive coefficient sign in ≥8/10 outer folds in ≥1 cohort and a stable negative sign in ≥8/10 folds in ≥1 other). Cell color = median fitted logistic-regression coefficient across the 10 outer folds; cell text = fold-count and direction. Bordered cells meet the ≥8/10 stability criterion. This is a descriptive screen, not a multiplicity-corrected hypothesis test. (</w:t>
      </w:r>
      <w:r>
        <w:rPr>
          <w:b/>
          <w:bCs/>
        </w:rPr>
        <w:t xml:space="preserve">C</w:t>
      </w:r>
      <w:r>
        <w:t xml:space="preserve">) Pairwise Jaccard similarity of top-20 SHAP taxa between cohort pairs; mean of the six unique pairwise values = 0.135, significantly above a null matched to this statistic’s construction (100,000 replicates of four random top-20 sets; p&lt;0.0001). A prevalence-restricted null sensitivity analysis (Supplementary Table S13) shows logistic regression remains significant while LightGBM does not.</w:t>
      </w:r>
    </w:p>
    <w:bookmarkEnd w:id="48"/>
    <w:bookmarkEnd w:id="49"/>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2026-09-15T02:28:08Z</dcterms:created>
  <dcterms:modified xsi:type="dcterms:W3CDTF">2026-09-15T02:28:08Z</dcterms:modified>
</cp:coreProperties>
</file>

<file path=docProps/custom.xml><?xml version="1.0" encoding="utf-8"?>
<Properties xmlns="http://schemas.openxmlformats.org/officeDocument/2006/custom-properties" xmlns:vt="http://schemas.openxmlformats.org/officeDocument/2006/docPropsVTypes"/>
</file>