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 biomarker for Alzheimer’s disease (AD) and mild cognitive impairment (MCI), yet individual studies consistently report contradictory taxonomic signatures across populations, and cross-cohort classifier performance has received limited systematic evaluation. We assembled five publicly available 16S rRNA gene sequencing cohorts (509 samples; China, Kazakhstan, South Korea; Zhuang 2018, Ling 2020, Zhu 2022, Kaiyrlykyzy 2022, Kim 2022) and evaluated whether machine learning classifiers trained within one cohort could generalize to independent cohorts, whether standard batch correction methods could recover transferability, and which taxonomic features drove cohort-specific predictions. DADA2 amplicon sequence variant (ASV) processing and genus-level harmonization produced a unified matrix of 396 genera across all cohorts (retained at ≥20% prevalence in at least one cohort, applied globally across all five cohorts before any supervised split), transformed to centered log-ratio (CLR) coordinates for compositional analysis; a dedicated sensitivity analysis re-deriving this feature set independently within each training split (never using held-out-cohort information) reproduced the same qualitative generalization-failure pattern (LOCO AUC changed by at most 0.066). The Zhu 2022 cohort deposited paired blood microbiome and fecal samples; only fecal samples (n=90) were retained for all analyses. Within four labeled cohorts (n=401 for binary AD/CN analyses), logistic regression and LightGBM classifiers achieved within-cohort AUC-ROC values ranging from 0.633 to 0.998 under nested cross-validation, broadly consistent with originally reported performance. In leave-one-cohort-out (LOCO) transfer experiments, LOCO AUC-ROC fell to 0.504–0.813, a mean drop of 0.176 AUC points for logistic regression and 0.146 for LightGBM, with one of eight model–cohort combinations collapsing to near chance (AUC = 0.504). PERMANOVA on Aitchison distance showed that cohort identity explained 19.3% of total Aitchison variance across all five cohorts (F=30.13, p=0.0001); in the four-cohort marginal model, cohort explained R²=0.172 versus only 0.014 for disease label—an approximately 12-fold disparity in cohort-associated versus diagnosis-associated compositional heterogeneity, which provides context for the observed difficulty of harmonization but does not by itself establish that the two sources of variation overlap or explain why batch correction changed classifier performance. Batch correction was evaluated under two designs: a label-blind design (ComBat-seq/MMUPHin fit without any diagnosis information) left mean LOCO AUC essentially unchanged relative to uncorrected (within 0.007 AUC for both methods and models), while an exploratory label-informed design (fit using each sample’s own true diagnosis label, which cannot estimate prospective performance) produced large, method- and cohort-specific degradation, including a collapse to AUC=0.308 for one cohort under ComBat-seq — a result attributable in large part to the label-informed design itself rather than to batch correction per se. Neither design recovered cross-cohort transferability. SHAP analysis using out-of-fold values revealed near-zero pairwise Jaccard similarity between cohorts’ top-20 predictive taxa (mean 0.135 for logistic regression and 0.058 for LightGBM); against a null distribution matched to the observed statistic’s own construction (four random top-20 sets per replicate, averaging the six pairwise Jaccards among them, 100,000 replicates), both were significantly above chance at the primary N=20 threshold (logistic regression p&lt;0.0001; LightGBM p=0.0048), though the LightGBM result was not significant at N=10 (p=0.45), indicating overlap that is real but small in magnitude and sensitive to the choice of N. Using a pre-specified cross-fold coefficient-sign-stability criterion for logistic regression (positive or negative sign in ≥8 of 10 outer folds), eight genera showed a stable directional flip across cohorts, including</w:t>
      </w:r>
      <w:r>
        <w:t xml:space="preserve"> </w:t>
      </w:r>
      <w:r>
        <w:rPr>
          <w:i/>
          <w:iCs/>
        </w:rPr>
        <w:t xml:space="preserve">Lactobacillus</w:t>
      </w:r>
      <w:r>
        <w:t xml:space="preserve">; because LightGBM is a tree ensemble with no single coefficient-like direction, no comparable directional-flip claim is made for it. These results demonstrate that gut microbiome-based AD classifiers trained in one population do not transfer reliably to other populations, that the cohort effect is structurally much larger than the disease effect, and that the batch correction methods evaluated here do not recover this transferability. Multi-cohort harmonized training data and prospective validation across geographically and demographically diverse populations are prerequisites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APPPS1 controls (Harach et al., 2017), dozens of 16S rRNA and shotgun metagenomic studies have reported significant differences in gut microbial composition between AD or MCI patients and cognitively normal (CN) controls. MCI is included as a diagnostic category in this literature given its role as a preclinical or prodromal stage of AD, though the primary supervised analyses in this study focus on binary AD versus CN comparisons (see Section 2.4).</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using integrated data (Wang et al., 2026), confirming that multi-population integration remains a methodological frontier. The present study is complementary, providing a systematic quantification of cross-cohort generalization failure and an empirical analysis of why batch correction methods fail to bridge the gap—questions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contribution of technical batch effects versus biological heterogeneity to this collapse, as estimated by variance partitioning;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trained within one cohort consistently fail to generalize to other cohorts; cohort identity explains approximately 12 times more compositional variance than disease status; standard batch correction methods (ComBat-seq and MMUPHin) reduced mean cross-cohort AUC rather than improving transferability; and the specific taxa driving predictions are almost entirely cohort-specific and frequently contradict in direction across populations. Together, these findings constitute a systematic quantification of the generalization failure in the gut microbiome-based AD classifier literature, with direct implications for the field’s trajectory toward clinical translation.</w:t>
      </w:r>
    </w:p>
    <w:p>
      <w:r>
        <w:pict>
          <v:rect style="width:0;height:1.5pt" o:hralign="center" o:hrstd="t" o:hr="t"/>
        </w:pict>
      </w:r>
    </w:p>
    <w:bookmarkEnd w:id="10"/>
    <w:bookmarkStart w:id="22"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The search used the following terms in the SRA search interface: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to avoid the additional platform confound introduced by mixing amplicon and whole-genome sequencing data. Cohorts were excluded if: per-sample labels were IRB-restricted (for supervised analyses); data had not been publicly released at the time of analysis; or samples represented a tissue compartment other than fecal microbiome as the primary analyte. A complete record of the search procedure, identified cohorts, and exclusion rationale is provided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2 sample types = 180 samples.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 Diagnostic criteria across cohorts relied on clinical AD diagnosis (Zhuang, Ling, Zhu) or amyloid-PET positivity (Kim);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reached ≥20% prevalence (i.e., a nonzero count in ≥20% of samples) in at least one of the five cohorts; this prevalence threshold was computed per cohort and the union of genera passing in any cohort was taken across all five cohorts, producing a unified feature set of 396 genera. Genera absent in a given sample received a count of zero. Because this feature-selection step used all five cohorts’ raw prevalence simultaneously, the resulting 396-genus feature universe was informed, in part, by the prevalence of the eventual test cohort in every downstream leave-one-cohort-out (LOCO) and pairwise-transfer experiment (Section 2.5) — a global feature-selection design whose held-out-cohort information use we evaluate directly in Section 2.5.1.</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4"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was set in the estimator configuration but has no effect under the default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therefore L2 (ridge)-regularized, not elastic-net, despite the model being informally referred to as</w:t>
      </w:r>
      <w:r>
        <w:t xml:space="preserve"> </w:t>
      </w:r>
      <w:r>
        <w:t xml:space="preserve">“elastic-net”</w:t>
      </w:r>
      <w:r>
        <w:t xml:space="preserve"> </w:t>
      </w:r>
      <w:r>
        <w:t xml:space="preserve">in earlier drafts of this work. This is corrected here for accuracy; it does not require re-fitting any model, since the actual fitted models were always L2-regularized.</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Bootstrap 95% confidence intervals (1,000 resamples) on the pooled out-of-fold predictions are reported throughout. We also report sensitivity and specificity at the Youden’s J optimal threshold. For comparison with originally reported performance, the published AUC values from the original cohort papers are noted in Table 2 where available.</w:t>
      </w:r>
    </w:p>
    <w:bookmarkEnd w:id="14"/>
    <w:bookmarkStart w:id="16"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 bootstrap 95% CIs are reported for each LOCO AUC estimate, and the non-overlap of within-cohort and LOCO CIs serves as an indicator of a statistically reliable drop.</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Bootstrap 95% CIs (1,000 resamples) on the test set predictions are reported for all LOCO and pairwise estimates.</w:t>
      </w:r>
    </w:p>
    <w:p>
      <w:pPr>
        <w:pStyle w:val="BodyText"/>
      </w:pPr>
      <w:r>
        <w:rPr>
          <w:b/>
          <w:bCs/>
        </w:rPr>
        <w:t xml:space="preserve">Sensitivity analyses:</w:t>
      </w:r>
      <w:r>
        <w:t xml:space="preserve"> </w:t>
      </w:r>
      <w:r>
        <w:t xml:space="preserve">To assess whether generalization failure was attributable to any single cohort, we repeated the LOCO experiment under three additional configurations: (A) excluding Kazakhstan entirely, with LOCO evaluated on the remaining three cohorts; (B) excluding Zhuang 2018; (C) excluding Ling 2020. Results are reported in Section 3.3 and Supplementary Figure S4.</w:t>
      </w:r>
    </w:p>
    <w:bookmarkStart w:id="15" w:name="Xe2926c73c2cf6d3094a4393ff10389966fd30e4"/>
    <w:p>
      <w:pPr>
        <w:pStyle w:val="Heading4"/>
      </w:pPr>
      <w:r>
        <w:t xml:space="preserve">2.5.1 Training-Only Feature-Selection Sensitivity Analysis</w:t>
      </w:r>
    </w:p>
    <w:p>
      <w:pPr>
        <w:pStyle w:val="FirstParagraph"/>
      </w:pPr>
      <w:r>
        <w:t xml:space="preserve">Because the 396-genus feature set (Section 2.2) was selected globally using all five cohorts’ raw prevalence, every LOCO and pairwise experiment above used a feature universe partly informed by the eventual held-out cohort. To assess whether this affected the generalization-failure conclusion, we repeated the within-cohort nested-CV, LOCO, and pairwise-transfer analyses with genus selection re-derived independently inside every individual split, using only that split’s training-side samples: for each outer fold (within-cohort), each held-out cohort (LOCO), and each train cohort (pairwise), the ≥20%-prevalence filter was recomputed from scratch using only the training-side AD/CN-labeled samples for that specific split, and the corresponding test/held-out samples were projected onto the training-derived genus set (absent genera filled with zero count) before per-sample zero-replacement and CLR transformation. Model families, hyperparameter grids, random state, fold counts, and the bootstrap CI procedure were identical to the main analyses (Sections 2.4–2.5). This produces a strictly train-only feature universe for every split, at the cost of a smaller and split-specific genus count (e.g., 150 genera when Kazakhstan is excluded from feature selection during its own LOCO hold-out, versus 396 in the main global-feature analysis).</w:t>
      </w:r>
    </w:p>
    <w:bookmarkEnd w:id="15"/>
    <w:bookmarkEnd w:id="16"/>
    <w:bookmarkStart w:id="17"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The minimum attainable permutation p-value with 9,999 permutations is reported as p=0.0001 throughout. Three models were fitted: (1) cohort only, all five cohorts (n=509); (2) cohort + diagnosis, restricted to the four labeled cohorts (n=401: AD and CN samples only, Zhu 2022 MCI excluded), with marginal R² for each term; (3) within each labeled cohort, diagnosis as the sole predictor (within-cohort disease effect size). Note that Figure 4B displays the PCoA from Model 1 (n=509, all five cohorts including MCI samples), while the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w:t>
      </w:r>
    </w:p>
    <w:p>
      <w:pPr>
        <w:pStyle w:val="BodyText"/>
      </w:pPr>
      <w:r>
        <w:t xml:space="preserve">To further quantify the degree to which cohort-specific information is retained in the preprocessed feature space, we trained a logistic regression classifier (one-vs-rest, stratified 5-fold CV) to predict cohort identity from the CLR-transformed features across all 509 samples. The macro-AUC for cohort prediction provides a complementary measure of cohort separability.</w:t>
      </w:r>
    </w:p>
    <w:bookmarkEnd w:id="17"/>
    <w:bookmarkStart w:id="18"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applying each with cohort identity as the batch variable, under two distinct designs that differ in whether diagnosis (disease-label) information is supplied during correction. Both designs are</w:t>
      </w:r>
      <w:r>
        <w:t xml:space="preserve"> </w:t>
      </w:r>
      <w:r>
        <w:rPr>
          <w:b/>
          <w:bCs/>
        </w:rPr>
        <w:t xml:space="preserve">transductive</w:t>
      </w:r>
      <w:r>
        <w:t xml:space="preserve">: both methods estimate batch-effect parameters jointly across every sample being corrected — including, in the downstream LOCO evaluation, the eventual held-out test cohort’s own feature values and cohort membership. Neither design is prospective or inductive (i.e., neither defines a transformation that could be applied to a genuinely new, unseen patient without refitting); they differ only in whether the target cohort’s diagnosis labels are additionally used.</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only) with</w:t>
      </w:r>
      <w:r>
        <w:t xml:space="preserve"> </w:t>
      </w:r>
      <w:r>
        <w:rPr>
          <w:rStyle w:val="VerbatimChar"/>
        </w:rPr>
        <w:t xml:space="preserve">group = NULL, full_mod = FALSE</w:t>
      </w:r>
      <w:r>
        <w:t xml:space="preserve"> </w:t>
      </w:r>
      <w:r>
        <w:t xml:space="preserve">— no diagnosis information of any kind is supplied. MMUPHin v1.15 (Ma et al., 2022) was run on relative-abundance profiles from the four labeled cohorts with</w:t>
      </w:r>
      <w:r>
        <w:t xml:space="preserve"> </w:t>
      </w:r>
      <w:r>
        <w:rPr>
          <w:rStyle w:val="VerbatimChar"/>
        </w:rPr>
        <w:t xml:space="preserve">batch = cohort</w:t>
      </w:r>
      <w:r>
        <w:t xml:space="preserve"> </w:t>
      </w:r>
      <w:r>
        <w:t xml:space="preserve">and</w:t>
      </w:r>
      <w:r>
        <w:t xml:space="preserve"> </w:t>
      </w:r>
      <w:r>
        <w:rPr>
          <w:rStyle w:val="VerbatimChar"/>
        </w:rPr>
        <w:t xml:space="preserve">covariates = NULL</w:t>
      </w:r>
      <w:r>
        <w:t xml:space="preserve">; the metadata object supplied to</w:t>
      </w:r>
      <w:r>
        <w:t xml:space="preserve"> </w:t>
      </w:r>
      <w:r>
        <w:rPr>
          <w:rStyle w:val="VerbatimChar"/>
        </w:rPr>
        <w:t xml:space="preserve">adjust_batch</w:t>
      </w:r>
      <w:r>
        <w:t xml:space="preserve"> </w:t>
      </w:r>
      <w:r>
        <w:t xml:space="preserve">did not include a diagnosis column at all. In both cases, cohort identity and every sample’s own raw feature values are used (this is what makes the design transductive), but no sample’s true AD/CN label is ever used during correction. Corrected count tables (ComBat-seq) or relative abundances (MMUPHin) were CLR-transformed using the same multiplicative zero-replacement procedure described in Section 2.3.</w:t>
      </w:r>
    </w:p>
    <w:p>
      <w:pPr>
        <w:pStyle w:val="BodyText"/>
      </w:pPr>
      <w:r>
        <w:rPr>
          <w:b/>
          <w:bCs/>
        </w:rPr>
        <w:t xml:space="preserve">Design 2 — label-informed transductive correction (exploratory/oracle-style sensitivity).</w:t>
      </w:r>
      <w:r>
        <w:t xml:space="preserve"> </w:t>
      </w:r>
      <w:r>
        <w:t xml:space="preserve">The same two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 i.e., using every sample’s own true diagnosis label, for all four labeled cohorts jointly, including the sample’s own held-out-cohort membership in the eventual LOCO evaluation. This design cannot estimate prospective external-validation performance, because the correction step has already seen the answer for every sample it corrects, including test-cohort samples. We retain it only as an exploratory, oracle-style sensitivity analysis illustrating an upper/alternative bound on what correction with label information could do, not as evidence about deployable performance.</w:t>
      </w:r>
    </w:p>
    <w:p>
      <w:pPr>
        <w:pStyle w:val="BodyText"/>
      </w:pPr>
      <w:r>
        <w:t xml:space="preserve">After each correction, the LOCO generalization experiment (Section 2.5) was repeated on the corresponding batch-corrected CLR matrices, and within-cohort AUC on corrected data was re-computed under the same nested-CV procedure as Section 2.4. Because Design 2’s correction step is explicitly told each sample’s own diagnosis label as part of a global, jointly-fit model, a within-cohort AUC measured on Design-2-corrected features cannot be used to argue that</w:t>
      </w:r>
      <w:r>
        <w:t xml:space="preserve"> </w:t>
      </w:r>
      <w:r>
        <w:t xml:space="preserve">“genuine”</w:t>
      </w:r>
      <w:r>
        <w:t xml:space="preserve"> </w:t>
      </w:r>
      <w:r>
        <w:t xml:space="preserve">disease-associated biological signal survived correction independent of that label information — some or all of any preserved within-cohort separability could instead be an artifact of the correction algorithm’s own label-preservation mechanism (</w:t>
      </w:r>
      <w:r>
        <w:rPr>
          <w:rStyle w:val="VerbatimChar"/>
        </w:rPr>
        <w:t xml:space="preserve">full_mod=TRUE</w:t>
      </w:r>
      <w:r>
        <w:t xml:space="preserve"> </w:t>
      </w:r>
      <w:r>
        <w:t xml:space="preserve">/</w:t>
      </w:r>
      <w:r>
        <w:t xml:space="preserve"> </w:t>
      </w:r>
      <w:r>
        <w:rPr>
          <w:rStyle w:val="VerbatimChar"/>
        </w:rPr>
        <w:t xml:space="preserve">covariates="diagnosis"</w:t>
      </w:r>
      <w:r>
        <w:t xml:space="preserve">) rather than evidence about biology. This caveat does not apply to Design 1, whose within-cohort AUC on corrected data is not confounded by label use during correction, though it remains a transductive (not prospective) result like the LOCO evaluation itself.</w:t>
      </w:r>
    </w:p>
    <w:bookmarkEnd w:id="18"/>
    <w:bookmarkStart w:id="19"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that arises when SHAP values are computed on the same data used to fit the model.</w:t>
      </w:r>
    </w:p>
    <w:p>
      <w:pPr>
        <w:pStyle w:val="BodyText"/>
      </w:pPr>
      <w:r>
        <w:t xml:space="preserve">For each labeled cohort, SHAP values were computed using the same 10-fold outer CV structure used for AUC estimation (Section 2.4). In each fold, the classifier was trained on the 9 training folds; SHAP values were then computed for the held-out fold using the training fold as the SHAP background distribution. For logistic regression, shap.LinearExplainer was used with the training-fold data as background (feature_perturbation=</w:t>
      </w:r>
      <w:r>
        <w:t xml:space="preserve">“interventional”</w:t>
      </w:r>
      <w:r>
        <w:t xml:space="preserve">), and the held-out fold as the evaluation set; this ensures the mean SHAP value over the evaluation set is not algebraically forced to zero (as would occur if background and evaluation sets were identical). For LightGBM, shap.TreeExplainer was used (check_additivity=False) with the same OOF structure. SHAP values were aggregated across all 10 folds: the mean absolute SHAP value per genus (|SHAP|) was used as the importance metric for both models, and is not affected by the direction issue described below.</w:t>
      </w:r>
    </w:p>
    <w:p>
      <w:pPr>
        <w:pStyle w:val="BodyText"/>
      </w:pPr>
      <w:r>
        <w:rPr>
          <w:b/>
          <w:bCs/>
        </w:rPr>
        <w:t xml:space="preserve">Direction is not defined from mean signed SHAP.</w:t>
      </w:r>
      <w:r>
        <w:t xml:space="preserve"> </w:t>
      </w:r>
      <w:r>
        <w:t xml:space="preserve">For a linear model evaluated with</w:t>
      </w:r>
      <w:r>
        <w:t xml:space="preserve"> </w:t>
      </w:r>
      <w:r>
        <w:rPr>
          <w:rStyle w:val="VerbatimChar"/>
        </w:rPr>
        <w:t xml:space="preserve">LinearExplainer</w:t>
      </w:r>
      <w:r>
        <w:t xml:space="preserve"> </w:t>
      </w:r>
      <w:r>
        <w:t xml:space="preserve">under interventional feature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the mean signed SHAP value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a quantity that depends on both the fitted coefficient</w:t>
      </w:r>
      <w:r>
        <w:t xml:space="preserve"> </w:t>
      </w:r>
      <w:r>
        <w:rPr>
          <w:i/>
          <w:iCs/>
        </w:rPr>
        <w:t xml:space="preserve">and</w:t>
      </w:r>
      <w:r>
        <w:t xml:space="preserve"> </w:t>
      </w:r>
      <w:r>
        <w:t xml:space="preserve">the mean-abundance difference between the evaluation set and whichever background set was chosen, not on the coefficient sign alone. Within a single cohort’s own OOF folds this background-vs-eval difference is close to sampling noise (both come from the same cohort), but it is not zero, and for cross-cohort (LOCO) SHAP the background (the N−1 training cohorts) and evaluation set (the held-out cohort) come from systematically different populations by construction — exactly the compositional difference quantified by PERMANOVA in Section 2.6 — so mean signed LOCO SHAP is confounded with raw cross-cohort abundance differences rather than reflecting the fitted model’s direction. For this reason, mean signed SHAP is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the coefficient for every genus was recorded, together with its sign. A genus’s direction in a given cohort was called</w:t>
      </w:r>
      <w:r>
        <w:t xml:space="preserve"> </w:t>
      </w:r>
      <w:r>
        <w:rPr>
          <w:b/>
          <w:bCs/>
        </w:rPr>
        <w:t xml:space="preserve">stable</w:t>
      </w:r>
      <w:r>
        <w:t xml:space="preserve"> </w:t>
      </w:r>
      <w:r>
        <w:t xml:space="preserve">— positive or negative — if the coefficient carried that sign in at least 8 of the 10 outer folds (a threshold specified before any results were examined); a coefficient of exactly zero counted toward neither direction. A genus was classified as a cross-cohort</w:t>
      </w:r>
      <w:r>
        <w:t xml:space="preserve"> </w:t>
      </w:r>
      <w:r>
        <w:rPr>
          <w:b/>
          <w:bCs/>
        </w:rPr>
        <w:t xml:space="preserve">directional flip</w:t>
      </w:r>
      <w:r>
        <w:t xml:space="preserve"> </w:t>
      </w:r>
      <w:r>
        <w:t xml:space="preserve">only if it (a) appeared in the top-20 OOF mean-|SHAP| ranking in at least two cohorts, (b) had a stable positive coefficient in at least one of those cohorts, and (c) had a stable negative coefficient in at least one other. This is a conservative definition relative to a naive sign check on mean SHAP, because it requires the direction to be reproducible across most of the 10 outer folds within each cohort, not merely to differ in its single pooled mean-SHAP sign.</w:t>
      </w:r>
      <w:r>
        <w:t xml:space="preserve"> </w:t>
      </w:r>
      <w:r>
        <w:rPr>
          <w:b/>
          <w:bCs/>
        </w:rPr>
        <w:t xml:space="preserve">LightGBM is a tree ensemble with no single coefficient-like, globally monotonic direction, and its SHAP feature-genus relationships may be nonlinear or non-monotonic; no coefficient-based (or any other) global directional-flip claim is therefore made for LightGBM anywhere in this paper.</w:t>
      </w:r>
      <w:r>
        <w:t xml:space="preserve"> </w:t>
      </w:r>
      <w:r>
        <w:t xml:space="preserve">LightGBM results are limited to OOF mean-|SHAP| feature importance and the top-feature-overlap/Jaccard analysis below, which do not require a direction assignment.</w:t>
      </w:r>
    </w:p>
    <w:p>
      <w:pPr>
        <w:pStyle w:val="BodyText"/>
      </w:pPr>
      <w:r>
        <w:t xml:space="preserve">For LOCO analyses, SHAP values were computed on the held-out test cohort from each LOCO-trained model, with the three-cohort training pool as the SHAP background, and are reported and used only as a feature-</w:t>
      </w:r>
      <w:r>
        <w:rPr>
          <w:i/>
          <w:iCs/>
        </w:rPr>
        <w:t xml:space="preserve">importance</w:t>
      </w:r>
      <w:r>
        <w:t xml:space="preserve"> </w:t>
      </w:r>
      <w:r>
        <w:t xml:space="preserve">ranking (mean |SHAP|); consistent with the confound described above, no cross-cohort AD/CN direction is assigned to LOCO SHAP values for either model.</w:t>
      </w:r>
    </w:p>
    <w:p>
      <w:pPr>
        <w:pStyle w:val="BodyText"/>
      </w:pPr>
      <w:r>
        <w:rPr>
          <w:b/>
          <w:bCs/>
        </w:rPr>
        <w:t xml:space="preserve">Cross-cohort taxonomic overlap.</w:t>
      </w:r>
      <w:r>
        <w:t xml:space="preserve"> </w:t>
      </w:r>
      <w:r>
        <w:t xml:space="preserve">Pairwise taxonomic overlap between cohorts was quantified using Jaccard similarity on the top-N SHAP genera (N ∈ {10, 20, 50}); N=20 is the primary threshold. The statistic actually reported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w:t>
      </w:r>
      <w:r>
        <w:t xml:space="preserve">pairs). The null distribution against which this statistic is compared was constructed to match it exactly: in each of 100,000 replicates, four independent random top-N gene sets were drawn (without replacement) from the full 396-genus pool, and the same six unique pairwise Jaccard similarities among those four random sets were averaged to produce one null replicate — the same statistic-construction procedure as the observed value, rather than a single pairwise Jaccard between two random sets. The empirical one-sided p-value was computed as</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 A genus was classified as a directional flip using the coefficient-stability criterion above, not from this overlap analysis.</w:t>
      </w:r>
    </w:p>
    <w:bookmarkEnd w:id="19"/>
    <w:bookmarkStart w:id="20" w:name="ai-tool-disclosure"/>
    <w:p>
      <w:pPr>
        <w:pStyle w:val="Heading3"/>
      </w:pPr>
      <w:r>
        <w:t xml:space="preserve">2.9 AI Tool Disclosure</w:t>
      </w:r>
    </w:p>
    <w:p>
      <w:pPr>
        <w:pStyle w:val="FirstParagraph"/>
      </w:pPr>
      <w:r>
        <w:t xml:space="preserve">Initial manuscript drafts and computational scripts were prepared with minimal assistance from Claude (Anthropic). All analytical decisions, parameter choices, experimental design, statistical interpretations, and scientific conclusions were made by the author. All code and text were reviewed, validated, and substantially revised under the author’s direction.</w:t>
      </w:r>
    </w:p>
    <w:bookmarkEnd w:id="20"/>
    <w:bookmarkStart w:id="21"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the Round 2 revision described below. All original (Round 1) Python analyses used scikit-learn v1.5, lightgbm v4, shap v0.51, pandas v2.x, and numpy v1.x in a conda environment (Python 3.11); original R analyses used vegan v2.6, sva v3.50 (ComBat-seq), and MMUPHin v1.15 in R v4.3. The Round 2 analyses added in response to peer review (training-only feature-selection sensitivity, label-blind batch correction, SHAP coefficient-stability, and the matched Jaccard null; Sections 2.5.1, 2.7, 2.8) were executed in Python 3.11.15 (scikit-learn 1.5.2, lightgbm 4.6.0, shap 0.51.0 — matching the original Python package versions) and R 4.5.1 (vegan 2.7.1, sva 3.58.0, MMUPHin 1.24.0 — newer than the original R environment, reflecting routine system updates between the two analysis rounds). This mixed provenance — original DADA2/R4.3 preprocessing feeding into a partially re-run, newer R4.5.1/unchanged-Python downstream analysis — is disclosed here rather than described as a single uniform environment. Figures were generated with matplotlib v3.8 (Round 1) or v3.11 (Round 2 SHAP/Figure 6 regeneration) at 300 DPI.</w:t>
      </w:r>
    </w:p>
    <w:p>
      <w:r>
        <w:pict>
          <v:rect style="width:0;height:1.5pt" o:hralign="center" o:hrstd="t" o:hr="t"/>
        </w:pict>
      </w:r>
    </w:p>
    <w:bookmarkEnd w:id="21"/>
    <w:bookmarkEnd w:id="22"/>
    <w:bookmarkStart w:id="29" w:name="results"/>
    <w:p>
      <w:pPr>
        <w:pStyle w:val="Heading2"/>
      </w:pPr>
      <w:r>
        <w:t xml:space="preserve">3. Results</w:t>
      </w:r>
    </w:p>
    <w:bookmarkStart w:id="23"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CLR transformation was applied to all 509 samples jointly after union, with multiplicative zero-replacement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3"/>
    <w:bookmarkStart w:id="24"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[0.52–0.76], 0.862 [0.81–0.91], 0.979 [0.95–1.00],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p=0.0001), suggesting statistically detectable diagnosis-associated compositional differences in this cohort. However, the high AUC should be interpreted cautiously and the LOCO experiment (Section 3.3) provides a more informative assessment of how transferable this signal is.</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Accession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 (analyzed)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MCI</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Sequencing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Library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Supervised Analysis</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PRJNA554111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PRJNA633959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PRJNA489760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90 (fecal)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PRJNA811324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NovaSeq</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PRJEB50447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Phase 4 only</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509</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232</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247</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30</w:t>
            </w: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AUC-ROC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95% CI</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Sensitivity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Specificity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Originally Reported AUC</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[0.51–0.75]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~0.73 (Zhuang et al., 2018)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[0.52–0.76]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[0.81–0.92]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0.859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~0.87 (Ling et al., 2021)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[0.81–0.91]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0.740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[0.99–1.00]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~0.94 (Zhu et al., 2022)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[0.95–1.00]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[0.66–0.86]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 (Kaiyrlykyzy et al., 2022)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[0.57–0.80]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w:t>
      </w:r>
    </w:p>
    <w:bookmarkEnd w:id="24"/>
    <w:bookmarkStart w:id="25"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in cross-cohort performance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[0.37–0.63]).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w:t>
      </w:r>
    </w:p>
    <w:p>
      <w:pPr>
        <w:pStyle w:val="BodyText"/>
      </w:pPr>
      <w:r>
        <w:t xml:space="preserve">Ling 2020 also experienced substantial LOCO collapse: logistic regression 0.865 → 0.678 (Δ=0.187); LightGBM 0.862 → 0.674 (Δ=0.188). LightGBM confidence intervals for the Ling 2020 LOCO estimate [0.59–0.75] do not overlap with the within-cohort estimate [0.81–0.91], suggesting a performance drop unlikely to be explained by sampling variability alone.</w:t>
      </w:r>
    </w:p>
    <w:p>
      <w:pPr>
        <w:pStyle w:val="BodyText"/>
      </w:pPr>
      <w:r>
        <w:t xml:space="preserve">LOCO performance was heterogeneous across cohorts: Zhu 2022 achieved the highest LOCO AUC (logistic regression 0.813), while Zhuang 2018 collapsed to near chance. It should be noted that only one of the eight main model–cohort combinations fell to near chance, and five of eight exceeded 0.55; the results therefore demonstrate substantial and variable degradation rather than uniform failure.</w:t>
      </w:r>
    </w:p>
    <w:p>
      <w:pPr>
        <w:pStyle w:val="BodyText"/>
      </w:pPr>
      <w:r>
        <w:rPr>
          <w:b/>
          <w:bCs/>
        </w:rPr>
        <w:t xml:space="preserve">Sensitivity analyses</w:t>
      </w:r>
      <w:r>
        <w:t xml:space="preserve"> </w:t>
      </w:r>
      <w:r>
        <w:t xml:space="preserve">confirmed that generalization failure was not attributable to Kazakhstan, Zhuang 2018, or Ling 2020 individually (Supplementary Figure S4). When Kazakhstan was excluded and LOCO was performed on the three remaining Chinese cohorts, Zhuang 2018 remained near chance (LogReg 0.512, LightGBM 0.567), demonstrating that the generalization failure for Zhuang 2018 is not a Kazakhstan artifact. When Zhuang 2018 was excluded, LOCO on the remaining three cohorts still showed AUC values that were substantially below within-cohort baselines for Kazakhstan (LogReg 0.599, LightGBM 0.495). When Ling 2020 was excluded, Kazakhstan LOCO LogReg was 0.604. These sensitivity results confirm the robustness of the main finding across cohort compositions.</w:t>
      </w:r>
    </w:p>
    <w:p>
      <w:pPr>
        <w:pStyle w:val="BodyText"/>
      </w:pPr>
      <w:r>
        <w:rPr>
          <w:b/>
          <w:bCs/>
        </w:rPr>
        <w:t xml:space="preserve">Training-only feature-selection sensitivity</w:t>
      </w:r>
      <w:r>
        <w:t xml:space="preserve"> </w:t>
      </w:r>
      <w:r>
        <w:t xml:space="preserve">(Section 2.5.1) confirmed that this LOCO generalization-failure pattern is not an artifact of the global, all-cohort genus-selection step (Section 2.2). Re-deriving the retained genus set independently within each split — using only that split’s training-side samples, with the held-out cohort contributing zero information to feature selection — changed LOCO AUC by at most 0.066 in either direction (largest changes: Kazakhstan LightGBM 0.591→0.525, Δ=−0.066; Kazakhstan LogReg 0.564→0.609, Δ=+0.045; all other cohort–model combinations changed by ≤0.031). The retained genus count under strict training-only selection ranged from 150 (when Kazakhstan — a comparatively high-prevalence cohort for many genera — was excluded from feature selection during its own hold-out) to 373, versus 396 under the global rule, yet no cohort–model combination changed its qualitative classification (near-chance, intermediate, or robust). Within-cohort nested-CV AUC under training-only selection likewise moved by −0.083 to +0.038 (Supplementary Table S4). We conclude that the global feature-selection design in the main analysis, while a genuine methodological limitation in principle, did not materially inflate or deflate the magnitude of the reported cross-cohort generalization failure.</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Test 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Within-Cohort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LOCO 95% CI</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AUC Drop</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[0.37–0.63]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0.129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[0.59–0.76]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0.187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[0.59–0.75]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0.188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[0.69–0.92]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0.185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0.758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[0.63–0.87]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0.221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0.202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[0.47–0.71]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0.103</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0.816</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0.640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0.176</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0.793</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0.647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0.146</w:t>
            </w:r>
          </w:p>
        </w:tc>
      </w:tr>
    </w:tbl>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5"/>
    <w:bookmarkStart w:id="26"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p=0.0001, 9,999 permutations; Figure 4A). On Bray-Curtis dissimilarity, the cohort R² was 0.136 (F=19.80, p=0.0001). The cohort effect was substantially larger than disease signal: in a marginal two-variable model restricted to the four labeled cohorts (n=401), cohort (marginal) explained R²=0.172 (F=28.03, p=0.0001) versus diagnosis (marginal) R²=0.014 (F=6.82, p=0.0001)—an approximately 12-fold disparity within the same model. This is an empirical statement about the relative magnitude of cohort- versus diagnosis-associated compositional heterogeneity in these data. It provides context for interpreting the batch-correction results in Section 3.5, but PERMANOVA marginal R² values do not by themselves establish that the cohort and diagnosis axes of variation overlap, nor do they explain why any particular batch-correction algorithm changed classifier performance in a specific direction; that relationship is discussed as a separate, more limited hypothesis in Section 4.2.</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Cohort membership is thus near-perfectly recoverable from the same features used for disease classification, confirming that cohort-specific information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that the PERMANOVA R² of 0.193 reflects both compositional centroid shifts and differences in within-cohort spread. Kazakhstan showed the greatest within-cohort variance, while the Chinese cohorts (Zhuang, Ling) were more tightly dispersed. This dispersion heterogeneity is relevant to interpreting PERMANOVA effect sizes and is acknowledged in the Methods section.</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detectable diagnosis-associated compositional difference in this dataset.</w:t>
      </w:r>
    </w:p>
    <w:bookmarkEnd w:id="26"/>
    <w:bookmarkStart w:id="27" w:name="X07dd72aa9093721da33911c108bd45584760d57"/>
    <w:p>
      <w:pPr>
        <w:pStyle w:val="Heading3"/>
      </w:pPr>
      <w:r>
        <w:t xml:space="preserve">3.5 Batch Correction Does Not Recover Cross-Cohort Generalization</w:t>
      </w:r>
    </w:p>
    <w:p>
      <w:pPr>
        <w:pStyle w:val="FirstParagraph"/>
      </w:pPr>
      <w:r>
        <w:t xml:space="preserve">Batch correction was applied using ComBat-seq (on raw counts) and MMUPHin (on relative abundances) to the four labeled cohorts with cohort as the batch variable, under the two designs described in Section 2.7: a</w:t>
      </w:r>
      <w:r>
        <w:t xml:space="preserve"> </w:t>
      </w:r>
      <w:r>
        <w:rPr>
          <w:b/>
          <w:bCs/>
        </w:rPr>
        <w:t xml:space="preserve">label-blind</w:t>
      </w:r>
      <w:r>
        <w:t xml:space="preserve"> </w:t>
      </w:r>
      <w:r>
        <w:t xml:space="preserve">design (no diagnosis information used during correction; primary analysis) and a</w:t>
      </w:r>
      <w:r>
        <w:t xml:space="preserve"> </w:t>
      </w:r>
      <w:r>
        <w:rPr>
          <w:b/>
          <w:bCs/>
        </w:rPr>
        <w:t xml:space="preserve">label-informed</w:t>
      </w:r>
      <w:r>
        <w:t xml:space="preserve"> </w:t>
      </w:r>
      <w:r>
        <w:t xml:space="preserve">design (each sample’s own true diagnosis label used during correction; exploratory/oracle-style sensitivity only) (Figure 5; Table 4).</w:t>
      </w:r>
    </w:p>
    <w:p>
      <w:pPr>
        <w:pStyle w:val="BodyText"/>
      </w:pPr>
      <w:r>
        <w:rPr>
          <w:b/>
          <w:bCs/>
        </w:rPr>
        <w:t xml:space="preserve">Table 4.</w:t>
      </w:r>
      <w:r>
        <w:t xml:space="preserve"> </w:t>
      </w:r>
      <w:r>
        <w:t xml:space="preserve">Mean LOCO AUC across four cohorts, by correction design and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Design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Method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 Mean 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 Mean Drop from Within-Cohort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 Mean 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 Mean Drop</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Uncorrected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0.640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0.146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Label-blind (primary)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ComBat-seq</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0.139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Label-blind (primary)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MMUPHin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0.145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Label-informed (exploratory)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ComBat-seq</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0.493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0.322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0.238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Label-informed (exploratory)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MMUPHin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0.210</w:t>
            </w:r>
          </w:p>
        </w:tc>
      </w:tr>
    </w:tbl>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the design that does not use any sample’s diagnosis label — mean LOCO AUC changed by no more than 0.007 in either direction relative to uncorrected, for either model (Table 4). No individual cohort collapsed: per-cohort logistic-regression LOCO AUC under label-blind ComBat-seq ranged from 0.525 (zhuang2018) to 0.769 (shanghai2022/Zhu 2022), closely tracking the uncorrected values (0.504–0.813) rather than diverging sharply from them.</w:t>
      </w:r>
      <w:r>
        <w:t xml:space="preserve"> </w:t>
      </w:r>
      <w:r>
        <w:rPr>
          <w:b/>
          <w:bCs/>
        </w:rPr>
        <w:t xml:space="preserve">Batch correction, evaluated under a design that cannot see the answer it is being asked to help predict, neither improves nor substantially worsens cross-cohort transferability in this dataset — it is simply ineffective at recovering it.</w:t>
      </w:r>
    </w:p>
    <w:p>
      <w:pPr>
        <w:pStyle w:val="BodyText"/>
      </w:pPr>
      <w:r>
        <w:rPr>
          <w:b/>
          <w:bCs/>
        </w:rPr>
        <w:t xml:space="preserve">Label-informed correction (exploratory/oracle-style sensitivity; Supplementary Figure S5): the previously reported severe degradation is largely an artifact of using target labels during correction, not evidence about batch correction’s effect on biological signal.</w:t>
      </w:r>
      <w:r>
        <w:t xml:space="preserve"> </w:t>
      </w:r>
      <w:r>
        <w:t xml:space="preserve">Under the label-informed design — which uses every sample’s own true diagnosis label during correction and therefore cannot represent a deployable or even a fair oracle-style comparison — ComBat-seq reduced mean logistic-regression LOCO AUC from 0.640 to 0.493, with the Kazakhstan cohort collapsing to AUC=0.308 [0.20–0.42]. The same cohort under label-blind ComBat-seq scored 0.560, closely matching its uncorrected value (0.564). This side-by-side comparison indicates that the severe, cohort-specific collapse previously observed was driven substantially by the label-informed design itself — most likely because a global correction model that is explicitly told each sample’s own diagnosis label (via</w:t>
      </w:r>
      <w:r>
        <w:t xml:space="preserve"> </w:t>
      </w:r>
      <w:r>
        <w:rPr>
          <w:rStyle w:val="VerbatimChar"/>
        </w:rPr>
        <w:t xml:space="preserve">full_mod=TRUE</w:t>
      </w:r>
      <w:r>
        <w:t xml:space="preserve">/</w:t>
      </w:r>
      <w:r>
        <w:rPr>
          <w:rStyle w:val="VerbatimChar"/>
        </w:rPr>
        <w:t xml:space="preserve">covariates="diagnosis"</w:t>
      </w:r>
      <w:r>
        <w:t xml:space="preserve">) constructs a label-conditional transformation that does not correspond to any transformation a genuinely prospective classifier could apply, rather than by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which is a fair, unconfounded comparison because the label-blind correction never saw any sample’s diagnosis label.</w:t>
      </w:r>
      <w:r>
        <w:t xml:space="preserve"> </w:t>
      </w:r>
      <w:r>
        <w:rPr>
          <w:b/>
          <w:bCs/>
        </w:rPr>
        <w:t xml:space="preserve">We do not draw the same conclusion from within-cohort AUC on label-informed-corrected data — that comparison is confounded</w:t>
      </w:r>
      <w:r>
        <w:t xml:space="preserve">, because the label-informed correction’s own covariate-preservation mechanism (</w:t>
      </w:r>
      <w:r>
        <w:rPr>
          <w:rStyle w:val="VerbatimChar"/>
        </w:rPr>
        <w:t xml:space="preserve">full_mod=TRUE</w:t>
      </w:r>
      <w:r>
        <w:t xml:space="preserve"> </w:t>
      </w:r>
      <w:r>
        <w:t xml:space="preserve">for ComBat-seq;</w:t>
      </w:r>
      <w:r>
        <w:t xml:space="preserve"> </w:t>
      </w:r>
      <w:r>
        <w:rPr>
          <w:rStyle w:val="VerbatimChar"/>
        </w:rPr>
        <w:t xml:space="preserve">covariates="diagnosis"</w:t>
      </w:r>
      <w:r>
        <w:t xml:space="preserve"> </w:t>
      </w:r>
      <w:r>
        <w:t xml:space="preserve">for MMUPHin) is explicitly designed to retain diagnosis-associated structure using every sample’s own true label; any preserved within-cohort separability under that design cannot be attributed to correction-independent biological signal versus the correction algorithm’s own label-preservation step. We therefore no longer draw the previously stated conclusion that</w:t>
      </w:r>
      <w:r>
        <w:t xml:space="preserve"> </w:t>
      </w:r>
      <w:r>
        <w:t xml:space="preserve">“within-cohort AUC preservation rules out indiscriminate signal removal”</w:t>
      </w:r>
      <w:r>
        <w:t xml:space="preserve"> </w:t>
      </w:r>
      <w:r>
        <w:t xml:space="preserve">from the label-informed results; that inference required an unconfounded comparison that only the label-blind design provides, and the label-blind within-cohort comparison does support it descriptively (Supplementary Table S5), without establishing this as strong biological evidence beyond the observed AUC values themselves.</w:t>
      </w:r>
    </w:p>
    <w:p>
      <w:pPr>
        <w:pStyle w:val="BodyText"/>
      </w:pPr>
      <w:r>
        <w:t xml:space="preserve">The empirical PERMANOVA finding that cohort explains approximately 12 times more compositional variance than disease status (marginal R²: 0.172 vs. 0.014; Section 3.4) provides context for why a correction method targeting cohort-associated variance might struggle to leave disease-associated variance fully intact, but it does not, by itself, establish that the two sources of variation overlap, nor does it explain the specific pattern observed here — namely that a properly label-blind correction left performance essentially flat while a label-informed one produced large, method- and cohort-specific movements. That specific pattern is more directly explained by the transductive, label-informed design itself (Section 2.7) than by the general cohort/diagnosis variance disparity, and we present it as such rather than as a demonstration that linear batch correction</w:t>
      </w:r>
      <w:r>
        <w:t xml:space="preserve"> </w:t>
      </w:r>
      <w:r>
        <w:t xml:space="preserve">“cannot”</w:t>
      </w:r>
      <w:r>
        <w:t xml:space="preserve"> </w:t>
      </w:r>
      <w:r>
        <w:t xml:space="preserve">separate cohort from disease signal in general.</w:t>
      </w:r>
    </w:p>
    <w:bookmarkEnd w:id="27"/>
    <w:bookmarkStart w:id="28" w:name="X0127a6c97972aeb594cca54962346fe1f444336"/>
    <w:p>
      <w:pPr>
        <w:pStyle w:val="Heading3"/>
      </w:pPr>
      <w:r>
        <w:t xml:space="preserve">3.6 SHAP Analysis Reveals Cohort-Specific Taxonomic Signatures and a Conservative Set of Stable Directional Flips</w:t>
      </w:r>
    </w:p>
    <w:p>
      <w:pPr>
        <w:pStyle w:val="FirstParagraph"/>
      </w:pPr>
      <w:r>
        <w:t xml:space="preserve">To characterize the feature-level patterns underlying generalization failure, we computed out-of-fold SHAP values for within-cohort classifiers and LOCO-trained classifiers (Figure 6). Using an OOF design avoids the in-sample overfitting bias identified in prior SHAP analyses of microbiome classifiers, where training-set SHAP values can reflect model memorization rather than the model’s out-of-sample feature importance. Feature importance (mean |SHAP|) is reported for both models; direction is reported only for logistic regression, using the fitted-coefficient-based definition in Section 2.8 (not mean signed SHAP).</w:t>
      </w:r>
    </w:p>
    <w:p>
      <w:pPr>
        <w:pStyle w:val="BodyText"/>
      </w:pPr>
      <w:r>
        <w:rPr>
          <w:b/>
          <w:bCs/>
        </w:rPr>
        <w:t xml:space="preserve">Minimal overlap in top predictive taxa across cohorts, now assessed against a null matched to the observed statistic.</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a null distribution constructed to match this statistic exactly (100,000 replicates, each averaging the six pairwise Jaccards among four random top-20 sets; Section 2.8), logistic regression overlap was significantly above chance (null mean 0.027 [95% CI: 0.009–0.049]; p&lt;0.0001), and LightGBM overlap was also significantly above chance at this N (p=0.0048). A sensitivity check across N∈{10,20,50} (Supplementary Table S7) shows logistic regression significant at all three thresholds, while LightGBM was significant at N=20 and N=50 but not at N=10 (p=0.45) — indicating that LightGBM’s top-predictor overlap across cohorts, while small in absolute magnitude (0.058, versus a null expectation of 0.027), is a real, detectable signal at the primary and larger N thresholds, more consistent than previously reported but still substantially smaller than logistic regression’s overlap and correspondingly less informative for identifying a small set of consistently important taxa.</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was the top predictor in the remaining three cohorts (Zhu 2022 |SHAP|=0.228; Kazakhstan |SHAP|=0.136; Ling 2020 |SHAP|=0.270). Under the fitted model’s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 of 10 outer folds positive in every cohort; Supplementary Table S6) — higher CLR abundance consistently predicts higher AD log-odds under the fitted model, with no coefficient-based flip anywhere. This is a useful negative control for the direction-definition problem itself: the pooled mean SHAP value for this same genus is negative in Ling 2020 and Zhuang 2018 (which an earlier, mean-SHAP-based version of this analysis read as</w:t>
      </w:r>
      <w:r>
        <w:t xml:space="preserve"> </w:t>
      </w:r>
      <w:r>
        <w:t xml:space="preserve">“CN-associated”</w:t>
      </w:r>
      <w:r>
        <w:t xml:space="preserve">) but positive in Zhu 2022 and Kazakhstan — an apparent flip that does</w:t>
      </w:r>
      <w:r>
        <w:t xml:space="preserve"> </w:t>
      </w:r>
      <w:r>
        <w:rPr>
          <w:b/>
          <w:bCs/>
        </w:rPr>
        <w:t xml:space="preserve">not</w:t>
      </w:r>
      <w:r>
        <w:t xml:space="preserve"> </w:t>
      </w:r>
      <w:r>
        <w:t xml:space="preserve">reflect the coefficient the model actually learned, and is instead a background-relative artifact of the kind described in Section 2.8. We report this discrepancy explicitly because it demonstrates, on real data from this study, why mean signed SHAP was not an adequate direction statistic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LightGBM values (Section 2.8).</w:t>
      </w:r>
    </w:p>
    <w:p>
      <w:pPr>
        <w:pStyle w:val="BodyText"/>
      </w:pPr>
      <w:r>
        <w:rPr>
          <w:b/>
          <w:bCs/>
        </w:rPr>
        <w:t xml:space="preserve">Stable directional flips (logistic regression only).</w:t>
      </w:r>
      <w:r>
        <w:t xml:space="preserve"> </w:t>
      </w:r>
      <w:r>
        <w:t xml:space="preserve">Using the pre-specified coefficient-stability criterion (Section 2.8: a stable positive coefficient sign in ≥8 of 10 outer folds in at least one cohort, and a stable negative coefficient sign in ≥8 of 10 outer folds in at least one other cohort, restricted to genera in the top-20 OOF mean-|SHAP| ranking in ≥2 cohorts),</w:t>
      </w:r>
      <w:r>
        <w:t xml:space="preserve"> </w:t>
      </w:r>
      <w:r>
        <w:rPr>
          <w:b/>
          <w:bCs/>
        </w:rPr>
        <w:t xml:space="preserve">eight genera showed a stable cross-cohort directional flip</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a smaller and more conservative set than an earlier, less rigorous analysis of this dataset that classified any genus with opposite-signed pooled mean SHAP across two cohorts as a</w:t>
      </w:r>
      <w:r>
        <w:t xml:space="preserve"> </w:t>
      </w:r>
      <w:r>
        <w:t xml:space="preserve">“flip”</w:t>
      </w:r>
      <w:r>
        <w:t xml:space="preserve"> </w:t>
      </w:r>
      <w:r>
        <w:t xml:space="preserve">(which had identified twelve such genera); the stability requirement removes genera whose apparent flip was not reproducible across most of a cohort’s own outer folds.</w:t>
      </w:r>
      <w:r>
        <w:t xml:space="preserve"> </w:t>
      </w:r>
      <w:r>
        <w:rPr>
          <w:b/>
          <w:bCs/>
        </w:rPr>
        <w:t xml:space="preserve">No comparable directional-flip claim is made for LightGBM</w:t>
      </w:r>
      <w:r>
        <w:t xml:space="preserve">: a tree ensemble has no single coefficient-like, globally monotonic direction, and LightGBM’s SHAP–feature relationships may be nonlinear or non-monotonic, so no scalar direction statistic — stable or otherwise — is computed or reported for it.</w:t>
      </w:r>
    </w:p>
    <w:p>
      <w:pPr>
        <w:pStyle w:val="BodyText"/>
      </w:pPr>
      <w:r>
        <w:rPr>
          <w:i/>
          <w:iCs/>
        </w:rPr>
        <w:t xml:space="preserve">Lactobacillus</w:t>
      </w:r>
      <w:r>
        <w:t xml:space="preserve"> </w:t>
      </w:r>
      <w:r>
        <w:t xml:space="preserve">shows the most population-interpretable pattern among the eight stable flips: a stable negative coefficient (higher relative abundance predicts lower AD log-odds under the fitted model) in the Chinese cohorts and a stable positive coefficient in Kazakhstan, plausibly reflecting the prominence of fermented dairy (kumis, kefir) in Central Asian diets.</w:t>
      </w:r>
      <w:r>
        <w:t xml:space="preserve"> </w:t>
      </w:r>
      <w:r>
        <w:rPr>
          <w:i/>
          <w:iCs/>
        </w:rPr>
        <w:t xml:space="preserve">Akkermansia</w:t>
      </w:r>
      <w:r>
        <w:t xml:space="preserve"> </w:t>
      </w:r>
      <w:r>
        <w:t xml:space="preserve">is a useful contrast: despite appearing to reverse direction under the old, invalid mean-signed-SHAP statistic (Section 3.6), its fitted coefficient is stable and</w:t>
      </w:r>
      <w:r>
        <w:t xml:space="preserve"> </w:t>
      </w:r>
      <w:r>
        <w:rPr>
          <w:b/>
          <w:bCs/>
        </w:rPr>
        <w:t xml:space="preserve">positive in all four cohorts</w:t>
      </w:r>
      <w:r>
        <w:t xml:space="preserve"> </w:t>
      </w:r>
      <w:r>
        <w:t xml:space="preserve">(10/10 outer folds in every cohort; Supplementary Table S6) — it is not a flip at all under the coefficient-based definition. This genus’s abundance is strongly influenced by host diet, particularly fiber and polyphenol intake (Plovier et al., 2017), and by geographic-population-specific dietary patterns that likely modulate its abundance independently of any AD-specific effect; the coefficient-based analysis indicates that, at least under this fitted model, its association with AD status is directionally consistent across these four populations even though its raw pooled-SHAP appearance was not. These dietary explanations remain speculative in the absence of dietary co-variate data and are offered as hypotheses, not established conclusions.</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held-out conditions. Consistent with Section 2.8, we do not assign an AD/CN direction to these LOCO SHAP values: the LOCO SHAP background (the three training cohorts) and evaluation set (the held-out cohort) are drawn from systematically different populations by construction, so the sign of a LOCO mean SHAP value is confounded with the raw cross-cohort compositional difference quantified by PERMANOVA (Section 3.4) rather than reflecting a stable, model-derived direction. The absence of a single top-importance genus across all four held-out cohorts is itself consistent with the classifier activating whichever genera most closely resemble its training-cohort signature rather than a disease marker that generalizes across populations.</w:t>
      </w:r>
    </w:p>
    <w:p>
      <w:r>
        <w:pict>
          <v:rect style="width:0;height:1.5pt" o:hralign="center" o:hrstd="t" o:hr="t"/>
        </w:pict>
      </w:r>
    </w:p>
    <w:bookmarkEnd w:id="28"/>
    <w:bookmarkEnd w:id="29"/>
    <w:bookmarkStart w:id="36" w:name="discussion"/>
    <w:p>
      <w:pPr>
        <w:pStyle w:val="Heading2"/>
      </w:pPr>
      <w:r>
        <w:t xml:space="preserve">4. Discussion</w:t>
      </w:r>
    </w:p>
    <w:bookmarkStart w:id="30"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failure in gut microbiome-based AD classifiers. Across four labeled cohorts, two model types, two cross-cohort evaluation designs, and two batch correction methods, we consistently observe the same result: classifiers trained within one population fail to generalize reliably to another. The mean LOCO AUC drop of 0.176 points for logistic regression and 0.146 for LightGBM, with one of eight model–cohort combinations near chance, demonstrates that previously reported within-cohort performance figures cannot be taken as evidence of a generalizable diagnostic signal.</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A recent multi-cohort integration study (Wang et al., 2026, mSystems) similarly identified cross-geographic heterogeneity as a major obstacle; the present analysis complements that work by providing a systematic quantification of how severely within-cohort classifiers fail when applied to external populations, and by demonstrating that on average, neither method recovered cross-cohort transferability.</w:t>
      </w:r>
    </w:p>
    <w:bookmarkEnd w:id="30"/>
    <w:bookmarkStart w:id="31" w:name="Xa47da470aef9839ece143b4c55458caec0eec5c"/>
    <w:p>
      <w:pPr>
        <w:pStyle w:val="Heading3"/>
      </w:pPr>
      <w:r>
        <w:t xml:space="preserve">4.2 Batch Correction Does Not Recover Generalization, and the Reason Requires Separating an Empirical Result from a Hypothesis</w:t>
      </w:r>
    </w:p>
    <w:p>
      <w:pPr>
        <w:pStyle w:val="FirstParagraph"/>
      </w:pPr>
      <w:r>
        <w:t xml:space="preserve">Two distinct findings must be kept separate here, because conflating them was a limitation of how this section was framed in an earlier version of this manuscript.</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establishes that compositional space is overwhelmingly organized by cohort-of-origin. Separately and equally empirically: batch correction, evaluated under a label-blind design that cannot see any sample’s diagnosis label, left mean LOCO AUC essentially unchanged (within 0.007 AUC of uncorrected for both ComBat-seq and MMUPHin, both models; Section 3.5) — it neither recovered cross-cohort transferability nor substantially degraded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a known, controlled degree of cohort/diagnosis-axis overlap) capable of testing it in this dataset. We therefore present it as a hypothesis consistent with the observed pattern, not as a demonstrated mechanism, and we no longer state that batch correction</w:t>
      </w:r>
      <w:r>
        <w:t xml:space="preserve"> </w:t>
      </w:r>
      <w:r>
        <w:t xml:space="preserve">“cannot”</w:t>
      </w:r>
      <w:r>
        <w:t xml:space="preserve"> </w:t>
      </w:r>
      <w:r>
        <w:t xml:space="preserve">work in general or that this analysis proves cohort and disease axes overlap.</w:t>
      </w:r>
    </w:p>
    <w:p>
      <w:pPr>
        <w:pStyle w:val="BodyText"/>
      </w:pPr>
      <w:r>
        <w:t xml:space="preserve">A previous version of this analysis additionally reported that ComBat-seq’s correction</w:t>
      </w:r>
      <w:r>
        <w:t xml:space="preserve"> </w:t>
      </w:r>
      <w:r>
        <w:t xml:space="preserve">“substantially worsened”</w:t>
      </w:r>
      <w:r>
        <w:t xml:space="preserve"> </w:t>
      </w:r>
      <w:r>
        <w:t xml:space="preserve">LOCO AUC (mean LogReg: 0.640→0.493, with one cohort collapsing to AUC=0.308) and interpreted this as evidence that ComBat-seq’s negative-binomial framework is poorly calibrated for compositional 16S data. That result was obtained under the label-informed design, in which ComBat-seq and MMUPHin were both told every sample’s own true diagnosis label during a single joint fit across all four labeled cohorts (Section 2.7). Repeating the identical comparison under a label-blind design — same cohorts, same raw features, same downstream LOCO classifiers, the only change being that no diagnosis label is supplied to the correction step — reproduces essentially flat LOCO AUC instead of severe, cohort-specific collapse (Section 3.5, Table 4). This indicates that the earlier</w:t>
      </w:r>
      <w:r>
        <w:t xml:space="preserve"> </w:t>
      </w:r>
      <w:r>
        <w:t xml:space="preserve">“ComBat-seq substantially worsens generalization”</w:t>
      </w:r>
      <w:r>
        <w:t xml:space="preserve"> </w:t>
      </w:r>
      <w:r>
        <w:t xml:space="preserve">claim was driven in large part by the label-informed design itself, not by an intrinsic incompatibility between ComBat-seq’s modeling framework and 16S compositional data; we retract that specific mechanistic claim and retain the label-informed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more useful result for the field — is narrower than originally stated: under a fair, label-blind evaluation, two widely used batch-correction methods designed for other data types (RNA-seq counts; general microbiome meta-analysis) did not recover cross-cohort transferability for AD classification in this dataset. This is a demonstration of ineffectiveness at the specific task of restoring cross-cohort generalization, not a demonstration that these methods actively destroy signal, nor an explanation of the underlying compositional-geometry reason such correction is difficult. The field may still need fundamentally different approaches — multi-cohort training with cohort as an explicit stratification variable, domain adaptation methods, or meta-analytic frameworks that explicitly model between-cohort heterogeneity rather than attempting to remove it — but we no longer claim to have shown mechanistically why standard correction fails, only that it does not succeed under the conditions tested here.</w:t>
      </w:r>
    </w:p>
    <w:bookmarkEnd w:id="31"/>
    <w:bookmarkStart w:id="32"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Zhu 2022 showed the largest detectable diagnosis-associated compositional effect (R²=0.094, F=6.01, p=0.0001) of the four labeled cohorts, but an AUC of 0.998 likely still reflects optimistic estimation at this sample size.</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compartment-discrimination signal that would have characterized the original mixed dataset. We recommend that future AD microbiome studies report sample types explicitly and analyze each compartment independently before pooling.</w:t>
      </w:r>
    </w:p>
    <w:bookmarkEnd w:id="32"/>
    <w:bookmarkStart w:id="33" w:name="X56b4b5954060489ec0de7c985a327f8835b6b51"/>
    <w:p>
      <w:pPr>
        <w:pStyle w:val="Heading3"/>
      </w:pPr>
      <w:r>
        <w:t xml:space="preserve">4.4 Stable Directional Flip Taxa: A Conservative, Coefficient-Based Confirmation of Cross-Population Contradictions</w:t>
      </w:r>
    </w:p>
    <w:p>
      <w:pPr>
        <w:pStyle w:val="FirstParagraph"/>
      </w:pPr>
      <w:r>
        <w:t xml:space="preserve">Using a pre-specified coefficient-sign-stability criterion (≥8 of 10 outer folds agreeing in sign; Section 2.8), eight genera showed a stable cross-cohort directional flip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confirms, more conservatively than an earlier analysis of this dataset reported, what the meta-analytic literature has suggested qualitatively: a subset of taxa carry reproducibly opposite model-derived associations with AD status in different populations. We emphasize</w:t>
      </w:r>
      <w:r>
        <w:t xml:space="preserve"> </w:t>
      </w:r>
      <w:r>
        <w:t xml:space="preserve">“conservative”</w:t>
      </w:r>
      <w:r>
        <w:t xml:space="preserve"> </w:t>
      </w:r>
      <w:r>
        <w:t xml:space="preserve">deliberately — an earlier version of this analysis defined a flip as any genus with opposite-signed</w:t>
      </w:r>
      <w:r>
        <w:t xml:space="preserve"> </w:t>
      </w:r>
      <w:r>
        <w:rPr>
          <w:i/>
          <w:iCs/>
        </w:rPr>
        <w:t xml:space="preserve">pooled mean SHAP</w:t>
      </w:r>
      <w:r>
        <w:t xml:space="preserve"> </w:t>
      </w:r>
      <w:r>
        <w:t xml:space="preserve">across two cohorts (a background-relative quantity, not the model’s coefficient; Section 2.8) and reported twelve such genera for logistic regression and, using the same invalid statistic, a further twelve for LightGBM. Requiring the direction to be reproducible across most of a cohort’s own outer folds, and grounding it in the fitted coefficient rather than a background-dependent SHAP quantity, reduces the logistic-regression count to eight; no comparable count is reported for LightGBM at all, because a tree ensemble has no single coefficient-like global direction to test for stability in the first place (Section 2.8). We treat the removal of the LightGBM claim as a correction, not merely a footnote: the original twelve-taxon LightGBM</w:t>
      </w:r>
      <w:r>
        <w:t xml:space="preserve"> </w:t>
      </w:r>
      <w:r>
        <w:t xml:space="preserve">“flip”</w:t>
      </w:r>
      <w:r>
        <w:t xml:space="preserve"> </w:t>
      </w:r>
      <w:r>
        <w:t xml:space="preserve">list should not be relied upon or cited as evidence of directional inconsistency in tree-based models from this dataset.</w:t>
      </w:r>
    </w:p>
    <w:p>
      <w:pPr>
        <w:pStyle w:val="BodyText"/>
      </w:pPr>
      <w:r>
        <w:rPr>
          <w:i/>
          <w:iCs/>
        </w:rPr>
        <w:t xml:space="preserve">Lactobacillus</w:t>
      </w:r>
      <w:r>
        <w:t xml:space="preserve"> </w:t>
      </w:r>
      <w:r>
        <w:t xml:space="preserve">shows the most population-interpretable pattern among the eight stable flips: a stable negative fitted coefficient (higher relative abundance predicts lower AD log-odds) in the Chinese cohorts, and a stable positive coefficient in Kazakhstan. Fermented dairy consumption (kumis, kefir) is culturally prominent in Central Asian populations and would be expected to substantially elevate</w:t>
      </w:r>
      <w:r>
        <w:t xml:space="preserve"> </w:t>
      </w:r>
      <w:r>
        <w:rPr>
          <w:i/>
          <w:iCs/>
        </w:rPr>
        <w:t xml:space="preserve">Lactobacillus</w:t>
      </w:r>
      <w:r>
        <w:t xml:space="preserve"> </w:t>
      </w:r>
      <w:r>
        <w:t xml:space="preserve">abundance in Kazakh controls. This speculative dietary hypothesis, if correct, would imply that the same relative abundance of</w:t>
      </w:r>
      <w:r>
        <w:t xml:space="preserve"> </w:t>
      </w:r>
      <w:r>
        <w:rPr>
          <w:i/>
          <w:iCs/>
        </w:rPr>
        <w:t xml:space="preserve">Lactobacillus</w:t>
      </w:r>
      <w:r>
        <w:t xml:space="preserve"> </w:t>
      </w:r>
      <w:r>
        <w:t xml:space="preserve">carries different disease-predictive information in Chinese versus Kazakh populations — a biological generalization problem not correctable by standard batch correction (Section 4.2).</w:t>
      </w:r>
    </w:p>
    <w:p>
      <w:pPr>
        <w:pStyle w:val="BodyText"/>
      </w:pPr>
      <w:r>
        <w:rPr>
          <w:i/>
          <w:iCs/>
        </w:rPr>
        <w:t xml:space="preserve">Akkermansia</w:t>
      </w:r>
      <w:r>
        <w:t xml:space="preserve"> </w:t>
      </w:r>
      <w:r>
        <w:t xml:space="preserve">illustrates why the coefficient-based, stability-gated definition matters, in the clearest possible way: its pooled mean SHAP value appears to reverse sign between Ling 2020/Zhuang 2018 and Zhu 2022/Kazakhstan (Section 3.6), which an earlier, mean-SHAP-based version of this analysis read as a directional flip — but its fitted logistic-regression coefficient is positive and stable (10 of 10 outer folds) in all four cohorts (Supplementary Table S6), meaning the model never actually learned an inconsistent direction for this genus; the apparent flip was an artifact of the background-relative SHAP statistic, not a property of the fitted model.</w:t>
      </w:r>
      <w:r>
        <w:t xml:space="preserve"> </w:t>
      </w:r>
      <w:r>
        <w:rPr>
          <w:i/>
          <w:iCs/>
        </w:rPr>
        <w:t xml:space="preserve">A. muciniphila</w:t>
      </w:r>
      <w:r>
        <w:t xml:space="preserve"> </w:t>
      </w:r>
      <w:r>
        <w:t xml:space="preserve">abundance is strongly influenced by host diet, particularly fiber and polyphenol intake (Plovier et al., 2017), and geographic-population-specific dietary patterns likely modulate its abundance independently of any AD-specific effect; under the coefficient-based analysis, this genus’s association with AD status is directionally consistent (not flipped) across all four populations studied here.</w:t>
      </w:r>
    </w:p>
    <w:p>
      <w:pPr>
        <w:pStyle w:val="BodyText"/>
      </w:pPr>
      <w:r>
        <w:t xml:space="preserve">The critical implication of the eight confirmed stable flips is that they may reflect biological population heterogeneity, technical study effects, or interactions between the two; the present design cannot disentangle these sources. Standard batch correction methods, designed to remove technical batch effects, would not be expected to resolve directional disagreements to the extent that these differences are driven by population-level biological differences rather than technical artifacts alone — a point that is, if anything, reinforced by Section 4.2’s finding that label-blind batch correction left cross-cohort AUC essentially unchanged rather than recovering it.</w:t>
      </w:r>
    </w:p>
    <w:bookmarkEnd w:id="33"/>
    <w:bookmarkStart w:id="34"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cross-population clinical application in their current form. A classifier trained on a Chinese cohort and applied to a Kazakh patient population would perform at or below chance for logistic regression, and only modestly above chance even for LightGBM. These performance levels are clinically inadequate for any diagnostic application.</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4"/>
    <w:bookmarkStart w:id="35"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documented in Section 2.1 and Supplementary Note S1 identified five publicly available cohorts meeting inclusion criteria. The cohort set is not exhaustive of all existing AD microbiome studies, and the inclusion of additional cohorts from non-Asian populations would strengthen the conclusions. The comparability of diagnostic criteria across cohorts (clinical AD diagnosis vs. amyloid-PET positivity) adds biological heterogeneity that cannot be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The public archive contains 180 samples representing 90 participants, a subset of the 302 participants analyzed in the published study (PRJNA489760). The deposited subset may not be a random sample of the full study population, potentially introducing selection bias of unknown direction.</w:t>
      </w:r>
    </w:p>
    <w:p>
      <w:pPr>
        <w:pStyle w:val="BodyText"/>
      </w:pPr>
      <w:r>
        <w:rPr>
          <w:b/>
          <w:bCs/>
        </w:rPr>
        <w:t xml:space="preserve">Global genus-selection feature universe:</w:t>
      </w:r>
      <w:r>
        <w:t xml:space="preserve"> </w:t>
      </w:r>
      <w:r>
        <w:t xml:space="preserve">The 396-genus feature set (Section 2.2) was selected using ≥20% prevalence pooled across all five cohorts simultaneously, meaning the eventual held-out cohort in every LOCO/pairwise experiment contributed prevalence information to the feature universe. A dedicated training-only sensitivity analysis (Section 2.5.1, Section 3.3) re-derived genus selection independently within every split and found LOCO AUC changed by at most 0.066 — the qualitative generalization-failure conclusion is not an artifact of this design — but the global selection remains a methodological limitation in principle, and we recommend training-only feature selection as the default design for future cross-cohort microbiome classifier studies rather than a post hoc sensitivity check.</w:t>
      </w:r>
    </w:p>
    <w:p>
      <w:pPr>
        <w:pStyle w:val="BodyText"/>
      </w:pPr>
      <w:r>
        <w:rPr>
          <w:b/>
          <w:bCs/>
        </w:rPr>
        <w:t xml:space="preserve">Batch correction: two designs, both transductive, neither prospective.</w:t>
      </w:r>
      <w:r>
        <w:t xml:space="preserve"> </w:t>
      </w:r>
      <w:r>
        <w:t xml:space="preserve">As detailed in Section 2.7, both the label-blind (primary) and label-informed (exploratory) batch-correction designs are transductive — both estimate batch-effect parameters using the eventual held-out cohort’s own feature values and cohort membership — and neither should be extrapolated to prospective deployment. The label-informed design additionally uses every sample’s own true diagnosis label during correction and is retained only as an oracle-style sensitivity analysis; its results (including the previously reported severe Kazakhstan collapse under label-informed ComBat-seq) should not be read as evidence about batch correction’s effect on biological signal in general, since they are substantially confounded by the label-informed design itself (Section 4.2).</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pPr>
        <w:pStyle w:val="BodyText"/>
      </w:pPr>
      <w:r>
        <w:rPr>
          <w:b/>
          <w:bCs/>
        </w:rPr>
        <w:t xml:space="preserve">SHAP and coefficient-direction interpretability limitations:</w:t>
      </w:r>
      <w:r>
        <w:t xml:space="preserve"> </w:t>
      </w:r>
      <w:r>
        <w:t xml:space="preserve">For logistic regression, direction is now defined from the fitted model’s coefficient sign (Section 2.8), not from mean signed SHAP; a stable coefficient sign is a statement about what the fitted model consistently learned across cross-validation folds, conditional on regularization (L2, not elastic-net — see below) and collinearity among CLR features, and is not a direct estimate of biological association, its statistical significance, or causal direction. The eight stable directional-flip taxa and their dietary hypotheses should be treated as empirical patterns worthy of targeted, covariate-adjusted follow-up, not as established mechanistic findings. For LightGBM, no coefficient-like global direction exists, and no directional-flip claim of any kind is made for it in this paper; readers of an earlier draft of this work should disregard any previously reported LightGBM directional-flip count. All LOCO SHAP values (either model) are reported as feature-importance rankings only, without any assigned cross-cohort direction, because the LOCO SHAP background (training cohorts) and evaluation set (held-out cohort) come from systematically different populations, confounding sign with raw cross-cohort compositional differences.</w:t>
      </w:r>
    </w:p>
    <w:p>
      <w:pPr>
        <w:pStyle w:val="BodyText"/>
      </w:pPr>
      <w:r>
        <w:rPr>
          <w:b/>
          <w:bCs/>
        </w:rPr>
        <w:t xml:space="preserve">Model regularization mislabeled as</w:t>
      </w:r>
      <w:r>
        <w:rPr>
          <w:b/>
          <w:bCs/>
        </w:rPr>
        <w:t xml:space="preserve"> </w:t>
      </w:r>
      <w:r>
        <w:rPr>
          <w:b/>
          <w:bCs/>
        </w:rPr>
        <w:t xml:space="preserve">“elastic-net”</w:t>
      </w:r>
      <w:r>
        <w:rPr>
          <w:b/>
          <w:bCs/>
        </w:rPr>
        <w:t xml:space="preserve"> </w:t>
      </w:r>
      <w:r>
        <w:rPr>
          <w:b/>
          <w:bCs/>
        </w:rPr>
        <w:t xml:space="preserve">in earlier drafts:</w:t>
      </w:r>
      <w:r>
        <w:t xml:space="preserve"> </w:t>
      </w:r>
      <w:r>
        <w:t xml:space="preserve">The logistic-regression models throughout this paper (</w:t>
      </w:r>
      <w:r>
        <w:rPr>
          <w:rStyle w:val="VerbatimChar"/>
        </w:rPr>
        <w:t xml:space="preserve">solver="saga"</w:t>
      </w:r>
      <w:r>
        <w:t xml:space="preserve">) were never configured with</w:t>
      </w:r>
      <w:r>
        <w:t xml:space="preserve"> </w:t>
      </w:r>
      <w:r>
        <w:rPr>
          <w:rStyle w:val="VerbatimChar"/>
        </w:rPr>
        <w:t xml:space="preserve">penalty="elasticnet"</w:t>
      </w:r>
      <w:r>
        <w:t xml:space="preserve">, and are therefore L2 (ridge)-regularized, not elastic-net, despite being described as</w:t>
      </w:r>
      <w:r>
        <w:t xml:space="preserve"> </w:t>
      </w:r>
      <w:r>
        <w:t xml:space="preserve">“elastic-net”</w:t>
      </w:r>
      <w:r>
        <w:t xml:space="preserve"> </w:t>
      </w:r>
      <w:r>
        <w:t xml:space="preserve">in earlier drafts of this manuscript and despite an</w:t>
      </w:r>
      <w:r>
        <w:t xml:space="preserve"> </w:t>
      </w:r>
      <w:r>
        <w:rPr>
          <w:rStyle w:val="VerbatimChar"/>
        </w:rPr>
        <w:t xml:space="preserve">l1_ratio</w:t>
      </w:r>
      <w:r>
        <w:t xml:space="preserve"> </w:t>
      </w:r>
      <w:r>
        <w:t xml:space="preserve">parameter being present (and silently ignored by scikit-learn) in the estimator configuration. This is a terminology correction, not a re-fit: every AUC, SHAP, and coefficient value reported in this paper was always computed from the L2-regularized model actually fit by the code, and none of those numbers change as a result of this correction. One consequence is that essentially no fitted coefficient is exactly zero in the coefficient-stability analysis (Section 2.8), since L2 regularization does not perform the sparse variable selection that true elastic-net or L1 penalties would.</w:t>
      </w:r>
    </w:p>
    <w:p>
      <w:r>
        <w:pict>
          <v:rect style="width:0;height:1.5pt" o:hralign="center" o:hrstd="t" o:hr="t"/>
        </w:pict>
      </w:r>
    </w:p>
    <w:bookmarkEnd w:id="35"/>
    <w:bookmarkEnd w:id="36"/>
    <w:bookmarkStart w:id="37"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values of 0.633–0.998, consistent with published reports; however, LOCO cross-cohort AUC values fell to 0.504–0.813, a mean drop of 0.176 AUC points for logistic regression. This generalization-failure pattern was robust to a strict training-only re-derivation of the feature-selection step (LOCO AUC changed by at most 0.066 when held-out-cohort information was fully excluded from genus selection). Batch correction was evaluated under two designs: a label-blind design (no diagnosis information used) left mean LOCO AUC essentially unchanged relative to uncorrected (within 0.007 AUC for both methods and models), and did not recover cross-cohort transferability; an exploratory label-informed design (using each sample’s own true diagnosis label, which cannot estimate prospective performance) produced large, cohort-specific degradation that is attributable in substantial part to the label-informed design itself rather than to an intrinsic property of the correction algorithms. PERMANOVA revealed that cohort identity explained approximately 12 times more compositional variance than disease status (marginal R²: 0.172 vs. 0.014) — an empirical measure of relative heterogeneity that provides context for, but does not by itself explain, the batch-correction results — and a cohort identity classifier achieved macro-AUC=0.9917, confirming that cohort structure dominates the feature space. Sensitivity analyses confirmed that generalization failure persists across all three prespecified cohort-exclusion configurations. Out-of-fold SHAP analysis identified near-zero but statistically detectable taxon overlap between cohort-specific predictive signatures (mean Jaccard 0.135 for logistic regression and 0.058 for LightGBM, both significant against a null matched to the observed statistic’s construction at the primary N=20 threshold, though the LightGBM result was not significant at N=10) and, using a pre-specified cross-fold coefficient-sign-stability criterion, eight stable directional-flip taxa for logistic regression — genera whose fitted-model association with AD versus cognitive normality reliably reverses sign across cohorts; no comparable directional-flip claim is made for LightGBM, which has no single coefficient-like global direction. These findings demonstrate that the gut microbiome-based AD classifier literature has a fundamental generalization problem that the two batch-correction methods evaluated here, tested under a fair label-blind design, did not recover. Multi-cohort harmonized prospective studies and mandatory cross-cohort validation are needed before microbiome-based AD biomarkers can achieve clinical utility.</w:t>
      </w:r>
    </w:p>
    <w:p>
      <w:r>
        <w:pict>
          <v:rect style="width:0;height:1.5pt" o:hralign="center" o:hrstd="t" o:hr="t"/>
        </w:pict>
      </w:r>
    </w:p>
    <w:bookmarkEnd w:id="37"/>
    <w:bookmarkStart w:id="38"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38"/>
    <w:bookmarkStart w:id="39"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39"/>
    <w:bookmarkStart w:id="40"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0"/>
    <w:bookmarkStart w:id="41"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1"/>
    <w:bookmarkStart w:id="42"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2"/>
    <w:bookmarkStart w:id="43"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Lee, D.Y., KBASE Research Group.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Baibulatova, A., Kushugulova, A.R., Askarova, S.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Franzosa, E., Vlamakis, H., Xavier, R., Huttenhower, C.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Ma, L., Wu, T., Yang, S., Du, X., O’Brien, T.J., Zhang, J., Zhang, 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Zheng, L., Liang, X., Luo, J., Ding, D., Zhao, Q.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2026-09-12T22:43:11Z</dcterms:created>
  <dcterms:modified xsi:type="dcterms:W3CDTF">2026-09-12T22:43:11Z</dcterms:modified>
</cp:coreProperties>
</file>

<file path=docProps/custom.xml><?xml version="1.0" encoding="utf-8"?>
<Properties xmlns="http://schemas.openxmlformats.org/officeDocument/2006/custom-properties" xmlns:vt="http://schemas.openxmlformats.org/officeDocument/2006/docPropsVTypes"/>
</file>