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6480aeedf7fa610e3a05b790e7de870ec22289"/>
    <w:p>
      <w:pPr>
        <w:pStyle w:val="Heading1"/>
      </w:pPr>
      <w:r>
        <w:t xml:space="preserve">Cross-Cohort Generalization Limitations in Gut Microbiome-Based Alzheimer’s Disease Classifiers: Evidence from Four Supervised Cohorts with Batch Correction Analysis</w:t>
      </w:r>
    </w:p>
    <w:p>
      <w:pPr>
        <w:pStyle w:val="FirstParagraph"/>
      </w:pPr>
      <w:r>
        <w:rPr>
          <w:b/>
          <w:bCs/>
        </w:rPr>
        <w:t xml:space="preserve">Running title:</w:t>
      </w:r>
      <w:r>
        <w:t xml:space="preserve"> </w:t>
      </w:r>
      <w:r>
        <w:t xml:space="preserve">Microbiome AD classifier generalization limits</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 United States</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using strict training-only genus selection as the primary classifier-performance pipeline (Section 2.5.1), within-cohort AUC-ROC ranged from 0.611 to 0.996. The near-perfect Zhu 2022 result was stable across 50 repeated nested-CV partitions and exceeded a 1,000-permutation label null (p=0.000999), though a technical-metadata confound cannot be excluded (Section 4.3). In LOCO evaluation, AUC ranged from 0.506 to 0.812 (mean decreases of 0.170 logistic regression, 0.133 LightGBM); paired bootstrap intervals excluded zero for four of eight cohort-model differences. This pipeline agreed closely with a fixed common-universe reference retained for secondary analyses (max |Δ|=0.066), though one pairwise-transfer cell changed materially (Kazakhstan→Ling 2020, LightGBM: 0.58→0.44), reported without smoothing. In the four-cohort marginal PERMANOVA model, cohort-associated compositional variation exceeded diagnosis-associated variation (R²=0.172 vs. 0.014), decreasing to 0.059 vs. 0.023 when restricted to three more technically comparable Chinese paired-end MiSeq cohorts;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null, LightGBM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most common cause of dementia, accounting for an estimated 60–70% of cases; approximately 57 million people worldwide were living with dementia in 2021 (World Health Organization, 2026).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because it can represent a preclinical or prodromal stage of AD, though not all MCI progresses to AD, and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the two evaluated batch-adjustment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four with per-sample diagnosis labels supporting supervised classification, and a fifth (Kim/KBASE 2022) contributing only to unsupervised compositional analyses (Section 2.1). We conducted a comprehensive cross-cohort generalization evaluation across the four labeled cohorts.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5"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systematically searched NCBI SRA and ENA for publicly available 16S rRNA amplicon-sequencing studies of gut microbiota in AD, MCI, or cognitively normal populations deposited before January 2025 (search terms and full inclusion/exclusion record: Supplementary Note S1). Inclusion required per-sample diagnosis labels, raw or quality-filtered reads in a public archive, and ≥40 participants per cohort; shotgun metagenomic studies were excluded to avoid mixing amplicon and whole-genome platforms, and cohorts were excluded for IRB-restricted labels, unreleased data, or a non-fecal tissue compartment.</w:t>
      </w:r>
    </w:p>
    <w:p>
      <w:pPr>
        <w:pStyle w:val="BodyText"/>
      </w:pPr>
      <w:r>
        <w:t xml:space="preserve">Four cohorts met all criteria for supervised analysis. A fifth, Kim/KBASE 2022 (Jung et al., 2022; PRJEB50447; 78 participants, 18 preclinical AD by amyloid-PET, 60 CN), lacked publicly available per-sample diagnosis labels and was retained only for PERMANOVA (Phase 4), excluded from all supervised classifier training and evaluation. The ALBION 2025 Greek cohort (PRJNA1297934) was identified but excluded because data had not yet been publicly released at the time of analysis.</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ascertainment differed across cohorts (Zhuang 2018/Ling 2020/Zhu 2022: clinical AD diagnosis; Kazakhstan: NINCDS-ADRDA criteria; Kim/KBASE 2022: amyloid-PET positivity); Section 4.6 discusses the implications of this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(Section 2.2, Limitations).</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Two genus-selection schemes are used in this paper, and every downstream result states which one it uses (Section 2.5.1 gives the full rationale). The</w:t>
      </w:r>
      <w:r>
        <w:t xml:space="preserve"> </w:t>
      </w:r>
      <w:r>
        <w:rPr>
          <w:b/>
          <w:bCs/>
        </w:rPr>
        <w:t xml:space="preserve">primary scheme</w:t>
      </w:r>
      <w:r>
        <w:t xml:space="preserve">, used for every headline classifier-performance estimate (within-cohort, LOCO, pairwise transfer; Tables 2–3, Figures 2–3), re-derives the ≥20%-prevalence genus set independently within each train/test split, from training-side samples only, so no held-out cohort ever contributes prevalence information to its own evaluation. A</w:t>
      </w:r>
      <w:r>
        <w:t xml:space="preserve"> </w:t>
      </w:r>
      <w:r>
        <w:rPr>
          <w:b/>
          <w:bCs/>
        </w:rPr>
        <w:t xml:space="preserve">fixed common-universe scheme</w:t>
      </w:r>
      <w:r>
        <w:t xml:space="preserve"> </w:t>
      </w:r>
      <w:r>
        <w:t xml:space="preserve">— ≥20% prevalence (nonzero count in ≥20% of samples) in at least one of the five cohorts, computed once globally and pooling all five cohorts’ raw prevalence, producing a fixed 396-genus feature set — is retained only for the secondary descriptive/harmonization analyses that require one common feature space across cohorts simultaneously (batch correction, SHAP, PERMANOVA; Section 2.5.1). Genera absent in a given sample received a count of zero under either scheme.</w:t>
      </w:r>
    </w:p>
    <w:p>
      <w:pPr>
        <w:pStyle w:val="BodyText"/>
      </w:pPr>
      <w:r>
        <w:rPr>
          <w:b/>
          <w:bCs/>
        </w:rPr>
        <w:t xml:space="preserve">Leakage considerations.</w:t>
      </w:r>
      <w:r>
        <w:t xml:space="preserve"> </w:t>
      </w:r>
      <w:r>
        <w:t xml:space="preserve">DADA2 denoising (this section) is performed once per cohort using that cohort’s full read set, with no diagnosis labels or cross-cohort pooling, though not fully fold-isolated at the denoising stage for that reason. Zero-replacement/CLR (Section 2.3) are per-sample deterministic functions. Model tuning and fitting (Sections 2.4–2.5) use training-side samples only. The primary training-only genus-selection scheme closes the remaining pathway (feature selection informed by the test cohort’s own prevalence); the common-universe scheme does not, which is why it is not used as classifier-generalization evidence (Section 4.6).</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 this model-fitting methodology is shared by both feature-selection schemes compared in Section 2.5.1.</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for each of exactly 1,000 permutations, AD/CN labels were shuffled across the 60 participants (preserving 30/30 class balance) and the classifier was refit on the permuted labels within every outer fold. Fold-specific genus selection, zero replacement, and CLR construction depend only on fold membership, not labels, so these were precomputed once and reused across permutations — an implementation optimization that does not alter the null, since the classifier itself is always refit on the permuted labels.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the minimum attainable p at this permutation count is</w:t>
      </w:r>
      <w:r>
        <w:t xml:space="preserve"> </w:t>
      </w:r>
      <m:oMath>
        <m:r>
          <m:t>1</m:t>
        </m:r>
        <m:r>
          <m:rPr>
            <m:sty m:val="p"/>
          </m:rPr>
          <m:t>/</m:t>
        </m:r>
        <m:r>
          <m:t>1001</m:t>
        </m:r>
        <m:r>
          <m:rPr>
            <m:sty m:val="p"/>
          </m:rPr>
          <m:t>≈</m:t>
        </m:r>
        <m:r>
          <m:t>0.000999</m:t>
        </m:r>
      </m:oMath>
      <w:r>
        <w:t xml:space="preserve">, not interpreted as more precise than that floor.</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(hyperparameters selected via 5-fold inner CV on the training pool), then evaluated on the held-out cohort, producing four LOCO AUC estimates per model. LOCO AUC drop = within-cohort minus LOCO AUC, formally evaluated by the paired bootstrap of Section 2.5.2. Uncorrected LOCO 95% CIs (Table 3, Figure 3A) use that same diagnosis-stratified, participant-level bootstrap (10,000 replicates); batch-corrected LOCO CIs (Table 4, Figure 5, Supplementary Figure S4) use the non-stratified 1,000-resample bootstrap below.</w:t>
      </w:r>
    </w:p>
    <w:p>
      <w:pPr>
        <w:pStyle w:val="BodyText"/>
      </w:pPr>
      <w:r>
        <w:rPr>
          <w:b/>
          <w:bCs/>
        </w:rPr>
        <w:t xml:space="preserve">Pairwise transfer:</w:t>
      </w:r>
      <w:r>
        <w:t xml:space="preserve"> </w:t>
      </w:r>
      <w:r>
        <w:t xml:space="preserve">A classifier was trained on one cohort and tested on each other individually, yielding a 4×4 matrix (diagonal excluded) per model — more stringent than LOCO, isolating directional failures. Pairwise 95% CIs (Supplementary Table S1) use the non-stratified 1,000-resample bootstrap on test-set predictions.</w:t>
      </w:r>
    </w:p>
    <w:p>
      <w:pPr>
        <w:pStyle w:val="BodyText"/>
      </w:pPr>
      <w:r>
        <w:rPr>
          <w:b/>
          <w:bCs/>
        </w:rPr>
        <w:t xml:space="preserve">Sensitivity analyses:</w:t>
      </w:r>
      <w:r>
        <w:t xml:space="preserve"> </w:t>
      </w:r>
      <w:r>
        <w:t xml:space="preserve">To assess whether generalization failure was attributable to any single cohort, we repeated LOCO excluding (A) Kazakhstan, (B) Zhuang 2018, and (C) Ling 2020 in turn (Section 3.3; Supplementary Figure S3).</w:t>
      </w:r>
    </w:p>
    <w:bookmarkStart w:id="16" w:name="Xc27ca0dbbdaa1fe848998a85fde596aee9d4d0f"/>
    <w:p>
      <w:pPr>
        <w:pStyle w:val="Heading4"/>
      </w:pPr>
      <w:r>
        <w:t xml:space="preserve">2.5.1 Primary Feature Selection: Strict Training-Only, versus the Common-Universe Schema Retained for Secondary Analyses</w:t>
      </w:r>
    </w:p>
    <w:p>
      <w:pPr>
        <w:pStyle w:val="FirstParagraph"/>
      </w:pPr>
      <w:r>
        <w:t xml:space="preserve">The global 396-genus set (Section 2.2) gave every LOCO/pairwise experiment a feature universe partly informed by the held-out cohort’s own prevalence. To close this pathway,</w:t>
      </w:r>
      <w:r>
        <w:t xml:space="preserve"> </w:t>
      </w:r>
      <w:r>
        <w:rPr>
          <w:b/>
          <w:bCs/>
        </w:rPr>
        <w:t xml:space="preserve">every headline within-cohort, LOCO, and pairwise-transfer AUC in this paper (Table 2, Table 3, Figure 2, Figure 3A–C) instead uses genus selection re-derived independently inside every split, from that split’s training-side samples only</w:t>
      </w:r>
      <w:r>
        <w:t xml:space="preserve"> </w:t>
      </w:r>
      <w:r>
        <w:t xml:space="preserve">— this strict training-only scheme is the primary classifier-performance pipeline. For each outer fold/held-out cohort/train cohort, the ≥20%-prevalence filter was recomputed from training-side samples, and test/held-out samples projected onto the training-derived genus set (absent genera zero-filled) before zero-replacement and CLR. Model families, hyperparameter grids, random state, fold counts, and bootstrap procedure are otherwise identical to Sections 2.4–2.5.2. Retained genus count varies by split (e.g., 150 vs. 396 when Kazakhstan is excluded during its own LOCO hold-out); no headline classifier-generalization claim depends on held-out-cohort prevalence information.</w:t>
      </w:r>
    </w:p>
    <w:p>
      <w:pPr>
        <w:pStyle w:val="BodyText"/>
      </w:pPr>
      <w:r>
        <w:t xml:space="preserve">The fixed common 396-genus universe is retained only for the secondary descriptive/harmonization analyses that require one common feature space across all cohorts simultaneously — batch correction (Section 2.7), SHAP/coefficient-stability/Jaccard-overlap (Section 2.8), and PERMANOVA (Section 2.6) — labeled as such at each occurrence and not used as classifier-generalization evidence. Both pipelines were computed side by side to confirm the choice of primary pipeline does not materially change conclusions (Section 3.3; Supplementary Tables S1, S4).</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comparison. To formally evaluate the within-cohort-versus-LOCO AUC difference for each of the eight cohort–model combinations, we performed a paired, diagnosis-stratified, participant-level bootstrap: each of 10,000 replicates resampled participants with replacement (separately within AD and CN) and used that same resampled index set for both AUC values, so the resulting</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distribution is a genuine paired comparison. We report the observed delta, bootstrap mean delta, 95% percentile CI, and proportion of replicates with</w:t>
      </w:r>
      <w:r>
        <w:t xml:space="preserve"> </w:t>
      </w:r>
      <m:oMath>
        <m:r>
          <m:rPr>
            <m:sty m:val="p"/>
          </m:rPr>
          <m:t>Δ</m:t>
        </m:r>
        <m:r>
          <m:rPr>
            <m:sty m:val="p"/>
          </m:rPr>
          <m:t>≤</m:t>
        </m:r>
        <m:r>
          <m:t>0</m:t>
        </m:r>
      </m:oMath>
      <w:r>
        <w:t xml:space="preserve">. This same procedure regenerated the within-cohort and uncorrected-LOCO CIs in Tables 2–3; pairwise-transfer CIs (Table S1) and batch-corrected LOCO CIs (Table 4, Figure 5, Figure S4) retain the original non-stratified 1,000-resample bootstrap of Section 2.5 — each table/figure states which procedure its CIs use.</w:t>
      </w:r>
    </w:p>
    <w:bookmarkEnd w:id="17"/>
    <w:bookmarkEnd w:id="18"/>
    <w:bookmarkStart w:id="19" w:name="permanova-variance-decomposition"/>
    <w:p>
      <w:pPr>
        <w:pStyle w:val="Heading3"/>
      </w:pPr>
      <w:r>
        <w:t xml:space="preserve">2.6 PERMANOVA Variance Decomposition</w:t>
      </w:r>
    </w:p>
    <w:p>
      <w:pPr>
        <w:pStyle w:val="FirstParagraph"/>
      </w:pPr>
      <w:r>
        <w:t xml:space="preserve">This section and Sections 2.7–2.8 use the fixed common 396-genus universe (Section 2.2), not the training-only primary pipeline, because each requires one common feature space across cohorts (Section 2.5.1). We conducted PERMANOVA using adonis2 (R package vegan v2.6; Oksanen et al., 2024) on</w:t>
      </w:r>
      <w:r>
        <w:t xml:space="preserve"> </w:t>
      </w:r>
      <w:r>
        <w:rPr>
          <w:b/>
          <w:bCs/>
        </w:rPr>
        <w:t xml:space="preserve">Aitchison distance</w:t>
      </w:r>
      <w:r>
        <w:t xml:space="preserve"> </w:t>
      </w:r>
      <w:r>
        <w:t xml:space="preserve">(Euclidean distance on CLR values, compositionally appropriate) and</w:t>
      </w:r>
      <w:r>
        <w:t xml:space="preserve"> </w:t>
      </w:r>
      <w:r>
        <w:rPr>
          <w:b/>
          <w:bCs/>
        </w:rPr>
        <w:t xml:space="preserve">Bray-Curtis dissimilarity</w:t>
      </w:r>
      <w:r>
        <w:t xml:space="preserve"> </w:t>
      </w:r>
      <w:r>
        <w:t xml:space="preserve">(relative abundances, for comparability with the broader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t xml:space="preserve">“Cohort”</w:t>
      </w:r>
      <w:r>
        <w:t xml:space="preserve"> </w:t>
      </w:r>
      <w:r>
        <w:t xml:space="preserve">is a composite study-of-origin variable that PERMANOVA/betadisper cannot decompose into technical and biological sources (Section 4.6). To test how sensitive the cohort-versus-diagnosis disparity (Section 3.4) is to this, we repeated the same marginal two-variable PERMANOVA/betadisper specification (9,999 permutations, with pairwise post-hoc comparisons) on a subset of three more technically comparable cohorts — Zhuang 2018, Ling 2020, Zhu 2022, all Chinese paired-end MiSeq 2×300bp V3–V4 — restricted to binary AD/CN samples (n=317).</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Both are</w:t>
      </w:r>
      <w:r>
        <w:t xml:space="preserve"> </w:t>
      </w:r>
      <w:r>
        <w:rPr>
          <w:b/>
          <w:bCs/>
        </w:rPr>
        <w:t xml:space="preserve">transductive</w:t>
      </w:r>
      <w:r>
        <w:t xml:space="preserve">: both estimate batch-effect parameters jointly across every corrected sample, including the eventual held-out test cohort’s own feature values and cohort membership in the downstream LOCO evaluation, and neither defines a transformation applicable to a genuinely new patient without refitting.</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subsequent additions below) used scikit-learn v1.5, lightgbm v4, shap v0.51, pandas v2.x, and numpy v1.x (Python 3.11), and vegan v2.6, sva v3.50 (ComBat-seq), and MMUPHin v1.15 in R v4.3. Subsequent robustness and sensitivity analyses (Sections 2.4.1, 2.5.1, 2.5.2, 2.6–2.8 sensitivity/robustness components) were executed in Python 3.11.15 (scikit-learn 1.5.2, lightgbm 4.6.0, shap 0.51.0, matching the original package versions) and R 4.5.1 (vegan 2.7.1, sva 3.58.0, MMUPHin 1.24.0, newer than the initial R environment, reflecting routine system updates); this mixed provenance is disclosed rather than described as uniform. Figures were generated with matplotlib v3.8 or v3.11 at 300 DPI.</w:t>
      </w:r>
    </w:p>
    <w:bookmarkEnd w:id="23"/>
    <w:bookmarkStart w:id="24" w:name="ethics-statement"/>
    <w:p>
      <w:pPr>
        <w:pStyle w:val="Heading3"/>
      </w:pPr>
      <w:r>
        <w:t xml:space="preserve">2.11 Ethics Statement</w:t>
      </w:r>
    </w:p>
    <w:p>
      <w:pPr>
        <w:pStyle w:val="FirstParagraph"/>
      </w:pPr>
      <w:r>
        <w:t xml:space="preserve">This study is a secondary analysis of publicly available, de-identified sequencing data and involved no direct participant recruitment, intervention, or access to identifiable information. Ethical approval and informed consent for primary data collection were the responsibility of the originating studies as reported in their publications; no new participants were recruited for the present analysis.</w:t>
      </w:r>
    </w:p>
    <w:p>
      <w:r>
        <w:pict>
          <v:rect style="width:0;height:1.5pt" o:hralign="center" o:hrstd="t" o:hr="t"/>
        </w:pict>
      </w:r>
    </w:p>
    <w:bookmarkEnd w:id="24"/>
    <w:bookmarkEnd w:id="25"/>
    <w:bookmarkStart w:id="32" w:name="results"/>
    <w:p>
      <w:pPr>
        <w:pStyle w:val="Heading2"/>
      </w:pPr>
      <w:r>
        <w:t xml:space="preserve">3. Results</w:t>
      </w:r>
    </w:p>
    <w:bookmarkStart w:id="26"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6"/>
    <w:bookmarkStart w:id="27" w:name="within-cohort-classification-performance"/>
    <w:p>
      <w:pPr>
        <w:pStyle w:val="Heading3"/>
      </w:pPr>
      <w:r>
        <w:t xml:space="preserve">3.2 Within-Cohort Classification Performance</w:t>
      </w:r>
    </w:p>
    <w:p>
      <w:pPr>
        <w:pStyle w:val="FirstParagraph"/>
      </w:pPr>
      <w:r>
        <w:t xml:space="preserve">Within-cohort nested cross-validation, under strict training-only genus selection (primary analysis; Section 2.5.1), yielded AUC-ROC values broadly consistent with the original publications (Figure 2; Table 2). Logistic regression achieved AUC-ROC of 0.665 [95% CI: 0.55–0.78] for Zhuang 2018, 0.890 [0.84–0.93] for Ling 2020, 0.996 [0.98–1.00] for Zhu 2022, and 0.737 [0.62–0.84] for Kazakhstan. LightGBM yielded similar values: 0.673 [0.56–0.78], 0.842 [0.78–0.90], 0.970 [0.93–1.00], and 0.611 [0.49–0.73] respectively. Matched common-universe values (Supplementary Table S4) agree closely (|Δ|≤0.083 for every pair).</w:t>
      </w:r>
    </w:p>
    <w:p>
      <w:pPr>
        <w:pStyle w:val="BodyText"/>
      </w:pPr>
      <w:r>
        <w:t xml:space="preserve">The near-perfect within-cohort AUC for Zhu 2022 fecal samples (logistic regression 0.996; LightGBM 0.970;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A technical-metadata assessment of this cohort’s near-perfect AUC is reported in Section 4.3; the high AUC should be interpreted cautiously for that reason in addition to sample size, and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primary values in Table 2 (0.996 and 0.970)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r>
        <w:t xml:space="preserve"> </w:t>
      </w:r>
      <w:r>
        <w:rPr>
          <w:b/>
          <w:bCs/>
        </w:rPr>
        <w:t xml:space="preserve">Neither check distinguishes biological signal from a reproducible technical confound</w:t>
      </w:r>
      <w:r>
        <w:t xml:space="preserve">, which would pass both equally well (Section 4.3).</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(0.665–0.673) were modest, consistent with the small sample size and weak within-cohort diagnosis effect observed in PERMANOVA (R²=0.017, p=0.066; Section 3.4).</w:t>
      </w:r>
    </w:p>
    <w:bookmarkEnd w:id="27"/>
    <w:bookmarkStart w:id="28" w:name="cross-cohort-generalization-failure"/>
    <w:p>
      <w:pPr>
        <w:pStyle w:val="Heading3"/>
      </w:pPr>
      <w:r>
        <w:t xml:space="preserve">3.3 Cross-Cohort Generalization Failure</w:t>
      </w:r>
    </w:p>
    <w:p>
      <w:pPr>
        <w:pStyle w:val="FirstParagraph"/>
      </w:pPr>
      <w:r>
        <w:t xml:space="preserve">LOCO cross-cohort AUC-ROC values, under strict training-only genus selection (primary analysis; Section 2.5.1), revealed substantial and variable degradation across all cohorts and model types (Figure 3A; Table 3). Mean LOCO AUC across the four cohorts was 0.652 for logistic regression and 0.641 for LightGBM — mean drops of 0.170 and 0.133 respectively from within-cohort performance. One of eight model–cohort combinations produced LOCO AUC near chance: Zhuang 2018 with logistic regression (AUC=0.506 [0.38–0.63]); Kazakhstan LightGBM (AUC=0.525 [0.40–0.65]) was modestly, but not substantially, above chance.</w:t>
      </w:r>
    </w:p>
    <w:p>
      <w:pPr>
        <w:pStyle w:val="BodyText"/>
      </w:pPr>
      <w:r>
        <w:t xml:space="preserve">Under this primary pipeline, the largest absolute AUC drop for both models was Ling 2020 (logistic regression 0.890 → 0.679, Δ=0.210; LightGBM 0.842 → 0.653, Δ=0.188). Zhu 2022 showed the next-largest drops for both models (logistic regression 0.996 → 0.812, Δ=0.183; LightGBM 0.970 → 0.788, Δ=0.182). These results are consistent with LOCO models relying on predictive patterns learned from training cohorts that do not transfer fully to the held-out cohort, where cohort-specific compositional structure may contribute to within-cohort performance. Kazakhstan and Zhuang 2018 showed smaller, though still substantial, drops (Table 3).</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applied to these training-only out-of-fold predictions, formally compared the within-cohort and LOCO AUC difference for each of the eight cohort–model pairs, rather than relying on non-overlap of independently computed CIs, which is not a formal test of a nonzero difference.</w:t>
      </w:r>
      <w:r>
        <w:t xml:space="preserve"> </w:t>
      </w:r>
      <w:r>
        <w:rPr>
          <w:b/>
          <w:bCs/>
        </w:rPr>
        <w:t xml:space="preserve">Four of eight pairs</w:t>
      </w:r>
      <w:r>
        <w:t xml:space="preserve"> </w:t>
      </w:r>
      <w:r>
        <w:t xml:space="preserve">showed a 95% bootstrap CI on the delta excluding zero: Ling 2020 (logistic regression Δ=0.210, 95% CI [0.12, 0.30]; LightGBM Δ=0.188, 95% CI [0.09, 0.28]) and Zhu 2022 (logistic regression Δ=0.183, 95% CI [0.07, 0.31]; LightGBM Δ=0.182, 95% CI [0.07, 0.31]). The remaining four — Zhuang 2018 logistic regression (Δ=0.159, 95% CI [−0.02, 0.33], proportion Δ≤0: 0.038), Zhuang 2018 LightGBM (Δ=0.077, 95% CI [−0.10, 0.25], proportion Δ≤0: 0.191), Kazakhstan logistic regression (Δ=0.128, 95% CI [−0.03, 0.28], proportion Δ≤0: 0.056), and Kazakhstan LightGBM (Δ=0.086, 95% CI [−0.09, 0.27], proportion Δ≤0: 0.179) — showed the same-signed (within-cohort higher) point estimate but a CI including zero, not formally significant despite the consistent direction across all eight pairs. The common-universe reference analysis yields five of eight intervals excluding zero, whereas four of eight do so under the primary training-only pipeline, because the Kazakhstan logistic-regression interval includes zero under training-only selection. The aggregate pattern of reduced cross-cohort performance remains robust, but half of the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0.812), while Zhuang 2018 logistic regression and Kazakhstan LightGBM fell closest to chance. Six of eight main model–cohort combinations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this cohort-exclusion check uses the fixed common-universe schema, Section 2.5.1, since it addresses cohort-composition robustness rather than feature-selection leakage). Excluding Kazakhstan, Zhuang 2018 remained near chance (LogReg 0.512, LightGBM 0.567); excluding Zhuang 2018, Kazakhstan LOCO remained substantially below its within-cohort baseline (LogReg 0.599, LightGBM 0.495); excluding Ling 2020, Kazakhstan LOCO LogReg was 0.604 — confirming robustness across cohort compositions.</w:t>
      </w:r>
    </w:p>
    <w:p>
      <w:pPr>
        <w:pStyle w:val="BodyText"/>
      </w:pPr>
      <w:r>
        <w:t xml:space="preserve">This pattern is not an artifact of the choice of pipeline: the common-universe reference values (Supplementary Table S4) differ by at most 0.066 for every within-cohort/LOCO pair, with no qualitative-classification change — the one material disagreement is a single pairwise-transfer cell, below.</w:t>
      </w:r>
    </w:p>
    <w:p>
      <w:pPr>
        <w:pStyle w:val="BodyText"/>
      </w:pPr>
      <w:r>
        <w:t xml:space="preserve">Pairwise single-cohort transfer AUC under training-only selection (Figure 3B–C; Supplementary Table S1) ranged 0.43–0.86. One cell changed materially and is reported without smoothing:</w:t>
      </w:r>
      <w:r>
        <w:t xml:space="preserve"> </w:t>
      </w:r>
      <w:r>
        <w:rPr>
          <w:b/>
          <w:bCs/>
        </w:rPr>
        <w:t xml:space="preserve">Kazakhstan → Ling 2020 (LightGBM) fell from 0.58 (common-universe) to 0.44 (training-only, Δ=−0.144)</w:t>
      </w:r>
      <w:r>
        <w:t xml:space="preserve">, moving that cell from weak positive transfer to below chance — the largest shift in this comparison (full matrix and common-universe comparison: Table S1). This does not change the overall heterogeneous/limited-transferability conclusion.</w:t>
      </w:r>
    </w:p>
    <w:bookmarkEnd w:id="28"/>
    <w:bookmarkStart w:id="29"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Cohort-associated compositional variation was substantially larger than diagnosis-associated variation in this pooled four-cohort model: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2018, Ling 2020) were more tightly dispersed. Pairwise post-hoc betadisper comparisons (Section 2.6; Supplementary Table S12) show this is not uniform across all pairs: Ling 2020 differs significantly from every other cohort (all Holm-adjusted p≤0.0420) and drives most of the significant comparisons, while Zhu 2022 vs. Zhuang 2018 (Holm p=0.439) and Kazakhstan vs. Kim/KBASE 2022 (Holm p=0.439) do not differ significantly. Within the Chinese-MiSeq-only subset, dispersion remained significant overall (F=7.946, p=0.0004): Zhuang 2018 differed significantly from Ling 2020 after Holm correction (raw p=0.0001, Holm-adjusted p=0.0003), but its difference from Zhu 2022 did not survive Holm correction (raw p=0.026, Holm-adjusted p=0.052), and Ling 2020 and Zhu 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9"/>
    <w:bookmarkStart w:id="30"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r>
        <w:t xml:space="preserve"> </w:t>
      </w:r>
      <w:r>
        <w:rPr>
          <w:b/>
          <w:bCs/>
        </w:rPr>
        <w:t xml:space="preserve">This entire experiment, including its uncorrected baseline, uses the fixed common 396-genus universe</w:t>
      </w:r>
      <w:r>
        <w:t xml:space="preserve"> </w:t>
      </w:r>
      <w:r>
        <w:t xml:space="preserve">(Section 2.2), not the training-only pipeline primary to Table 2/3 (Section 2.5.1), since ComBat-seq/MMUPHin require one shared feature matrix — so Table 4’s</w:t>
      </w:r>
      <w:r>
        <w:t xml:space="preserve"> </w:t>
      </w:r>
      <w:r>
        <w:t xml:space="preserve">“Uncorrected”</w:t>
      </w:r>
      <w:r>
        <w:t xml:space="preserve"> </w:t>
      </w:r>
      <w:r>
        <w:t xml:space="preserve">row is this experiment’s own matched baseline, not the Table 2/3 numbers, keeping uncorrected-vs-corrected apples-to-apples within this experiment.</w:t>
      </w:r>
    </w:p>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 2018) to 0.769 (Zhu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30"/>
    <w:bookmarkStart w:id="31"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1"/>
    <w:bookmarkEnd w:id="32"/>
    <w:bookmarkStart w:id="39" w:name="discussion"/>
    <w:p>
      <w:pPr>
        <w:pStyle w:val="Heading2"/>
      </w:pPr>
      <w:r>
        <w:t xml:space="preserve">4. Discussion</w:t>
      </w:r>
    </w:p>
    <w:bookmarkStart w:id="33"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0.170 for logistic regression and 0.133 for LightGBM (strict training-only pipeline, primary; Section 2.5.1),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four of eight cohort–model pairs at conventional significance; the remaining four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2019),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3"/>
    <w:bookmarkStart w:id="34"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4"/>
    <w:bookmarkStart w:id="35"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0.996, LightGBM 0.970; primary training-only pipeline, Table 2)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rPr>
          <w:b/>
          <w:bCs/>
        </w:rPr>
        <w:t xml:space="preserve">Technical-metadata assessment of sequencing-batch/diagnosis confounding.</w:t>
      </w:r>
      <w:r>
        <w:t xml:space="preserve"> </w:t>
      </w:r>
      <w:r>
        <w:t xml:space="preserve">To assess potential sequencing-batch/diagnosis confounding in Zhu 2022, we examined this cohort’s SRA technical metadata (full field-by-field results: Supplementary Table S14, Note S4). Mean read length (</w:t>
      </w:r>
      <w:r>
        <w:rPr>
          <w:rStyle w:val="VerbatimChar"/>
        </w:rPr>
        <w:t xml:space="preserve">avgLength</w:t>
      </w:r>
      <w:r>
        <w:t xml:space="preserve">) is exactly associated with diagnosis (all 30 AD runs = 600 bp, all 30 CN runs = 602 bp); other technical fields (release timestamp, accession order) show a concordant but non-exact pattern, and no lane/plate/extraction-batch/run identifier is deposited, so a physical batch cannot be identified directly. Our DADA2 pipeline truncates all reads in this cohort to one fixed length regardless of raw read length, so this 2 bp difference cannot itself survive into the genus table as a length artifact — but its exact collinearity with diagnosis is consistent with a correlated technical grouping whose other consequences could still affect composition estimates. Because diagnosis and</w:t>
      </w:r>
      <w:r>
        <w:t xml:space="preserve"> </w:t>
      </w:r>
      <w:r>
        <w:rPr>
          <w:rStyle w:val="VerbatimChar"/>
        </w:rPr>
        <w:t xml:space="preserve">avgLength</w:t>
      </w:r>
      <w:r>
        <w:t xml:space="preserve"> </w:t>
      </w:r>
      <w:r>
        <w:t xml:space="preserve">are exactly collinear, no adjustment can separate a technical from a biological explanation, and we do not attempt to; we report this as a disclosed, unresolved limitation, not a demonstrated artifact. Critically, the repeated-CV and label-permutation results above establish fold-stability and non-chance significance, not a biological origin — a reproducible technical confound would pass both checks equally well.</w:t>
      </w:r>
    </w:p>
    <w:p>
      <w:pPr>
        <w:pStyle w:val="BodyText"/>
      </w:pPr>
      <w:r>
        <w:t xml:space="preserve">The LOCO result for Zhu 2022 (logistic regression AUC=0.812, the highest LOCO value among all cohorts) is informative: classifiers trained on the other three cohorts transfer to Zhu 2022 fecal samples better than to any other cohort, suggesting the classification pattern learned here is somewhat consistent with the Chinese and Kazakh training cohorts, unlike a spurious compartment-discrimination signal that mixed-compartment pooling would have produced. This LOCO result does not, however, resolve the within-cohort confounding question above, since it concerns classifiers trained on other cohorts. We recommend future AD microbiome studies report sample types explicitly and deposit lane/plate/extraction-batch metadata to permit exactly this kind of check.</w:t>
      </w:r>
    </w:p>
    <w:bookmarkEnd w:id="35"/>
    <w:bookmarkStart w:id="36"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If some directional disagreements arise from biological population differences rather than technical artifacts, technical batch correction would not necessarily resolve them; the present design cannot determine which source dominates, consistent with Section 4.2’s finding that label-blind correction left cross-cohort AUC essentially unchanged.</w:t>
      </w:r>
    </w:p>
    <w:bookmarkEnd w:id="36"/>
    <w:bookmarkStart w:id="37"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measured and accounted for through study design, stratification, covariate adjustment, or sensitivity analysis,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7"/>
    <w:bookmarkStart w:id="38"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w:t>
      </w:r>
      <w:r>
        <w:t xml:space="preserve"> </w:t>
      </w:r>
      <w:r>
        <w:rPr>
          <w:b/>
          <w:bCs/>
        </w:rPr>
        <w:t xml:space="preserve">Diagnostic ascertainment is not equivalent across the source studies.</w:t>
      </w:r>
      <w:r>
        <w:t xml:space="preserve"> </w:t>
      </w:r>
      <w:r>
        <w:t xml:space="preserve">The four labeled cohorts used a clinical AD diagnosis, per each study’s own protocol (Section 2.1), while Kim/KBASE 2022 (PERMANOVA-only) used amyloid-PET positivity in cognitively normal preclinical participants — a fundamentally different case definition (Note S1) — and even the four labeled cohorts do not share identical diagnostic instruments or thresholds. This heterogeneity can itself contribute to cross-cohort transportability differences independently of microbiome biology, and is not fully separable from technical batch effects here; we do not assume the four cohorts are diagnostically interchangeable.</w:t>
      </w:r>
    </w:p>
    <w:p>
      <w:pPr>
        <w:pStyle w:val="BodyText"/>
      </w:pPr>
      <w:r>
        <w:rPr>
          <w:b/>
          <w:bCs/>
        </w:rPr>
        <w:t xml:space="preserve">Mixed single-end and paired-end sequencing:</w:t>
      </w:r>
      <w:r>
        <w:t xml:space="preserve"> </w:t>
      </w:r>
      <w:r>
        <w:t xml:space="preserve">Kazakhstan used single-end NovaSeq reads while all other cohorts used paired-end MiSeq 2×300 bp, yielding lower taxonomic resolution and different fitted error models — a technical asymmetry not disentangled from biological population differences here.</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Zhu 2022’s near-perfect within-cohort AUC cannot be attributed to biology over a technical confound.</w:t>
      </w:r>
      <w:r>
        <w:t xml:space="preserve"> </w:t>
      </w:r>
      <w:r>
        <w:t xml:space="preserve">A sequencing-metadata field is exactly collinear with diagnosis in this cohort, statistically unresolvable from the available data (Section 4.3; Supplementary Table S14, Note S4); this does not extend to the LOCO or pairwise-transfer results, which involve classifiers trained on other cohorts.</w:t>
      </w:r>
    </w:p>
    <w:p>
      <w:pPr>
        <w:pStyle w:val="BodyText"/>
      </w:pPr>
      <w:r>
        <w:rPr>
          <w:b/>
          <w:bCs/>
        </w:rPr>
        <w:t xml:space="preserve">Modest per-cohort sample sizes limit precision.</w:t>
      </w:r>
      <w:r>
        <w:t xml:space="preserve"> </w:t>
      </w:r>
      <w:r>
        <w:t xml:space="preserve">Cohorts range from n=60 (Zhu 2022) to n=171 (Ling 2020), reflected in wide 95% CIs throughout (Tables 2–3, Supplementary Table S1) and in four of eight within-cohort-vs-LOCO differences not reaching formal significance despite a consistent direction. We report confidence intervals rather than a retrospective observed-power calculation, which would add no information beyond them; a non-significant comparison should be read as imprecise, not as evidence of no true difference.</w:t>
      </w:r>
    </w:p>
    <w:p>
      <w:pPr>
        <w:pStyle w:val="BodyText"/>
      </w:pPr>
      <w:r>
        <w:rPr>
          <w:b/>
          <w:bCs/>
        </w:rPr>
        <w:t xml:space="preserve">Common (fixed) genus universe retained for secondary descriptive/harmonization analyses.</w:t>
      </w:r>
      <w:r>
        <w:t xml:space="preserve"> </w:t>
      </w:r>
      <w:r>
        <w:t xml:space="preserve">Batch correction, SHAP/coefficient-stability, and PERMANOVA use the fixed 396-genus schema rather than the primary training-only pipeline (Section 2.5.1), because those analyses require one common feature space across cohorts; they should be interpreted only for their own descriptive/harmonization question, not as generalization estimates. The two pipelines agree closely for within-cohort/LOCO AUC (Supplementary Table S4) but disagree materially for one pairwise-transfer cell (Supplementary Table S1), disclosed rather than smoothed over (Section 3.3).</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Multiple comparisons are handled differently across analyses, by design.</w:t>
      </w:r>
      <w:r>
        <w:t xml:space="preserve"> </w:t>
      </w:r>
      <w:r>
        <w:t xml:space="preserve">We distinguish, and do not apply one blanket correction across, three categories: (1)</w:t>
      </w:r>
      <w:r>
        <w:t xml:space="preserve"> </w:t>
      </w:r>
      <w:r>
        <w:rPr>
          <w:b/>
          <w:bCs/>
        </w:rPr>
        <w:t xml:space="preserve">explicit multiplicity-corrected tests</w:t>
      </w:r>
      <w:r>
        <w:t xml:space="preserve"> </w:t>
      </w:r>
      <w:r>
        <w:t xml:space="preserve">— the 10 pairwise beta-dispersion comparisons (Holm/BH; Section 2.6, Table S12); (2)</w:t>
      </w:r>
      <w:r>
        <w:t xml:space="preserve"> </w:t>
      </w:r>
      <w:r>
        <w:rPr>
          <w:b/>
          <w:bCs/>
        </w:rPr>
        <w:t xml:space="preserve">empirical-null significance tests</w:t>
      </w:r>
      <w:r>
        <w:t xml:space="preserve">, each a single pre-specified comparison against a purpose-built permutation null (Jaccard overlap, Section 2.8, Tables S7/S13; Zhu 2022 label permutation, Section 2.4.1, Table S9), not a multiple-comparisons family; and (3)</w:t>
      </w:r>
      <w:r>
        <w:t xml:space="preserve"> </w:t>
      </w:r>
      <w:r>
        <w:rPr>
          <w:b/>
          <w:bCs/>
        </w:rPr>
        <w:t xml:space="preserve">descriptive, non-inferential screens</w:t>
      </w:r>
      <w:r>
        <w:t xml:space="preserve"> </w:t>
      </w:r>
      <w:r>
        <w:t xml:space="preserve">— the coefficient-sign-stability screen (Section 2.8, Section 4.4), which receives no p-value or multiplicity correction because its 10 outer-CV folds are not independent replications. A blanket correction across all three would be inapplicable to category 3 and would not change any category-2 conclusion; we instead state which category each result belongs to.</w:t>
      </w:r>
    </w:p>
    <w:p>
      <w:pPr>
        <w:pStyle w:val="BodyText"/>
      </w:pPr>
      <w:r>
        <w:rPr>
          <w:b/>
          <w:bCs/>
        </w:rPr>
        <w:t xml:space="preserve">Jaccard overlap significance depends on the null model chosen, and one finding reverses.</w:t>
      </w:r>
      <w:r>
        <w:t xml:space="preserve"> </w:t>
      </w:r>
      <w:r>
        <w:t xml:space="preserve">LightGBM’s cross-cohort top-predictor overlap was significant under a shared-genus-pool null but not under a per-cohort prevalence-restricted null (Section 3.6); we report both rather than the more favorable one. Logistic regression’s overlap was significant under both nulls and is the more robust finding.</w:t>
      </w:r>
    </w:p>
    <w:p>
      <w:pPr>
        <w:pStyle w:val="BodyText"/>
      </w:pPr>
      <w:r>
        <w:rPr>
          <w:b/>
          <w:bCs/>
        </w:rPr>
        <w:t xml:space="preserve">Batch correction: two designs, both transductive, neither prospective.</w:t>
      </w:r>
      <w:r>
        <w:t xml:space="preserve"> </w:t>
      </w:r>
      <w:r>
        <w:t xml:space="preserve">Both the label-blind (primary) and label-informed (exploratory) designs (Section 2.7) estimate batch-effect parameters using the eventual held-out cohort’s own feature values, and neither should be extrapolated to prospective deployment. The label-informed design’s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w:t>
      </w:r>
      <w:r>
        <w:t xml:space="preserve"> </w:t>
      </w:r>
      <w:r>
        <w:t xml:space="preserve">(Section 2.4.1; see the technical-confounding bullet above for what it cannot establish). Separately, the formal paired bootstrap (Section 2.5.2, Section 3.3) found four of eight cohort–model pairs (Zhuang 2018 and Kazakhstan, both models) did not reach a 95% CI excluding zero despite all eight showing the same-signed drop — one more non-significant pair than under the common-universe pipeline (Supplementary Table S10).</w:t>
      </w:r>
    </w:p>
    <w:p>
      <w:pPr>
        <w:pStyle w:val="BodyText"/>
      </w:pPr>
      <w:r>
        <w:rPr>
          <w:b/>
          <w:bCs/>
        </w:rPr>
        <w:t xml:space="preserve">Cross-sectional design:</w:t>
      </w:r>
      <w:r>
        <w:t xml:space="preserve"> </w:t>
      </w:r>
      <w:r>
        <w:t xml:space="preserve">causal inference about microbiome–AD relationships is not supported; all language refers to associations and predictive performance.</w:t>
      </w:r>
    </w:p>
    <w:p>
      <w:pPr>
        <w:pStyle w:val="BodyText"/>
      </w:pPr>
      <w:r>
        <w:rPr>
          <w:b/>
          <w:bCs/>
        </w:rPr>
        <w:t xml:space="preserve">SHAP and coefficient-direction interpretability:</w:t>
      </w:r>
      <w:r>
        <w:t xml:space="preserve"> </w:t>
      </w:r>
      <w:r>
        <w:t xml:space="preserve">Logistic-regression direction is defined from the fitted coefficient sign, not mean signed SHAP, and is conditional on L2 regularization (below) and CLR-feature collinearity — the eight genera meeting the stability screen are empirical patterns for follow-up, not confirmed mechanistic findings (Sections 2.8, 4.4). LightGBM has no coefficient-like direction and receives no screen; LOCO SHAP values remain importance rankings only, with no assigned direction.</w:t>
      </w:r>
    </w:p>
    <w:p>
      <w:pPr>
        <w:pStyle w:val="BodyText"/>
      </w:pPr>
      <w:r>
        <w:rPr>
          <w:b/>
          <w:bCs/>
        </w:rPr>
        <w:t xml:space="preserve">Logistic regression models use L2 (ridge), not elastic-net, regularization:</w:t>
      </w:r>
      <w:r>
        <w:t xml:space="preserve"> </w:t>
      </w:r>
      <w:r>
        <w:rPr>
          <w:rStyle w:val="VerbatimChar"/>
        </w:rPr>
        <w:t xml:space="preserve">solver="saga"</w:t>
      </w:r>
      <w:r>
        <w:t xml:space="preserve"> </w:t>
      </w:r>
      <w:r>
        <w:t xml:space="preserve">uses</w:t>
      </w:r>
      <w:r>
        <w:t xml:space="preserve"> </w:t>
      </w:r>
      <w:r>
        <w:rPr>
          <w:rStyle w:val="VerbatimChar"/>
        </w:rPr>
        <w:t xml:space="preserve">penalty="l2"</w:t>
      </w:r>
      <w:r>
        <w:t xml:space="preserve">; the configured</w:t>
      </w:r>
      <w:r>
        <w:t xml:space="preserve"> </w:t>
      </w:r>
      <w:r>
        <w:rPr>
          <w:rStyle w:val="VerbatimChar"/>
        </w:rPr>
        <w:t xml:space="preserve">l1_ratio</w:t>
      </w:r>
      <w:r>
        <w:t xml:space="preserve"> </w:t>
      </w:r>
      <w:r>
        <w:t xml:space="preserve">has no effect under L2. Essentially no fitted coefficient is exactly zero in the coefficient-stability analysis (Section 2.8), since L2 does not perform the sparse selection elastic-net or L1 would.</w:t>
      </w:r>
    </w:p>
    <w:p>
      <w:r>
        <w:pict>
          <v:rect style="width:0;height:1.5pt" o:hralign="center" o:hrstd="t" o:hr="t"/>
        </w:pict>
      </w:r>
    </w:p>
    <w:bookmarkEnd w:id="38"/>
    <w:bookmarkEnd w:id="39"/>
    <w:bookmarkStart w:id="40"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four labeled cohorts, with a fifth (Kim/KBASE 2022) contributing only to unsupervised compositional analyses. Using strict training-only genus selection as the primary classifier-performance pipeline (Section 2.5.1), within-cohort classifiers achieved AUC-ROC of 0.611–0.996; the near-perfect Zhu 2022 result withstood fold-stability and label-permutation checks, though a technical-metadata confound cannot be excluded (Section 4.3). LOCO AUC fell to 0.506–0.812 (mean drop 0.170 logistic regression, 0.133 LightGBM), formally supported for four of eight cohort–model pairs (Section 3.3), and was closely consistent with a fixed common-universe reference retained for secondary analyses, with one pairwise-transfer exception disclosed rather than smoothed over (Kazakhstan→Ling 2020, LightGBM: 0.58→0.44). Batch correction under a label-blind design left mean LOCO AUC essentially unchanged (within 0.007 AUC) without recovering transferability; an exploratory label-informed design, which cannot estimate prospective performance, produced large, cohort-specific degradation attributable substantially to the design itself. PERMANOVA showed cohort identity explained substantially more compositional variance than disease status (marginal R²: 0.172 vs. 0.014, ~12-fold), falling to ~2.6-fold restricted to three more technically comparable cohorts — not decomposable into technical and biological sources, and not by itself explaining the batch-correction results. A cohort-identity classifier achieved macro-AUC=0.9917, and generalization failure persisted across all cohort-exclusion sensitivity configurations. SHAP analysis found low cross-cohort taxon overlap (mean Jaccard 0.135 logistic regression, 0.058 LightGBM), significant for logistic regression under both null models but for LightGBM only under the less conservative one — a reversal reported as such. A pre-specified coefficient-sign-stability screen identified eight logistic-regression genera with opposite, stable direction across cohorts; no comparable screen applies to LightGBM. These findings demonstrate substantial cross-cohort generalization limitations among the evaluated 16S datasets, and that the two batch-correction methods tested under label-blind design did not recover transferability. Multi-cohort harmonized and prospective cross-cohort validation studies are needed before microbiome-based AD biomarkers can achieve clinical utility.</w:t>
      </w:r>
    </w:p>
    <w:p>
      <w:r>
        <w:pict>
          <v:rect style="width:0;height:1.5pt" o:hralign="center" o:hrstd="t" o:hr="t"/>
        </w:pict>
      </w:r>
    </w:p>
    <w:bookmarkEnd w:id="40"/>
    <w:bookmarkStart w:id="41"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1"/>
    <w:bookmarkStart w:id="42"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2"/>
    <w:bookmarkStart w:id="43"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3"/>
    <w:bookmarkStart w:id="44"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pPr>
        <w:pStyle w:val="BodyText"/>
      </w:pPr>
      <w:r>
        <w:t xml:space="preserve">Generative-AI tool disclosure: Claude Code (Anthropic; version 2.1.104), running the Claude Sonnet 5 model (Anthropic; source: https://www.anthropic.com), provided minimal assistance with initial manuscript drafting and computational scripting, as detailed in Methods 2.9. All analytical decisions, parameter choices, experimental design, statistical interpretations, and scientific conclusions were made by the author.</w:t>
      </w:r>
    </w:p>
    <w:p>
      <w:r>
        <w:pict>
          <v:rect style="width:0;height:1.5pt" o:hralign="center" o:hrstd="t" o:hr="t"/>
        </w:pict>
      </w:r>
    </w:p>
    <w:bookmarkEnd w:id="44"/>
    <w:bookmarkStart w:id="45"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(2026).</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p>
      <w:r>
        <w:pict>
          <v:rect style="width:0;height:1.5pt" o:hralign="center" o:hrstd="t" o:hr="t"/>
        </w:pict>
      </w:r>
    </w:p>
    <w:bookmarkEnd w:id="46"/>
    <w:bookmarkStart w:id="47" w:name="tables"/>
    <w:p>
      <w:pPr>
        <w:pStyle w:val="Heading2"/>
      </w:pPr>
      <w:r>
        <w:t xml:space="preserve">Tables</w:t>
      </w:r>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under strict training-only genus selection (10-fold outer, 5-fold inner CV; primary analysis, Section 2.5.1).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N Genera (Range)</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0.665</w:t>
            </w:r>
          </w:p>
        </w:tc>
        <w:tc>
          <w:tcPr/>
          <w:p>
            <w:pPr>
              <w:pStyle w:val="Compact"/>
            </w:pPr>
            <w:r>
              <w:t xml:space="preserve">[0.55–0.78]</w:t>
            </w:r>
          </w:p>
        </w:tc>
        <w:tc>
          <w:tcPr/>
          <w:p>
            <w:pPr>
              <w:pStyle w:val="Compact"/>
            </w:pPr>
            <w:r>
              <w:t xml:space="preserve">0.767</w:t>
            </w:r>
          </w:p>
        </w:tc>
        <w:tc>
          <w:tcPr/>
          <w:p>
            <w:pPr>
              <w:pStyle w:val="Compact"/>
            </w:pPr>
            <w:r>
              <w:t xml:space="preserve">0.581</w:t>
            </w:r>
          </w:p>
        </w:tc>
        <w:tc>
          <w:tcPr/>
          <w:p>
            <w:pPr>
              <w:pStyle w:val="Compact"/>
            </w:pPr>
            <w:r>
              <w:t xml:space="preserve">129–132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0.673</w:t>
            </w:r>
          </w:p>
        </w:tc>
        <w:tc>
          <w:tcPr/>
          <w:p>
            <w:pPr>
              <w:pStyle w:val="Compact"/>
            </w:pPr>
            <w:r>
              <w:t xml:space="preserve">[0.56–0.78]</w:t>
            </w:r>
          </w:p>
        </w:tc>
        <w:tc>
          <w:tcPr/>
          <w:p>
            <w:pPr>
              <w:pStyle w:val="Compact"/>
            </w:pPr>
            <w:r>
              <w:t xml:space="preserve">0.721</w:t>
            </w:r>
          </w:p>
        </w:tc>
        <w:tc>
          <w:tcPr/>
          <w:p>
            <w:pPr>
              <w:pStyle w:val="Compact"/>
            </w:pPr>
            <w:r>
              <w:t xml:space="preserve">0.628</w:t>
            </w:r>
          </w:p>
        </w:tc>
        <w:tc>
          <w:tcPr/>
          <w:p>
            <w:pPr>
              <w:pStyle w:val="Compact"/>
            </w:pPr>
            <w:r>
              <w:t xml:space="preserve">129–132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0.890</w:t>
            </w:r>
          </w:p>
        </w:tc>
        <w:tc>
          <w:tcPr/>
          <w:p>
            <w:pPr>
              <w:pStyle w:val="Compact"/>
            </w:pPr>
            <w:r>
              <w:t xml:space="preserve">[0.84–0.93]</w:t>
            </w:r>
          </w:p>
        </w:tc>
        <w:tc>
          <w:tcPr/>
          <w:p>
            <w:pPr>
              <w:pStyle w:val="Compact"/>
            </w:pPr>
            <w:r>
              <w:t xml:space="preserve">0.750</w:t>
            </w:r>
          </w:p>
        </w:tc>
        <w:tc>
          <w:tcPr/>
          <w:p>
            <w:pPr>
              <w:pStyle w:val="Compact"/>
            </w:pPr>
            <w:r>
              <w:t xml:space="preserve">0.944</w:t>
            </w:r>
          </w:p>
        </w:tc>
        <w:tc>
          <w:tcPr/>
          <w:p>
            <w:pPr>
              <w:pStyle w:val="Compact"/>
            </w:pPr>
            <w:r>
              <w:t xml:space="preserve">125–129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0.842</w:t>
            </w:r>
          </w:p>
        </w:tc>
        <w:tc>
          <w:tcPr/>
          <w:p>
            <w:pPr>
              <w:pStyle w:val="Compact"/>
            </w:pPr>
            <w:r>
              <w:t xml:space="preserve">[0.78–0.90]</w:t>
            </w:r>
          </w:p>
        </w:tc>
        <w:tc>
          <w:tcPr/>
          <w:p>
            <w:pPr>
              <w:pStyle w:val="Compact"/>
            </w:pPr>
            <w:r>
              <w:t xml:space="preserve">0.720</w:t>
            </w:r>
          </w:p>
        </w:tc>
        <w:tc>
          <w:tcPr/>
          <w:p>
            <w:pPr>
              <w:pStyle w:val="Compact"/>
            </w:pPr>
            <w:r>
              <w:t xml:space="preserve">0.930</w:t>
            </w:r>
          </w:p>
        </w:tc>
        <w:tc>
          <w:tcPr/>
          <w:p>
            <w:pPr>
              <w:pStyle w:val="Compact"/>
            </w:pPr>
            <w:r>
              <w:t xml:space="preserve">125–129</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0.996</w:t>
            </w:r>
          </w:p>
        </w:tc>
        <w:tc>
          <w:tcPr/>
          <w:p>
            <w:pPr>
              <w:pStyle w:val="Compact"/>
            </w:pPr>
            <w:r>
              <w:t xml:space="preserve">[0.98–1.00]</w:t>
            </w:r>
          </w:p>
        </w:tc>
        <w:tc>
          <w:tcPr/>
          <w:p>
            <w:pPr>
              <w:pStyle w:val="Compact"/>
            </w:pPr>
            <w:r>
              <w:t xml:space="preserve">0.933</w:t>
            </w:r>
          </w:p>
        </w:tc>
        <w:tc>
          <w:tcPr/>
          <w:p>
            <w:pPr>
              <w:pStyle w:val="Compact"/>
            </w:pPr>
            <w:r>
              <w:t xml:space="preserve">1.000</w:t>
            </w:r>
          </w:p>
        </w:tc>
        <w:tc>
          <w:tcPr/>
          <w:p>
            <w:pPr>
              <w:pStyle w:val="Compact"/>
            </w:pPr>
            <w:r>
              <w:t xml:space="preserve">112–119</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0.970</w:t>
            </w:r>
          </w:p>
        </w:tc>
        <w:tc>
          <w:tcPr/>
          <w:p>
            <w:pPr>
              <w:pStyle w:val="Compact"/>
            </w:pPr>
            <w:r>
              <w:t xml:space="preserve">[0.93–1.00]</w:t>
            </w:r>
          </w:p>
        </w:tc>
        <w:tc>
          <w:tcPr/>
          <w:p>
            <w:pPr>
              <w:pStyle w:val="Compact"/>
            </w:pPr>
            <w:r>
              <w:t xml:space="preserve">0.933</w:t>
            </w:r>
          </w:p>
        </w:tc>
        <w:tc>
          <w:tcPr/>
          <w:p>
            <w:pPr>
              <w:pStyle w:val="Compact"/>
            </w:pPr>
            <w:r>
              <w:t xml:space="preserve">0.933</w:t>
            </w:r>
          </w:p>
        </w:tc>
        <w:tc>
          <w:tcPr/>
          <w:p>
            <w:pPr>
              <w:pStyle w:val="Compact"/>
            </w:pPr>
            <w:r>
              <w:t xml:space="preserve">112–119</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0.737</w:t>
            </w:r>
          </w:p>
        </w:tc>
        <w:tc>
          <w:tcPr/>
          <w:p>
            <w:pPr>
              <w:pStyle w:val="Compact"/>
            </w:pPr>
            <w:r>
              <w:t xml:space="preserve">[0.62–0.84]</w:t>
            </w:r>
          </w:p>
        </w:tc>
        <w:tc>
          <w:tcPr/>
          <w:p>
            <w:pPr>
              <w:pStyle w:val="Compact"/>
            </w:pPr>
            <w:r>
              <w:t xml:space="preserve">0.732</w:t>
            </w:r>
          </w:p>
        </w:tc>
        <w:tc>
          <w:tcPr/>
          <w:p>
            <w:pPr>
              <w:pStyle w:val="Compact"/>
            </w:pPr>
            <w:r>
              <w:t xml:space="preserve">0.744</w:t>
            </w:r>
          </w:p>
        </w:tc>
        <w:tc>
          <w:tcPr/>
          <w:p>
            <w:pPr>
              <w:pStyle w:val="Compact"/>
            </w:pPr>
            <w:r>
              <w:t xml:space="preserve">342–361</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0.611</w:t>
            </w:r>
          </w:p>
        </w:tc>
        <w:tc>
          <w:tcPr/>
          <w:p>
            <w:pPr>
              <w:pStyle w:val="Compact"/>
            </w:pPr>
            <w:r>
              <w:t xml:space="preserve">[0.49–0.73]</w:t>
            </w:r>
          </w:p>
        </w:tc>
        <w:tc>
          <w:tcPr/>
          <w:p>
            <w:pPr>
              <w:pStyle w:val="Compact"/>
            </w:pPr>
            <w:r>
              <w:t xml:space="preserve">0.415</w:t>
            </w:r>
          </w:p>
        </w:tc>
        <w:tc>
          <w:tcPr/>
          <w:p>
            <w:pPr>
              <w:pStyle w:val="Compact"/>
            </w:pPr>
            <w:r>
              <w:t xml:space="preserve">0.814</w:t>
            </w:r>
          </w:p>
        </w:tc>
        <w:tc>
          <w:tcPr/>
          <w:p>
            <w:pPr>
              <w:pStyle w:val="Compact"/>
            </w:pPr>
            <w:r>
              <w:t xml:space="preserve">342–361</w:t>
            </w:r>
          </w:p>
        </w:tc>
        <w:tc>
          <w:tcPr/>
          <w:p>
            <w:pPr>
              <w:pStyle w:val="Compact"/>
            </w:pPr>
            <w:r>
              <w:t xml:space="preserve">—</w:t>
            </w:r>
          </w:p>
        </w:tc>
      </w:tr>
    </w:tbl>
    <w:p>
      <w:pPr>
        <w:pStyle w:val="BodyText"/>
      </w:pPr>
      <w:r>
        <w:t xml:space="preserve">N=60 for Zhu 2022 binary analysis (30 AD + 30 CN fecal samples; MCI and blood samples excluded). Genus selection was re-derived independently within every one of the 10 outer folds, using only that fold’s training-side samples (Section 2.5.1);</w:t>
      </w:r>
      <w:r>
        <w:t xml:space="preserve"> </w:t>
      </w:r>
      <w:r>
        <w:t xml:space="preserve">“N Genera (Range)”</w:t>
      </w:r>
      <w:r>
        <w:t xml:space="preserve"> </w:t>
      </w:r>
      <w:r>
        <w:t xml:space="preserve">gives the min–max retained-genus count across those 10 folds, versus 396 under the fixed common-universe schema (Table S4).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paired bootstrap of Section 2.5.2 (10,000 replicates), applied to these training-only out-of-fold predictions. The corresponding common-universe (fixed 396-genus) reference values are given in Supplementary Table S4.</w:t>
      </w:r>
    </w:p>
    <w:p>
      <w:pPr>
        <w:pStyle w:val="BodyText"/>
      </w:pPr>
      <w:r>
        <w:rPr>
          <w:b/>
          <w:bCs/>
        </w:rPr>
        <w:t xml:space="preserve">Table 3.</w:t>
      </w:r>
      <w:r>
        <w:t xml:space="preserve"> </w:t>
      </w:r>
      <w:r>
        <w:t xml:space="preserve">LOCO cross-cohort AUC-ROC versus within-cohort nested CV baseline, both under strict training-only genus selection (primary analysis, Section 2.5.1).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0.665</w:t>
            </w:r>
          </w:p>
        </w:tc>
        <w:tc>
          <w:tcPr/>
          <w:p>
            <w:pPr>
              <w:pStyle w:val="Compact"/>
            </w:pPr>
            <w:r>
              <w:t xml:space="preserve">0.506</w:t>
            </w:r>
          </w:p>
        </w:tc>
        <w:tc>
          <w:tcPr/>
          <w:p>
            <w:pPr>
              <w:pStyle w:val="Compact"/>
            </w:pPr>
            <w:r>
              <w:t xml:space="preserve">[0.38–0.63]</w:t>
            </w:r>
          </w:p>
        </w:tc>
        <w:tc>
          <w:tcPr/>
          <w:p>
            <w:pPr>
              <w:pStyle w:val="Compact"/>
            </w:pPr>
            <w:r>
              <w:t xml:space="preserve">0.159</w:t>
            </w:r>
          </w:p>
        </w:tc>
      </w:tr>
      <w:tr>
        <w:tc>
          <w:tcPr/>
          <w:p>
            <w:pPr>
              <w:pStyle w:val="Compact"/>
            </w:pPr>
            <w:r>
              <w:t xml:space="preserve">Zhuang 2018</w:t>
            </w:r>
          </w:p>
        </w:tc>
        <w:tc>
          <w:tcPr/>
          <w:p>
            <w:pPr>
              <w:pStyle w:val="Compact"/>
            </w:pPr>
            <w:r>
              <w:t xml:space="preserve">LGBM</w:t>
            </w:r>
          </w:p>
        </w:tc>
        <w:tc>
          <w:tcPr/>
          <w:p>
            <w:pPr>
              <w:pStyle w:val="Compact"/>
            </w:pPr>
            <w:r>
              <w:t xml:space="preserve">0.673</w:t>
            </w:r>
          </w:p>
        </w:tc>
        <w:tc>
          <w:tcPr/>
          <w:p>
            <w:pPr>
              <w:pStyle w:val="Compact"/>
            </w:pPr>
            <w:r>
              <w:t xml:space="preserve">0.596</w:t>
            </w:r>
          </w:p>
        </w:tc>
        <w:tc>
          <w:tcPr/>
          <w:p>
            <w:pPr>
              <w:pStyle w:val="Compact"/>
            </w:pPr>
            <w:r>
              <w:t xml:space="preserve">[0.47–0.72]</w:t>
            </w:r>
          </w:p>
        </w:tc>
        <w:tc>
          <w:tcPr/>
          <w:p>
            <w:pPr>
              <w:pStyle w:val="Compact"/>
            </w:pPr>
            <w:r>
              <w:t xml:space="preserve">0.077</w:t>
            </w:r>
          </w:p>
        </w:tc>
      </w:tr>
      <w:tr>
        <w:tc>
          <w:tcPr/>
          <w:p>
            <w:pPr>
              <w:pStyle w:val="Compact"/>
            </w:pPr>
            <w:r>
              <w:t xml:space="preserve">Ling 2020</w:t>
            </w:r>
          </w:p>
        </w:tc>
        <w:tc>
          <w:tcPr/>
          <w:p>
            <w:pPr>
              <w:pStyle w:val="Compact"/>
            </w:pPr>
            <w:r>
              <w:t xml:space="preserve">LogReg</w:t>
            </w:r>
          </w:p>
        </w:tc>
        <w:tc>
          <w:tcPr/>
          <w:p>
            <w:pPr>
              <w:pStyle w:val="Compact"/>
            </w:pPr>
            <w:r>
              <w:t xml:space="preserve">0.890</w:t>
            </w:r>
          </w:p>
        </w:tc>
        <w:tc>
          <w:tcPr/>
          <w:p>
            <w:pPr>
              <w:pStyle w:val="Compact"/>
            </w:pPr>
            <w:r>
              <w:t xml:space="preserve">0.679</w:t>
            </w:r>
          </w:p>
        </w:tc>
        <w:tc>
          <w:tcPr/>
          <w:p>
            <w:pPr>
              <w:pStyle w:val="Compact"/>
            </w:pPr>
            <w:r>
              <w:t xml:space="preserve">[0.60–0.76]</w:t>
            </w:r>
          </w:p>
        </w:tc>
        <w:tc>
          <w:tcPr/>
          <w:p>
            <w:pPr>
              <w:pStyle w:val="Compact"/>
            </w:pPr>
            <w:r>
              <w:t xml:space="preserve">0.210</w:t>
            </w:r>
          </w:p>
        </w:tc>
      </w:tr>
      <w:tr>
        <w:tc>
          <w:tcPr/>
          <w:p>
            <w:pPr>
              <w:pStyle w:val="Compact"/>
            </w:pPr>
            <w:r>
              <w:t xml:space="preserve">Ling 2020</w:t>
            </w:r>
          </w:p>
        </w:tc>
        <w:tc>
          <w:tcPr/>
          <w:p>
            <w:pPr>
              <w:pStyle w:val="Compact"/>
            </w:pPr>
            <w:r>
              <w:t xml:space="preserve">LGBM</w:t>
            </w:r>
          </w:p>
        </w:tc>
        <w:tc>
          <w:tcPr/>
          <w:p>
            <w:pPr>
              <w:pStyle w:val="Compact"/>
            </w:pPr>
            <w:r>
              <w:t xml:space="preserve">0.842</w:t>
            </w:r>
          </w:p>
        </w:tc>
        <w:tc>
          <w:tcPr/>
          <w:p>
            <w:pPr>
              <w:pStyle w:val="Compact"/>
            </w:pPr>
            <w:r>
              <w:t xml:space="preserve">0.653</w:t>
            </w:r>
          </w:p>
        </w:tc>
        <w:tc>
          <w:tcPr/>
          <w:p>
            <w:pPr>
              <w:pStyle w:val="Compact"/>
            </w:pPr>
            <w:r>
              <w:t xml:space="preserve">[0.57–0.73]</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0.996</w:t>
            </w:r>
          </w:p>
        </w:tc>
        <w:tc>
          <w:tcPr/>
          <w:p>
            <w:pPr>
              <w:pStyle w:val="Compact"/>
            </w:pPr>
            <w:r>
              <w:t xml:space="preserve">0.812</w:t>
            </w:r>
          </w:p>
        </w:tc>
        <w:tc>
          <w:tcPr/>
          <w:p>
            <w:pPr>
              <w:pStyle w:val="Compact"/>
            </w:pPr>
            <w:r>
              <w:t xml:space="preserve">[0.69–0.93]</w:t>
            </w:r>
          </w:p>
        </w:tc>
        <w:tc>
          <w:tcPr/>
          <w:p>
            <w:pPr>
              <w:pStyle w:val="Compact"/>
            </w:pPr>
            <w:r>
              <w:t xml:space="preserve">0.183</w:t>
            </w:r>
          </w:p>
        </w:tc>
      </w:tr>
      <w:tr>
        <w:tc>
          <w:tcPr/>
          <w:p>
            <w:pPr>
              <w:pStyle w:val="Compact"/>
            </w:pPr>
            <w:r>
              <w:t xml:space="preserve">Zhu 2022</w:t>
            </w:r>
          </w:p>
        </w:tc>
        <w:tc>
          <w:tcPr/>
          <w:p>
            <w:pPr>
              <w:pStyle w:val="Compact"/>
            </w:pPr>
            <w:r>
              <w:t xml:space="preserve">LGBM</w:t>
            </w:r>
          </w:p>
        </w:tc>
        <w:tc>
          <w:tcPr/>
          <w:p>
            <w:pPr>
              <w:pStyle w:val="Compact"/>
            </w:pPr>
            <w:r>
              <w:t xml:space="preserve">0.970</w:t>
            </w:r>
          </w:p>
        </w:tc>
        <w:tc>
          <w:tcPr/>
          <w:p>
            <w:pPr>
              <w:pStyle w:val="Compact"/>
            </w:pPr>
            <w:r>
              <w:t xml:space="preserve">0.788</w:t>
            </w:r>
          </w:p>
        </w:tc>
        <w:tc>
          <w:tcPr/>
          <w:p>
            <w:pPr>
              <w:pStyle w:val="Compact"/>
            </w:pPr>
            <w:r>
              <w:t xml:space="preserve">[0.66–0.89]</w:t>
            </w:r>
          </w:p>
        </w:tc>
        <w:tc>
          <w:tcPr/>
          <w:p>
            <w:pPr>
              <w:pStyle w:val="Compact"/>
            </w:pPr>
            <w:r>
              <w:t xml:space="preserve">0.182</w:t>
            </w:r>
          </w:p>
        </w:tc>
      </w:tr>
      <w:tr>
        <w:tc>
          <w:tcPr/>
          <w:p>
            <w:pPr>
              <w:pStyle w:val="Compact"/>
            </w:pPr>
            <w:r>
              <w:t xml:space="preserve">Kazakhstan</w:t>
            </w:r>
          </w:p>
        </w:tc>
        <w:tc>
          <w:tcPr/>
          <w:p>
            <w:pPr>
              <w:pStyle w:val="Compact"/>
            </w:pPr>
            <w:r>
              <w:t xml:space="preserve">LogReg</w:t>
            </w:r>
          </w:p>
        </w:tc>
        <w:tc>
          <w:tcPr/>
          <w:p>
            <w:pPr>
              <w:pStyle w:val="Compact"/>
            </w:pPr>
            <w:r>
              <w:t xml:space="preserve">0.737</w:t>
            </w:r>
          </w:p>
        </w:tc>
        <w:tc>
          <w:tcPr/>
          <w:p>
            <w:pPr>
              <w:pStyle w:val="Compact"/>
            </w:pPr>
            <w:r>
              <w:t xml:space="preserve">0.609</w:t>
            </w:r>
          </w:p>
        </w:tc>
        <w:tc>
          <w:tcPr/>
          <w:p>
            <w:pPr>
              <w:pStyle w:val="Compact"/>
            </w:pPr>
            <w:r>
              <w:t xml:space="preserve">[0.49–0.73]</w:t>
            </w:r>
          </w:p>
        </w:tc>
        <w:tc>
          <w:tcPr/>
          <w:p>
            <w:pPr>
              <w:pStyle w:val="Compact"/>
            </w:pPr>
            <w:r>
              <w:t xml:space="preserve">0.128</w:t>
            </w:r>
          </w:p>
        </w:tc>
      </w:tr>
      <w:tr>
        <w:tc>
          <w:tcPr/>
          <w:p>
            <w:pPr>
              <w:pStyle w:val="Compact"/>
            </w:pPr>
            <w:r>
              <w:t xml:space="preserve">Kazakhstan</w:t>
            </w:r>
          </w:p>
        </w:tc>
        <w:tc>
          <w:tcPr/>
          <w:p>
            <w:pPr>
              <w:pStyle w:val="Compact"/>
            </w:pPr>
            <w:r>
              <w:t xml:space="preserve">LGBM</w:t>
            </w:r>
          </w:p>
        </w:tc>
        <w:tc>
          <w:tcPr/>
          <w:p>
            <w:pPr>
              <w:pStyle w:val="Compact"/>
            </w:pPr>
            <w:r>
              <w:t xml:space="preserve">0.611</w:t>
            </w:r>
          </w:p>
        </w:tc>
        <w:tc>
          <w:tcPr/>
          <w:p>
            <w:pPr>
              <w:pStyle w:val="Compact"/>
            </w:pPr>
            <w:r>
              <w:t xml:space="preserve">0.525</w:t>
            </w:r>
          </w:p>
        </w:tc>
        <w:tc>
          <w:tcPr/>
          <w:p>
            <w:pPr>
              <w:pStyle w:val="Compact"/>
            </w:pPr>
            <w:r>
              <w:t xml:space="preserve">[0.40–0.65]</w:t>
            </w:r>
          </w:p>
        </w:tc>
        <w:tc>
          <w:tcPr/>
          <w:p>
            <w:pPr>
              <w:pStyle w:val="Compact"/>
            </w:pPr>
            <w:r>
              <w:t xml:space="preserve">0.086</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0.822</w:t>
            </w:r>
          </w:p>
        </w:tc>
        <w:tc>
          <w:tcPr/>
          <w:p>
            <w:pPr>
              <w:pStyle w:val="Compact"/>
            </w:pPr>
            <w:r>
              <w:rPr>
                <w:b/>
                <w:bCs/>
              </w:rPr>
              <w:t xml:space="preserve">0.652</w:t>
            </w:r>
          </w:p>
        </w:tc>
        <w:tc>
          <w:tcPr/>
          <w:p>
            <w:pPr>
              <w:pStyle w:val="Compact"/>
            </w:pPr>
            <w:r>
              <w:t xml:space="preserve">—</w:t>
            </w:r>
          </w:p>
        </w:tc>
        <w:tc>
          <w:tcPr/>
          <w:p>
            <w:pPr>
              <w:pStyle w:val="Compact"/>
            </w:pPr>
            <w:r>
              <w:rPr>
                <w:b/>
                <w:bCs/>
              </w:rPr>
              <w:t xml:space="preserve">0.170</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0.774</w:t>
            </w:r>
          </w:p>
        </w:tc>
        <w:tc>
          <w:tcPr/>
          <w:p>
            <w:pPr>
              <w:pStyle w:val="Compact"/>
            </w:pPr>
            <w:r>
              <w:rPr>
                <w:b/>
                <w:bCs/>
              </w:rPr>
              <w:t xml:space="preserve">0.641</w:t>
            </w:r>
          </w:p>
        </w:tc>
        <w:tc>
          <w:tcPr/>
          <w:p>
            <w:pPr>
              <w:pStyle w:val="Compact"/>
            </w:pPr>
            <w:r>
              <w:t xml:space="preserve">—</w:t>
            </w:r>
          </w:p>
        </w:tc>
        <w:tc>
          <w:tcPr/>
          <w:p>
            <w:pPr>
              <w:pStyle w:val="Compact"/>
            </w:pPr>
            <w:r>
              <w:rPr>
                <w:b/>
                <w:bCs/>
              </w:rPr>
              <w:t xml:space="preserve">0.133</w:t>
            </w:r>
          </w:p>
        </w:tc>
      </w:tr>
    </w:tbl>
    <w:p>
      <w:pPr>
        <w:pStyle w:val="BodyText"/>
      </w:pPr>
      <w:r>
        <w:t xml:space="preserve">Paired-bootstrap significance for the AUC drop (Section 2.5.2; Supplementary Table S10) gives</w:t>
      </w:r>
      <w:r>
        <w:t xml:space="preserve"> </w:t>
      </w:r>
      <w:r>
        <w:rPr>
          <w:b/>
          <w:bCs/>
        </w:rPr>
        <w:t xml:space="preserve">4 of 8</w:t>
      </w:r>
      <w:r>
        <w:t xml:space="preserve"> </w:t>
      </w:r>
      <w:r>
        <w:t xml:space="preserve">cohort–model pairs a 95% CI excluding zero (Ling 2020 and Zhu 2022, both models). The common-universe reference analysis gives five of eight, differing only in Kazakhstan LogReg: its delta excludes zero under the common-universe schema (0.201, 95% CI [0.04, 0.36]) but not under training-only selection (0.128, 95% CI [−0.03, 0.28]); full per-pair numbers in Table S10.</w:t>
      </w:r>
    </w:p>
    <w:p>
      <w:pPr>
        <w:pStyle w:val="BodyText"/>
      </w:pPr>
      <w:r>
        <w:rPr>
          <w:b/>
          <w:bCs/>
        </w:rPr>
        <w:t xml:space="preserve">Table 4.</w:t>
      </w:r>
      <w:r>
        <w:t xml:space="preserve"> </w:t>
      </w:r>
      <w:r>
        <w:t xml:space="preserve">Mean LOCO AUC across four cohorts, by correction design and model (fixed common-universe schema throughout; not the Table 2/3 training-only primary pipeline).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Study design. (</w:t>
      </w:r>
      <w:r>
        <w:rPr>
          <w:b/>
          <w:bCs/>
        </w:rPr>
        <w:t xml:space="preserve">A</w:t>
      </w:r>
      <w:r>
        <w:t xml:space="preserve">) Overview of the five 16S rRNA amplicon sequencing cohorts assembled for this study: four with per-sample diagnosis labels supporting supervised classification (Phases 2–3, 5–6) and a fifth (Kim/KBASE 2022) contributing only to unsupervised compositional analysis (Phase 4). Columns give country of origin, sample size, sequencing mode, 16S variable region, diagnosis label availability, and analytic phases in which each cohort participates. (</w:t>
      </w:r>
      <w:r>
        <w:rPr>
          <w:b/>
          <w:bCs/>
        </w:rPr>
        <w:t xml:space="preserve">B</w:t>
      </w:r>
      <w:r>
        <w:t xml:space="preserve">) Summary of the six-phase analysis pipeline, from DADA2 processing through SHAP feature-importance and logistic-regression coefficient-stability analyses. Phases 2–3 (within-cohort baseline and cross-cohort generalization) use strict training-only genus selection, re-derived independently within every split, as the primary classifier-performance pipeline (Section 2.5.1); Phases 4–6 use the fixed common 396-genus universe (Section 2.2), which those specific analyses require as a single, shared feature space across cohorts.</w:t>
      </w:r>
    </w:p>
    <w:p>
      <w:pPr>
        <w:pStyle w:val="BodyText"/>
      </w:pPr>
      <w:r>
        <w:rPr>
          <w:b/>
          <w:bCs/>
        </w:rPr>
        <w:t xml:space="preserve">Figure 2.</w:t>
      </w:r>
      <w:r>
        <w:t xml:space="preserve"> </w:t>
      </w:r>
      <w:r>
        <w:t xml:space="preserve">Within-cohort classification performance under nested cross-validation (10-fold outer / 5-fold inner CV), using strict training-only genus selection as the primary classifier-performance pipeline (Section 2.5.1). Bars show out-of-fold AUC-ROC; error bars represent 95% CIs from the diagnosis-stratified, participant-level bootstrap (10,000 replicates; Section 2.5.2), matching Table 2. Dashed line = chance (AUC = 0.50). LogReg = L2-regularized logistic regression; LGBM = LightGBM. Matched values under the fixed common-universe (396-genus) schema are given in Supplementary Table S4.</w:t>
      </w:r>
    </w:p>
    <w:p>
      <w:pPr>
        <w:pStyle w:val="BodyText"/>
      </w:pPr>
      <w:r>
        <w:rPr>
          <w:b/>
          <w:bCs/>
        </w:rPr>
        <w:t xml:space="preserve">Figure 3.</w:t>
      </w:r>
      <w:r>
        <w:t xml:space="preserve"> </w:t>
      </w:r>
      <w:r>
        <w:t xml:space="preserve">Cross-cohort generalization limitations, using strict training-only genus selection as the primary classifier-performance pipeline (Section 2.5.1). (</w:t>
      </w:r>
      <w:r>
        <w:rPr>
          <w:b/>
          <w:bCs/>
        </w:rPr>
        <w:t xml:space="preserve">A</w:t>
      </w:r>
      <w:r>
        <w:t xml:space="preserve">) Within-cohort (solid bars) versus LOCO cross-cohort (hatched bars) AUC-ROC for logistic regression (blue) and LightGBM (pink). Error bars on the LOCO bars = 95% CI from the diagnosis-stratified, participant-level bootstrap (10,000 replicates; Section 2.5.2), matching Table 3; within-cohort bars are shown without error bars in this panel. (</w:t>
      </w:r>
      <w:r>
        <w:rPr>
          <w:b/>
          <w:bCs/>
        </w:rPr>
        <w:t xml:space="preserve">B</w:t>
      </w:r>
      <w:r>
        <w:t xml:space="preserve">,</w:t>
      </w:r>
      <w:r>
        <w:t xml:space="preserve"> </w:t>
      </w:r>
      <w:r>
        <w:rPr>
          <w:b/>
          <w:bCs/>
        </w:rPr>
        <w:t xml:space="preserve">C</w:t>
      </w:r>
      <w:r>
        <w:t xml:space="preserve">) Pairwise single-cohort-train / single-cohort-test AUC heatmaps for logistic regression and LightGBM respectively. Diagonal (within-cohort) values are omitted; colour scale: red = lower AUC, green = higher AUC. Matched values under the fixed common-universe (396-genus) schema are given in Supplementary Table S1; one cell (Kazakhstan→Ling 2020, LightGBM) differs materially between the two pipelines (0.58 vs. 0.44) and is discussed in Section 3.3.</w:t>
      </w:r>
    </w:p>
    <w:p>
      <w:pPr>
        <w:pStyle w:val="BodyText"/>
      </w:pPr>
      <w:r>
        <w:rPr>
          <w:b/>
          <w:bCs/>
        </w:rPr>
        <w:t xml:space="preserve">Figure 4.</w:t>
      </w:r>
      <w:r>
        <w:t xml:space="preserve"> </w:t>
      </w:r>
      <w:r>
        <w:t xml:space="preserve">PERMANOVA variance decomposition and beta-diversity structure. (</w:t>
      </w:r>
      <w:r>
        <w:rPr>
          <w:b/>
          <w:bCs/>
        </w:rPr>
        <w:t xml:space="preserve">A</w:t>
      </w:r>
      <w:r>
        <w:t xml:space="preserve">) Marginal R² values from a two-variable PERMANOVA model on the four labeled cohorts (n=401): cohort R²=0.172 and diagnosis R²=0.014, shown as independent bars. These Type III marginal R² values are estimated independently and do not sum to 1. (</w:t>
      </w:r>
      <w:r>
        <w:rPr>
          <w:b/>
          <w:bCs/>
        </w:rPr>
        <w:t xml:space="preserve">B</w:t>
      </w:r>
      <w:r>
        <w:t xml:space="preserve">) PCoA of Aitchison distance matrix (all five cohorts; n=509). Cohort R²=0.193 (F=30.13, p=0.0001, 9,999 permutations). Ellipses = 95% normal confidence ellipses. (</w:t>
      </w:r>
      <w:r>
        <w:rPr>
          <w:b/>
          <w:bCs/>
        </w:rPr>
        <w:t xml:space="preserve">C</w:t>
      </w:r>
      <w:r>
        <w:t xml:space="preserve">) Beta-dispersion: distance from each sample to its cohort centroid (F=13.93, p=0.0001, 9,999 permutations).</w:t>
      </w:r>
    </w:p>
    <w:p>
      <w:pPr>
        <w:pStyle w:val="BodyText"/>
      </w:pPr>
      <w:r>
        <w:rPr>
          <w:b/>
          <w:bCs/>
        </w:rPr>
        <w:t xml:space="preserve">Figure 5.</w:t>
      </w:r>
      <w:r>
        <w:t xml:space="preserve"> </w:t>
      </w:r>
      <w:r>
        <w:t xml:space="preserve">Effect of label-blind batch correction on LOCO cross-cohort AUC-ROC (primary analysis; no diagnosis information used during correction). (</w:t>
      </w:r>
      <w:r>
        <w:rPr>
          <w:b/>
          <w:bCs/>
        </w:rPr>
        <w:t xml:space="preserve">A</w:t>
      </w:r>
      <w:r>
        <w:t xml:space="preserve">) Logistic regression and (</w:t>
      </w:r>
      <w:r>
        <w:rPr>
          <w:b/>
          <w:bCs/>
        </w:rPr>
        <w:t xml:space="preserve">B</w:t>
      </w:r>
      <w:r>
        <w:t xml:space="preserve">) LightGBM LOCO AUC for each held-out cohort under three conditions: uncorrected (green), ComBat-seq label-blind corrected (magenta), and MMUPHin label-blind corrected (salmon). Error bars = 95% bootstrap CI (1,000 non-stratified resamples on held-out test predictions; Section 2.5). Dashed line = chance (0.50). Under this label-blind design, both methods left mean LOCO AUC essentially unchanged relative to uncorrected (within 0.007 AUC for both methods and models), neither recovering nor substantially worsening cross-cohort generalization. An exploratory label-informed transductive sensitivity comparison, in which correction used each sample’s own true diagnosis label and which produced substantially different, more severe degradation for some cohorts, is reported separately in Supplementary Figure S4 and is not treated as evidence about prospective performance (Section 2.7, Section 3.5).</w:t>
      </w:r>
    </w:p>
    <w:p>
      <w:pPr>
        <w:pStyle w:val="BodyText"/>
      </w:pPr>
      <w:r>
        <w:rPr>
          <w:b/>
          <w:bCs/>
        </w:rPr>
        <w:t xml:space="preserve">Figure 6.</w:t>
      </w:r>
      <w:r>
        <w:t xml:space="preserve"> </w:t>
      </w:r>
      <w:r>
        <w:t xml:space="preserve">SHAP feature importance and coefficient-based direction analysis, logistic regression. (</w:t>
      </w:r>
      <w:r>
        <w:rPr>
          <w:b/>
          <w:bCs/>
        </w:rPr>
        <w:t xml:space="preserve">A</w:t>
      </w:r>
      <w:r>
        <w:t xml:space="preserve">) Top-20 SHAP genera by maximum |SHAP| across cohorts. Dot size ∝ mean |SHAP|; feature importance only — no direction is encoded in this panel. (</w:t>
      </w:r>
      <w:r>
        <w:rPr>
          <w:b/>
          <w:bCs/>
        </w:rPr>
        <w:t xml:space="preserve">B</w:t>
      </w:r>
      <w:r>
        <w:t xml:space="preserve">) Fitted-coefficient direction by cohort for the eight genera meeting a pre-specified descriptive coefficient-sign-stability screen (top-20 in ≥2 cohorts; a stable positive coefficient sign in ≥8/10 outer folds in ≥1 cohort and a stable negative sign in ≥8/10 folds in ≥1 other). Cell color = median fitted logistic-regression coefficient across the 10 outer folds; cell text = fold-count and direction. Bordered cells meet the ≥8/10 stability criterion. This is a descriptive screen, not a multiplicity-corrected hypothesis test. (</w:t>
      </w:r>
      <w:r>
        <w:rPr>
          <w:b/>
          <w:bCs/>
        </w:rPr>
        <w:t xml:space="preserve">C</w:t>
      </w:r>
      <w:r>
        <w:t xml:space="preserve">) Pairwise Jaccard similarity of top-20 SHAP taxa between cohort pairs; mean of the six unique pairwise values = 0.135, significantly above a null matched to this statistic’s construction (100,000 replicates of four random top-20 sets; p&lt;0.0001). A prevalence-restricted null sensitivity analysis (Supplementary Table S13) shows logistic regression remains significant while LightGBM does not.</w:t>
      </w:r>
    </w:p>
    <w:bookmarkEnd w:id="48"/>
    <w:bookmarkEnd w:id="49"/>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2026-09-23T21:21:55Z</dcterms:created>
  <dcterms:modified xsi:type="dcterms:W3CDTF">2026-09-23T21:21:55Z</dcterms:modified>
</cp:coreProperties>
</file>

<file path=docProps/custom.xml><?xml version="1.0" encoding="utf-8"?>
<Properties xmlns="http://schemas.openxmlformats.org/officeDocument/2006/custom-properties" xmlns:vt="http://schemas.openxmlformats.org/officeDocument/2006/docPropsVTypes"/>
</file>