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 United States</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pPr>
        <w:pStyle w:val="BodyText"/>
      </w:pPr>
      <w:r>
        <w:rPr>
          <w:b/>
          <w:bCs/>
        </w:rPr>
        <w:t xml:space="preserve">Word count:</w:t>
      </w:r>
      <w:r>
        <w:t xml:space="preserve"> </w:t>
      </w:r>
      <w:r>
        <w:t xml:space="preserve">11,999 (main text, Introduction through Conclusion, including in-text citations; excludes abstract, headings, figure/table captions, table contents, funding, acknowledgements, and references)</w:t>
      </w:r>
    </w:p>
    <w:p>
      <w:pPr>
        <w:pStyle w:val="BodyText"/>
      </w:pPr>
      <w:r>
        <w:rPr>
          <w:b/>
          <w:bCs/>
        </w:rPr>
        <w:t xml:space="preserve">Figures:</w:t>
      </w:r>
      <w:r>
        <w:t xml:space="preserve"> </w:t>
      </w:r>
      <w:r>
        <w:t xml:space="preserve">6 ·</w:t>
      </w:r>
      <w:r>
        <w:t xml:space="preserve"> </w:t>
      </w:r>
      <w:r>
        <w:rPr>
          <w:b/>
          <w:bCs/>
        </w:rPr>
        <w:t xml:space="preserve">Tables:</w:t>
      </w:r>
      <w:r>
        <w:t xml:space="preserve"> </w:t>
      </w:r>
      <w:r>
        <w:t xml:space="preserve">4</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an Alzheimer’s disease (AD) biomarker, but the transportability of microbiome classifiers across independent cohorts remains uncertain. We reprocessed five public 16S rRNA cohorts (509 samples; China, Kazakhstan, South Korea) with a common DADA2/genus-level pipeline and evaluated logistic regression and LightGBM classifiers using nested within-cohort cross-validation, leave-one-cohort-out (LOCO) transfer, pairwise transfer, PERMANOVA, batch adjustment, and out-of-fold SHAP analyses. Within four labeled cohorts, within-cohort AUC-ROC ranged from 0.633 to 0.998. The near-perfect Zhu 2022 result was stable across 50 repeated nested-CV partitions (mean AUC 0.9955 for logistic regression and 0.9760 for LightGBM) and exceeded a 1,000-permutation label null for both models (empirical p=0.000999). In LOCO evaluation, AUC ranged from 0.504 to 0.813, with mean decreases of 0.176 for logistic regression and 0.146 for LightGBM; paired diagnosis-stratified bootstrap intervals excluded zero for five of eight cohort-model differences. Re-deriving genus selection strictly from training data changed LOCO AUC by at most 0.066. In the four-cohort marginal PERMANOVA model, cohort-associated compositional variation exceeded diagnosis-associated variation (R²=0.172 versus 0.014), but this contrast decreased to 0.059 versus 0.023 when restricted to three more technically comparable Chinese paired-end MiSeq cohorts, and dispersion differed significantly among cohorts. Label-blind transductive ComBat-seq and MMUPHin adjustment changed mean LOCO AUC by at most 0.007 and did not recover transferability. Cross-cohort overlap of top predictive taxa was low: logistic-regression overlap remained above a prevalence-restricted random-set null, whereas LightGBM overlap did not. A descriptive coefficient-stability screen identified eight logistic-regression genera with opposite stable fitted-coefficient directions across cohorts. These findings demonstrate substantial, heterogeneous cross-cohort generalization limitations among the evaluated public 16S datasets and show that the two tested batch-adjustment methods did not restore transferability. Prospective validation in larger, geographically and technically diverse cohorts is needed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most common cause of dementia, accounting for an estimated 60–70% of cases; approximately 57 million people worldwide were living with dementia in 2021 (World Health Organization, 2026).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controls (Harach et al., 2017), dozens of 16S rRNA and shotgun metagenomic studies have reported significant differences in gut microbial composition between AD or MCI patients and cognitively normal (CN) controls. MCI is included as a diagnostic category because it can represent a preclinical or prodromal stage of AD, though not all MCI progresses to AD, and the primary supervised analyses here focus on binary AD versus CN comparisons (Section 2.4).</w:t>
      </w:r>
    </w:p>
    <w:p>
      <w:pPr>
        <w:pStyle w:val="BodyText"/>
      </w:pPr>
      <w:r>
        <w:t xml:space="preserve">The clinical appeal of a gut microbiome-based diagnostic signature is considerable: stool is non-invasive, inexpensive to collect, and microbiome profiling is increasingly accessible. Multiple independent groups have trained machine learning classifiers on gut microbiome abundance profiles and reported promising within-cohort discrimination, with AUC-ROC of 0.70–0.90 in several published studies (Zhuang et al., 2018; Ling et al., 2021; Zhu et al., 2022). A critical property of any diagnostic biomarker — transferability across independent populations — 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 — 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(Vogt et al., 2017; Liu et al., 2019; Zhuang et al., 2018), suggesting published within-cohort classifiers may detect cohort-specific compositional signatures — driven by diet, geography, host genetics, sequencing protocols, or a combination — 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(Wang et al., 2026), confirming multi-population integration remains a methodological frontier. The present study is complementary, systematically quantifying cross-cohort generalization failure and empirically evaluating whether two commonly used batch-correction approaches recover cross-cohort transferability — 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 versus diagnosis-associated compositional variance, as estimated by variance partitioning — noting</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method such as PERMANOVA cannot decompose into technical and biological components; and (3) whether the two evaluated batch-adjustment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showed substantial and variable degradation when transferred to independent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showing opposite, stable fitted-coefficient directions. Together, these findings constitute a systematic quantification of cross-cohort generalization limitations among the evaluated public gut microbiome AD classifier datasets, with direct implications for the field’s trajectory toward clinical translation.</w:t>
      </w:r>
    </w:p>
    <w:p>
      <w:r>
        <w:pict>
          <v:rect style="width:0;height:1.5pt" o:hralign="center" o:hrstd="t" o:hr="t"/>
        </w:pict>
      </w:r>
    </w:p>
    <w:bookmarkEnd w:id="10"/>
    <w:bookmarkStart w:id="25"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using the following SRA search terms: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in public metadata, (2) raw FASTQ files or quality-filtered reads in a public archive, and (3) minimum sample sizes of 40 participants per cohort. We restricted this analysis to 16S rRNA studies; shotgun metagenomic cohorts were identified but excluded to avoid the additional platform confound of mixing amplicon and whole-genome sequencing data. Cohorts were excluded if per-sample labels were IRB-restricted (for supervised analyses), data had not been publicly released at the time of analysis, or samples represented a tissue compartment other than fecal microbiome. A complete record of the search procedure, identified cohorts, and exclusion rationale is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two samples: a fecal (F_</w:t>
      </w:r>
      <w:r>
        <w:rPr>
          <w:i/>
          <w:iCs/>
        </w:rPr>
        <w:t xml:space="preserve">) sample and a blood microbiome (B_</w:t>
      </w:r>
      <w:r>
        <w:t xml:space="preserve">) sample. Only the 90 fecal samples were used in all analyses; blood samples were excluded as a distinct biological compartment that would confound within-cohort classifiers. Binary analyses used 30 AD and 30 CN fecal samples (n=60). Paired-end MiSeq 2×300 bp, V3–V4 (Zhu et al., 2022). Diagnostic ascertainment differed across cohorts: Zhuang 2018, Ling 2020, and Zhu 2022 used clinical AD diagnosis; Kazakhstan used NINCDS-ADRDA criteria (confirmed by neurologists); and Kim/KBASE 2022 used amyloid-PET positivity for preclinical AD.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 the only single-end dataset in the study; implications for read length and taxonomic resolution are discussed in Section 2.2 and Limitations.</w:t>
      </w:r>
    </w:p>
    <w:p>
      <w:pPr>
        <w:pStyle w:val="BodyText"/>
      </w:pPr>
      <w:r>
        <w:t xml:space="preserve">The Kim/KBASE 2022 cohort (Jung et al., 2022; PRJEB50447; 78 participants; 18 preclinical AD by amyloid-PET, 60 CN) was included in PERMANOVA analyses (Phase 4) only and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chimera-removed using the consensus method, and merged. For Kazakhstan (single-end), the single-end DADA2 workflow was applied without merging; truncation length was adjusted to 250 bp after inspection of quality profiles (Supplementary Note S2).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study if it reached ≥20% prevalence (nonzero count in ≥20% of samples) in at least one of the five cohorts; this threshold was computed per cohort and the union of genera passing in any cohort was taken across all five,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This is not a leakage-free design; it is identified transparently as a global, all-cohort feature-selection step, and its effect on the paper’s conclusions is evaluated directly by a strict training-only sensitivity analysis (Section 2.5.1) rather than assumed negligible.</w:t>
      </w:r>
    </w:p>
    <w:p>
      <w:pPr>
        <w:pStyle w:val="BodyText"/>
      </w:pPr>
      <w:r>
        <w:rPr>
          <w:b/>
          <w:bCs/>
        </w:rPr>
        <w:t xml:space="preserve">Leakage status of every preprocessing step, stated explicitly.</w:t>
      </w:r>
      <w:r>
        <w:t xml:space="preserve"> </w:t>
      </w:r>
      <w:r>
        <w:t xml:space="preserve">(1)</w:t>
      </w:r>
      <w:r>
        <w:t xml:space="preserve"> </w:t>
      </w:r>
      <w:r>
        <w:rPr>
          <w:i/>
          <w:iCs/>
        </w:rPr>
        <w:t xml:space="preserve">DADA2 ASV inference and error-model estimation</w:t>
      </w:r>
      <w:r>
        <w:t xml:space="preserve"> </w:t>
      </w:r>
      <w:r>
        <w:t xml:space="preserve">(this section) were performed once independently within each cohort using that cohort’s full read set, with no diagnosis labels and no samples from other cohorts, and were not re-estimated within outer-CV folds. Thus, this raw-read stage does not introduce diagnosis-label leakage or cross-cohort pooling, although within-cohort performance is not fully fold-isolated at the denoising stage because error-model estimation used the cohort’s full read set. The strict training-only sensitivity below re-derives genus selection and downstream supervised preprocessing/model fitting, not DADA2. (2)</w:t>
      </w:r>
      <w:r>
        <w:t xml:space="preserve"> </w:t>
      </w:r>
      <w:r>
        <w:rPr>
          <w:i/>
          <w:iCs/>
        </w:rPr>
        <w:t xml:space="preserve">Global genus-level feature selection</w:t>
      </w:r>
      <w:r>
        <w:t xml:space="preserve"> </w:t>
      </w:r>
      <w:r>
        <w:t xml:space="preserve">(≥20% prevalence, this section) pools raw prevalence across all five cohorts, including the eventual held-out cohort in every LOCO/pairwise experiment — a genuine, acknowledged limitation bounded by the training-only sensitivity in Section 2.5.1, which re-derives the feature set from training-side samples only and finds the qualitative conclusion unchanged. (3)</w:t>
      </w:r>
      <w:r>
        <w:t xml:space="preserve"> </w:t>
      </w:r>
      <w:r>
        <w:rPr>
          <w:i/>
          <w:iCs/>
        </w:rPr>
        <w:t xml:space="preserve">Zero-replacement and CLR transformation</w:t>
      </w:r>
      <w:r>
        <w:t xml:space="preserve"> </w:t>
      </w:r>
      <w:r>
        <w:t xml:space="preserve">(Section 2.3) are deterministic functions of each sample’s own count vector, using no information from any other sample, cohort, or diagnosis label. (4)</w:t>
      </w:r>
      <w:r>
        <w:t xml:space="preserve"> </w:t>
      </w:r>
      <w:r>
        <w:rPr>
          <w:i/>
          <w:iCs/>
        </w:rPr>
        <w:t xml:space="preserve">Model tuning and fitting</w:t>
      </w:r>
      <w:r>
        <w:t xml:space="preserve"> </w:t>
      </w:r>
      <w:r>
        <w:t xml:space="preserve">(Sections 2.4–2.5) use only the training-side samples of each split, with test-side samples never used for tuning, fitting, or standardization. (5) The</w:t>
      </w:r>
      <w:r>
        <w:t xml:space="preserve"> </w:t>
      </w:r>
      <w:r>
        <w:rPr>
          <w:i/>
          <w:iCs/>
        </w:rPr>
        <w:t xml:space="preserve">strict training-only sensitivity</w:t>
      </w:r>
      <w:r>
        <w:t xml:space="preserve"> </w:t>
      </w:r>
      <w:r>
        <w:t xml:space="preserve">(Section 2.5.1) additionally re-derives genus selection from training-side samples only, closing the pathway identified in (2) for that analysis.</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Within-cohort 95% CIs (Table 2, Supplementary Figure S1) use the diagnosis-stratified, participant-level percentile bootstrap described in Section 2.5.2 (10,000 replicates); other CIs in this paper use the non-stratified 1,000-resample bootstrap described in Section 2.5, as noted at each occurrence. We also report sensitivity and specificity at the Youden’s J optimal threshold, and note published AUC values from the original cohort papers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under the strict training-only feature-selection pipeline (Section 2.5.1), so that genus selection, model tuning, and model fitting used no held-out-fold information (DADA2 denoising, Section 2.2, is a per-cohort, label-free step performed once and is not re-derived per fold).</w:t>
      </w:r>
    </w:p>
    <w:p>
      <w:pPr>
        <w:pStyle w:val="BodyText"/>
      </w:pPr>
      <w:r>
        <w:rPr>
          <w:b/>
          <w:bCs/>
        </w:rPr>
        <w:t xml:space="preserve">Repeated nested cross-validation.</w:t>
      </w:r>
      <w:r>
        <w:t xml:space="preserve"> </w:t>
      </w:r>
      <w:r>
        <w:t xml:space="preserve">The 10-fold outer / 5-fold inner nested-CV procedure (Section 2.4) was repeated 50 times under different pre-specified deterministic seeds (1000–1049) for the stratified outer-fold partition, with genus selection, zero-replacement, CLR transformation, and model tuning re-derived independently within every outer fold using only that fold’s training-side samples. We report the mean, SD, median, 2.5th/97.5th percentile, minimum, and maximum pooled-OOF AUC across the 50 repetitions. This quantifies sensitivity to fold assignment, not independent replication — the same 60 participants underlie all 50 repetitions.</w:t>
      </w:r>
    </w:p>
    <w:p>
      <w:pPr>
        <w:pStyle w:val="BodyText"/>
      </w:pPr>
      <w:r>
        <w:rPr>
          <w:b/>
          <w:bCs/>
        </w:rPr>
        <w:t xml:space="preserve">Label permutation test.</w:t>
      </w:r>
      <w:r>
        <w:t xml:space="preserve"> </w:t>
      </w:r>
      <w:r>
        <w:t xml:space="preserve">Under the same pipeline and fixed outer-fold partition (random_state=42): for each of exactly 1,000 permutations, AD/CN labels were shuffled across the 60 participants while preserving the 30/30 class balance. Within every outer fold, all label-dependent model fitting and hyperparameter tuning were rerun using the permuted training labels. Fold-specific genus selection, zero replacement, and CLR construction depend only on fold membership and feature counts rather than diagnosis labels; these components were therefore precomputed once for the fixed partition and reused across permutations. This is an implementation optimization and does not alter the permutation null because the classifier is refit on the permuted labels in every replicate. Empirical p =</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t>1001</m:t>
        </m:r>
      </m:oMath>
      <w:r>
        <w:t xml:space="preserve">, using the training-only single-partition AUC as the observed value; the minimum attainable p at this permutation count is</w:t>
      </w:r>
      <w:r>
        <w:t xml:space="preserve"> </w:t>
      </w:r>
      <m:oMath>
        <m:r>
          <m:t>1</m:t>
        </m:r>
        <m:r>
          <m:rPr>
            <m:sty m:val="p"/>
          </m:rPr>
          <m:t>/</m:t>
        </m:r>
        <m:r>
          <m:t>1001</m:t>
        </m:r>
        <m:r>
          <m:rPr>
            <m:sty m:val="p"/>
          </m:rPr>
          <m:t>≈</m:t>
        </m:r>
        <m:r>
          <m:t>0.000999</m:t>
        </m:r>
      </m:oMath>
      <w:r>
        <w:t xml:space="preserve">, and we do not interpret any p-value below this floor as more precise than it.</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then evaluated on the held-out cohort, producing four LOCO AUC estimates per model type. We report the LOCO AUC drop as the difference between within-cohort (nested CV) AUC and LOCO AUC. Uncorrected LOCO 95% CIs (Table 3, Figure 3A) use the diagnosis-stratified, participant-level bootstrap of Section 2.5.2 (10,000 replicates); CIs on batch-corrected LOCO AUC (Table 4, Figure 5, Supplementary Figure S4) use the non-stratified 1,000-resample bootstrap described below. Non-overlap of two independently computed CIs is not a formal statistical test of whether their difference is nonzero and is not used as one anywhere in this paper; the AUC drop is instead evaluated with the paired bootstrap procedure in Section 2.5.2.</w:t>
      </w:r>
    </w:p>
    <w:p>
      <w:pPr>
        <w:pStyle w:val="BodyText"/>
      </w:pPr>
      <w:r>
        <w:rPr>
          <w:b/>
          <w:bCs/>
        </w:rPr>
        <w:t xml:space="preserve">Pairwise transfer:</w:t>
      </w:r>
      <w:r>
        <w:t xml:space="preserve"> </w:t>
      </w:r>
      <w:r>
        <w:t xml:space="preserve">A classifier was trained on one cohort and tested on each of the other three individually, yielding a 4×4 matrix (diagonal excluded) of cross-cohort AUC per model type — more stringent than LOCO and able to isolate specific directional failures. Pairwise AUC 95% CIs (Supplementary Table S1) use the non-stratified 1,000-resample bootstrap on test-set predictions, not the diagnosis-stratified regeneration of Section 2.5.2, which covers only the within-cohort and uncorrected-LOCO CIs.</w:t>
      </w:r>
    </w:p>
    <w:p>
      <w:pPr>
        <w:pStyle w:val="BodyText"/>
      </w:pPr>
      <w:r>
        <w:rPr>
          <w:b/>
          <w:bCs/>
        </w:rPr>
        <w:t xml:space="preserve">Sensitivity analyses:</w:t>
      </w:r>
      <w:r>
        <w:t xml:space="preserve"> </w:t>
      </w:r>
      <w:r>
        <w:t xml:space="preserve">To assess whether generalization failure was attributable to any single cohort, we repeated LOCO under three additional configurations: (A) excluding Kazakhstan entirely, LOCO evaluated on the remaining three; (B) excluding Zhuang 2018; (C) excluding Ling 2020. Results are in Section 3.3 and Supplementary Figure S3.</w:t>
      </w:r>
    </w:p>
    <w:bookmarkStart w:id="16"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test whether this affected the generalization-failure conclusion, we repeated the within-cohort, LOCO, and pairwise-transfer analyses with genus selection re-derived independently inside every split, using only that split’s training-side samples: for each outer fold (within-cohort), held-out cohort (LOCO), and train cohort (pairwise), the ≥20%-prevalence filter was recomputed from training-side AD/CN-labeled samples only, and test/held-out samples were projected onto the training-derived genus set (absent genera zero-filled) before per-sample zero-replacement and CLR transformation. Model families, hyperparameter grids, random state, fold counts, and bootstrap CI procedure matched the main analyses (Sections 2.4–2.5). This yields a strictly train-only feature universe per split, at the cost of a smaller, split-specific genus count (e.g., 150 genera when Kazakhstan is excluded during its own LOCO hold-out, versus 396 globally).</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CIs are a heuristic, not a formal statistical comparison. To formally evaluate the within-cohort-versus-LOCO AUC difference for each of the eight cohort–model combinations, we performed a paired, diagnosis-stratified, participant-level bootstrap: for each pair, the within-cohort and LOCO predictions refer to the same participants, and each of 10,000 replicates resampled participants with replacement (separately within AD and CN) and used that same resampled index set for both AUC values — so the resulting distribution of</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is a genuine paired comparison, not the difference of two independently resampled statistics. We report the observed delta, bootstrap mean delta, 95% percentile CI, and the proportion of replicates with</w:t>
      </w:r>
      <w:r>
        <w:t xml:space="preserve"> </w:t>
      </w:r>
      <m:oMath>
        <m:r>
          <m:rPr>
            <m:sty m:val="p"/>
          </m:rPr>
          <m:t>Δ</m:t>
        </m:r>
        <m:r>
          <m:rPr>
            <m:sty m:val="p"/>
          </m:rPr>
          <m:t>≤</m:t>
        </m:r>
        <m:r>
          <m:t>0</m:t>
        </m:r>
      </m:oMath>
      <w:r>
        <w:t xml:space="preserve"> </w:t>
      </w:r>
      <w:r>
        <w:t xml:space="preserve">(an empirical bootstrap quantity, not an exact p-value). Within-cohort and uncorrected-LOCO CIs in Tables 2 and 3 (Figures 2 and 3A, Supplementary Figure S1) were regenerated with this same procedure, so every within-cohort and uncorrected-LOCO CI in the paper uses one consistent resampling method; this did not extend to the pairwise-transfer CIs (Supplementary Table S1) or batch-corrected LOCO CIs (Table 4, Figure 5, Supplementary Figure S4), which retain the original non-stratified 1,000-resample bootstrap of Section 2.5 — each table/figure states which procedure its CIs use.</w:t>
      </w:r>
    </w:p>
    <w:p>
      <w:pPr>
        <w:pStyle w:val="BodyText"/>
      </w:pPr>
      <w:r>
        <w:t xml:space="preserve">Within-cohort out-of-fold prediction files lack an explicit participant identifier; identity was recovered by replicating the exact data-loading/filtering sequence and verified, before use, by an exact-match assertion against the file’s own saved outcome column, for every cohort–model combination.</w:t>
      </w:r>
    </w:p>
    <w:bookmarkEnd w:id="17"/>
    <w:bookmarkEnd w:id="18"/>
    <w:bookmarkStart w:id="19"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using the adonis2 function in the R package vegan v2.6 (Oksanen et al., 2024), with two distance matrices:</w:t>
      </w:r>
      <w:r>
        <w:t xml:space="preserve"> </w:t>
      </w:r>
      <w:r>
        <w:rPr>
          <w:b/>
          <w:bCs/>
        </w:rPr>
        <w:t xml:space="preserve">Aitchison distance</w:t>
      </w:r>
      <w:r>
        <w:t xml:space="preserve"> </w:t>
      </w:r>
      <w:r>
        <w:t xml:space="preserve">(Euclidean distance on CLR values), the compositionally appropriate distance that does not distort due to the simplex constraint, and</w:t>
      </w:r>
      <w:r>
        <w:t xml:space="preserve"> </w:t>
      </w:r>
      <w:r>
        <w:rPr>
          <w:b/>
          <w:bCs/>
        </w:rPr>
        <w:t xml:space="preserve">Bray-Curtis dissimilarity</w:t>
      </w:r>
      <w:r>
        <w:t xml:space="preserve"> </w:t>
      </w:r>
      <w:r>
        <w:t xml:space="preserve">(on relative abundances), included for comparability with the broader microbiome literature.</w:t>
      </w:r>
    </w:p>
    <w:p>
      <w:pPr>
        <w:pStyle w:val="BodyText"/>
      </w:pPr>
      <w:r>
        <w:t xml:space="preserve">All PERMANOVA models used 9,999 permutations with Type III (marginal) sums of squares (by=</w:t>
      </w:r>
      <w:r>
        <w:t xml:space="preserve">“margin”</w:t>
      </w:r>
      <w:r>
        <w:t xml:space="preserve">) for independent assessment of cohort and diagnosis effects; the minimum attainable permutation p-value is reported as p=0.0001 throughout. Three models were fitted: (1) cohort only, all five cohorts (n=509); (2) cohort + diagnosis, restricted to the four labeled cohorts (n=401: AD and CN samples only, Zhu 2022 MCI excluded), with marginal R² per term; (3) within each labeled cohort, diagnosis as sole predictor (within-cohort disease effect size). Figure 4B displays the PCoA from Model 1 (n=509, including MCI samples), while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PERMANOVA R² partially reflects within-group spread, not only centroid shifts. To identify which cohort pairs drive the overall dispersion difference, we additionally computed all pairwise betadisper comparisons among the five cohorts (Aitchison distance, 9,999 permutations per pair), with Holm and Benjamini-Hochberg multiplicity adjustment across the 10 pairwise p-values.</w:t>
      </w:r>
    </w:p>
    <w:p>
      <w:pPr>
        <w:pStyle w:val="BodyText"/>
      </w:pPr>
      <w:r>
        <w:rPr>
          <w:b/>
          <w:bCs/>
        </w:rPr>
        <w:t xml:space="preserve">Cohort is a composite variable; PERMANOVA cannot decompose it into technical and biological sources.</w:t>
      </w:r>
      <w:r>
        <w:t xml:space="preserve"> </w:t>
      </w:r>
      <w:r>
        <w:t xml:space="preserve">“Cohort”</w:t>
      </w:r>
      <w:r>
        <w:t xml:space="preserve"> </w:t>
      </w:r>
      <w:r>
        <w:t xml:space="preserve">in this study bundles sequencing platform, library preparation, recruitment site and country, clinical diagnostic ascertainment, and unmeasured dietary and lifestyle differences into a single categorical variable. A PERMANOVA or betadisper term for cohort therefore estimates the total compositional variance associated with study-of-origin, not a technical-batch-effect estimate specifically; no method here decomposes that total into technical and biological components. To assess how sensitive the cohort-versus-diagnosis variance disparity (Section 3.4) is to this composite structure, we repeated the marginal PERMANOVA and betadisper analyses on a subset restricted to three more technically comparable cohorts — Zhuang 2018, Ling 2020, and Zhu 2022, all Chinese, paired-end MiSeq 2×300bp, V3–V4 studies — while still differing in recruitment site, exact diagnostic procedure, and other unmeasured factors, so this subset is more comparable, not identical. This sensitivity used the same marginal (</w:t>
      </w:r>
      <w:r>
        <w:rPr>
          <w:rStyle w:val="VerbatimChar"/>
        </w:rPr>
        <w:t xml:space="preserve">by="margin"</w:t>
      </w:r>
      <w:r>
        <w:t xml:space="preserve">) two-variable PERMANOVA specification and 9,999 permutations as the main four-cohort model, restricted to binary AD/CN samples from the three cohorts (n=317), with betadisper/permutest and pairwise post-hoc comparisons on the same subset.</w:t>
      </w:r>
    </w:p>
    <w:p>
      <w:pPr>
        <w:pStyle w:val="BodyText"/>
      </w:pPr>
      <w:r>
        <w:t xml:space="preserve">To further quantify how much cohort-specific information is retained in the preprocessed feature space, we trained a logistic regression classifier (one-vs-rest, stratified 5-fold CV) to predict cohort identity from the CLR-transformed features across all 509 samples; the macro-AUC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each with cohort identity as the batch variable, under two designs differing in whether diagnosis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is prospective or inductive (neither defines a transformation applicable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with</w:t>
      </w:r>
      <w:r>
        <w:t xml:space="preserve"> </w:t>
      </w:r>
      <w:r>
        <w:rPr>
          <w:rStyle w:val="VerbatimChar"/>
        </w:rPr>
        <w:t xml:space="preserve">group = NULL, full_mod = FALSE</w:t>
      </w:r>
      <w:r>
        <w:t xml:space="preserve"> </w:t>
      </w:r>
      <w:r>
        <w:t xml:space="preserve">— no diagnosis information supplied. MMUPHin v1.15 (Ma et al., 2022) was run on relative-abundance profiles with</w:t>
      </w:r>
      <w:r>
        <w:t xml:space="preserve"> </w:t>
      </w:r>
      <w:r>
        <w:rPr>
          <w:rStyle w:val="VerbatimChar"/>
        </w:rPr>
        <w:t xml:space="preserve">batch = cohort</w:t>
      </w:r>
      <w:r>
        <w:t xml:space="preserve">,</w:t>
      </w:r>
      <w:r>
        <w:t xml:space="preserve"> </w:t>
      </w:r>
      <w:r>
        <w:rPr>
          <w:rStyle w:val="VerbatimChar"/>
        </w:rPr>
        <w:t xml:space="preserve">covariates = NULL</w:t>
      </w:r>
      <w:r>
        <w:t xml:space="preserve">; the metadata object given to</w:t>
      </w:r>
      <w:r>
        <w:t xml:space="preserve"> </w:t>
      </w:r>
      <w:r>
        <w:rPr>
          <w:rStyle w:val="VerbatimChar"/>
        </w:rPr>
        <w:t xml:space="preserve">adjust_batch</w:t>
      </w:r>
      <w:r>
        <w:t xml:space="preserve"> </w:t>
      </w:r>
      <w:r>
        <w:t xml:space="preserve">included no diagnosis column. Both use cohort identity and every sample’s own raw feature values (making the design transductive) but never a true AD/CN label. Corrected tables were CLR-transformed using the zero-replacement procedure of Section 2.3.</w:t>
      </w:r>
    </w:p>
    <w:p>
      <w:pPr>
        <w:pStyle w:val="BodyText"/>
      </w:pPr>
      <w:r>
        <w:rPr>
          <w:b/>
          <w:bCs/>
        </w:rPr>
        <w:t xml:space="preserve">Design 2 — label-informed transductive sensitivity analysis (exploratory).</w:t>
      </w:r>
      <w:r>
        <w:t xml:space="preserve"> </w:t>
      </w:r>
      <w:r>
        <w:t xml:space="preserve">The same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using every sample’s own true diagnosis label — including the eventual held-out-cohort’s labels in the LOCO evaluation. Because correction is fit using test-cohort samples’ own diagnosis labels, this design cannot estimate prospective external-validation performance and is retained only as an exploratory sensitivity analysis, not as a performance bound: access to test labels during correction can improve or worsen downstream classifier performance, so it is not mathematically guaranteed to bound what label-blind correction could achieve.</w:t>
      </w:r>
    </w:p>
    <w:p>
      <w:pPr>
        <w:pStyle w:val="BodyText"/>
      </w:pPr>
      <w:r>
        <w:t xml:space="preserve">After each correction, the LOCO experiment (Section 2.5) was repeated on the corresponding batch-corrected CLR matrices, and within-cohort AUC was re-computed under the same nested-CV procedure as Section 2.4. Because Design 2’s correction step is explicitly given each sample’s own diagnosis label as part of a jointly-fit model, within-cohort AUC on Design-2-corrected features cannot be used to argue that disease-associated biological signal survived correction independent of that label information — preserved separability could instead reflect the correction algorithm’s own label-preservation mechanism rather than biology. This caveat does not apply to Design 1, whose within-cohort AUC is not label-confounded, though it remains transductive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of computing SHAP on the same data used to fit the model.</w:t>
      </w:r>
    </w:p>
    <w:p>
      <w:pPr>
        <w:pStyle w:val="BodyText"/>
      </w:pPr>
      <w:r>
        <w:t xml:space="preserve">For each labeled cohort, SHAP values were computed using the same 10-fold outer CV structure as AUC estimation (Section 2.4): in each fold, the classifier was trained on the 9 training folds, and SHAP values were computed for the held-out fold using the training fold as background. For logistic regression, shap.LinearExplainer was used with the training fold as background (feature_perturbation=</w:t>
      </w:r>
      <w:r>
        <w:t xml:space="preserve">“interventional”</w:t>
      </w:r>
      <w:r>
        <w:t xml:space="preserve">) and the held-out fold as the evaluation set, ensuring the mean SHAP value is not algebraically forced to zero. For LightGBM, shap.TreeExplainer was used (check_additivity=False) with the same OOF structure. Values were aggregated across all 10 folds; mean absolute SHAP value per genus (|SHAP|) was used as the importance metric for both models and is unaffected by the direction issue below.</w:t>
      </w:r>
    </w:p>
    <w:p>
      <w:pPr>
        <w:pStyle w:val="BodyText"/>
      </w:pPr>
      <w:r>
        <w:rPr>
          <w:b/>
          <w:bCs/>
        </w:rPr>
        <w:t xml:space="preserve">Direction is not defined from mean signed SHAP.</w:t>
      </w:r>
      <w:r>
        <w:t xml:space="preserve"> </w:t>
      </w:r>
      <w:r>
        <w:t xml:space="preserve">For a linear model under</w:t>
      </w:r>
      <w:r>
        <w:t xml:space="preserve"> </w:t>
      </w:r>
      <w:r>
        <w:rPr>
          <w:rStyle w:val="VerbatimChar"/>
        </w:rPr>
        <w:t xml:space="preserve">LinearExplainer</w:t>
      </w:r>
      <w:r>
        <w:t xml:space="preserve"> </w:t>
      </w:r>
      <w:r>
        <w:t xml:space="preserve">with interventional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mean signed SHAP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depending on both the fitted coefficient and the mean-abundance difference between evaluation and background sets, not coefficient sign alone. Within a cohort’s own OOF folds this difference is close to sampling noise, but for cross-cohort (LOCO) SHAP the background (N−1 training cohorts) and evaluation set (held-out cohort) come from systematically different populations by construction — the same compositional difference PERMANOVA quantifies in Section 2.6 — so mean signed LOCO SHAP is confounded with raw cross-cohort abundance differences rather than reflecting the model’s direction. Mean signed SHAP is accordingly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each genus’s coefficient sign was recorded. A genus’s direction in a cohort was</w:t>
      </w:r>
      <w:r>
        <w:t xml:space="preserve"> </w:t>
      </w:r>
      <w:r>
        <w:rPr>
          <w:b/>
          <w:bCs/>
        </w:rPr>
        <w:t xml:space="preserve">stable</w:t>
      </w:r>
      <w:r>
        <w:t xml:space="preserve"> </w:t>
      </w:r>
      <w:r>
        <w:t xml:space="preserve">— positive or negative — if the coefficient carried that sign in at least 8 of 10 outer folds (specified before any results were examined); an exactly-zero coefficient counted toward neither. A genus met the</w:t>
      </w:r>
      <w:r>
        <w:t xml:space="preserve"> </w:t>
      </w:r>
      <w:r>
        <w:rPr>
          <w:b/>
          <w:bCs/>
        </w:rPr>
        <w:t xml:space="preserve">descriptive coefficient-sign-stability screen</w:t>
      </w:r>
      <w:r>
        <w:t xml:space="preserve"> </w:t>
      </w:r>
      <w:r>
        <w:t xml:space="preserve">only if it (a) appeared in the top-20 OOF mean-|SHAP| ranking in ≥2 cohorts, (b) had a stable positive coefficient in ≥1 of those cohorts, and (c) a stable negative coefficient in ≥1 other — a conservative definition relative to a naive sign check on mean SHAP, since it requires the direction to be reproducible across most of the 10 outer folds, not merely to differ in one pooled mean-SHAP sign. We treat this screen as descriptive, not a formal hypothesis test: the 10 outer-CV folds within a cohort share substantially overlapping training data, so fold-level coefficient signs are not independent statistical replications, and no multiplicity-adjusted p-value is assigned to any taxon. LightGBM is a tree ensemble with no single coefficient-like, globally monotonic direction, and its SHAP-genus relationships may be nonlinear; no direction or stability screen is therefore applied to LightGBM anywhere in this paper — its results are limited to OOF mean-|SHAP| importance and the top-feature-overlap/Jaccard analysis below, neither of which requires a direction assignment.</w:t>
      </w:r>
    </w:p>
    <w:p>
      <w:pPr>
        <w:pStyle w:val="BodyText"/>
      </w:pPr>
      <w:r>
        <w:t xml:space="preserve">For LOCO analyses, SHAP values were computed on the held-out test cohort from each LOCO-trained model, with the three-cohort training pool as background, and are used only as a feature-</w:t>
      </w:r>
      <w:r>
        <w:rPr>
          <w:i/>
          <w:iCs/>
        </w:rPr>
        <w:t xml:space="preserve">importance</w:t>
      </w:r>
      <w:r>
        <w:t xml:space="preserve"> </w:t>
      </w:r>
      <w:r>
        <w:t xml:space="preserve">ranking (mean |SHAP|); consistent with the confound above, no cross-cohort AD/CN direction is assigned to LOCO SHAP for either model.</w:t>
      </w:r>
    </w:p>
    <w:p>
      <w:pPr>
        <w:pStyle w:val="BodyText"/>
      </w:pPr>
      <w:r>
        <w:rPr>
          <w:b/>
          <w:bCs/>
        </w:rPr>
        <w:t xml:space="preserve">Cross-cohort taxonomic overlap.</w:t>
      </w:r>
      <w:r>
        <w:t xml:space="preserve"> </w:t>
      </w:r>
      <w:r>
        <w:t xml:space="preserve">Pairwise taxonomic overlap was quantified using Jaccard similarity on the top-N SHAP genera (N ∈ {10, 20, 50}; N=20 primary). The reported statistic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Two null distributions are reported. The primary, matched-statistic null mirrors the observed statistic’s construction exactly: in each of 100,000 replicates, four independent random top-N gene sets were drawn (without replacement) from the shared 396-genus pool, and the same six pairwise Jaccard similarities were averaged. Empirical one-sided p =</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the shared pool: per-cohort genus prevalence varies substantially (e.g., Kazakhstan reaches ≥20% prevalence for 356/396 genera, versus 115–131 for the three MiSeq cohorts), so a genus nearly absent from a cohort could still be drawn into that cohort’s comparison set under the shared-pool null. Here, each cohort’s top-N ranking and random draws were both restricted to genera reaching ≥20% prevalence within that cohort’s own AD/CN-labeled samples, with 100,000 replicates per (model, N) and every cohort confirmed to have ≥N eligible genera. We report both nulls without assuming significance under one implies significance under the other. Directional flips are classified using the coefficient-stability criterion above, not this overlap analysis.</w:t>
      </w:r>
    </w:p>
    <w:bookmarkEnd w:id="21"/>
    <w:bookmarkStart w:id="22" w:name="ai-tool-disclosure"/>
    <w:p>
      <w:pPr>
        <w:pStyle w:val="Heading3"/>
      </w:pPr>
      <w:r>
        <w:t xml:space="preserve">2.9 AI Tool Disclosure</w:t>
      </w:r>
    </w:p>
    <w:p>
      <w:pPr>
        <w:pStyle w:val="FirstParagraph"/>
      </w:pPr>
      <w:r>
        <w:t xml:space="preserve">Initial manuscript drafts and computational scripts were prepared with minimal assistance from Claude Sonnet 5 (Anthropic). All analytical decisions, parameter choices, experimental design, statistical interpretations, and scientific conclusions were made by the author. All code and text were reviewed, validated, and substantially revised under the author’s direction.</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in this paper. The initial classifier, PERMANOVA, batch-correction, and SHAP analyses (Sections 2.4–2.8, excluding the peer-review additions below) used scikit-learn v1.5, lightgbm v4, shap v0.51, pandas v2.x, and numpy v1.x (Python 3.11), and vegan v2.6, sva v3.50 (ComBat-seq), and MMUPHin v1.15 in R v4.3. Analyses added in response to peer review — training-only feature-selection sensitivity, label-blind batch correction, SHAP coefficient-stability screen, matched-statistic Jaccard null (Sections 2.5.1, 2.7, 2.8), Zhu 2022 repeated-CV/permutation robustness (Section 2.4.1), paired within-cohort-vs-LOCO AUC-difference bootstrap (Section 2.5.2), pairwise beta-dispersion and Chinese-MiSeq PERMANOVA sensitivity (Section 2.6), and prevalence-restricted Jaccard null (Section 2.8) — were executed in Python 3.11.15 (scikit-learn 1.5.2, lightgbm 4.6.0, shap 0.51.0, matching the original package versions) and R 4.5.1 (vegan 2.7.1, sva 3.58.0, MMUPHin 1.24.0, newer than the initial R environment, reflecting routine system updates). This mixed provenance — original DADA2/R4.3 preprocessing feeding downstream analysis combining an unchanged Python environment with an updated R4.5.1 environment — is disclosed rather than described as uniform. Figures were generated with matplotlib v3.8 or v3.11 at 300 DPI.</w:t>
      </w:r>
    </w:p>
    <w:bookmarkEnd w:id="23"/>
    <w:bookmarkStart w:id="24" w:name="ethics-statement"/>
    <w:p>
      <w:pPr>
        <w:pStyle w:val="Heading3"/>
      </w:pPr>
      <w:r>
        <w:t xml:space="preserve">2.11 Ethics Statement</w:t>
      </w:r>
    </w:p>
    <w:p>
      <w:pPr>
        <w:pStyle w:val="FirstParagraph"/>
      </w:pPr>
      <w:r>
        <w:t xml:space="preserve">This study is a secondary analysis of publicly available, de-identified sequencing data and involved no direct participant recruitment, intervention, or access to identifiable information. Ethical approval and informed consent for primary data collection were the responsibility of the originating studies as reported in their publications; no new participants were recruited for the present analysis.</w:t>
      </w:r>
    </w:p>
    <w:p>
      <w:r>
        <w:pict>
          <v:rect style="width:0;height:1.5pt" o:hralign="center" o:hrstd="t" o:hr="t"/>
        </w:pict>
      </w:r>
    </w:p>
    <w:bookmarkEnd w:id="24"/>
    <w:bookmarkEnd w:id="25"/>
    <w:bookmarkStart w:id="32" w:name="results"/>
    <w:p>
      <w:pPr>
        <w:pStyle w:val="Heading2"/>
      </w:pPr>
      <w:r>
        <w:t xml:space="preserve">3. Results</w:t>
      </w:r>
    </w:p>
    <w:bookmarkStart w:id="26"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than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After construction of the global 396-genus feature schema, multiplicative zero replacement and CLR transformation were applied independently to each of the 509 samples, at δ=0.65.</w:t>
      </w:r>
    </w:p>
    <w:p>
      <w:pPr>
        <w:pStyle w:val="BodyText"/>
      </w:pPr>
      <w:r>
        <w:t xml:space="preserve">For supervised classifier analyses (Phases 2–3 and 5–6), the Kim/KBASE 2022 cohort was excluded because per-sample diagnosis labels are IRB-restricted (Supplementary Note S1), leaving four labeled cohorts totaling 401 samples for binary AD/CN analyses (86 Zhuang + 171 Ling + 60 Zhu fecal binary subset + 84 Kazakhstan; Zhu 2022 MCI samples excluded).</w:t>
      </w:r>
    </w:p>
    <w:bookmarkEnd w:id="26"/>
    <w:bookmarkStart w:id="27"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the original publications (Figure 2; Table 2). Logistic regression achieved AUC-ROC of 0.633 [95% CI: 0.51–0.75] for Zhuang 2018, 0.865 [0.81–0.92] for Ling 2020, 0.998 [0.99–1.00] for Zhu 2022, and 0.766 [0.66–0.86] for Kazakhstan. LightGBM yielded similar values: 0.635 [0.52–0.75], 0.862 [0.80–0.91], 0.979 [0.94–1.00],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~6 samples, so fold-level AUC estimates can be unstable. PERMANOVA (Section 3.4) shows diagnosis explains R²=0.094 of within-cohort compositional variance (F=6.01, p=0.0001), a statistically detectable diagnosis-associated difference in this cohort. The high AUC should nonetheless be interpreted cautiously; the LOCO experiment (Section 3.3) provides a more informative assessment of transferability.</w:t>
      </w:r>
    </w:p>
    <w:p>
      <w:pPr>
        <w:pStyle w:val="BodyText"/>
      </w:pPr>
      <w:r>
        <w:rPr>
          <w:b/>
          <w:bCs/>
        </w:rPr>
        <w:t xml:space="preserve">Robustness to fold assignment and to label permutation (Section 2.4.1).</w:t>
      </w:r>
      <w:r>
        <w:t xml:space="preserve"> </w:t>
      </w:r>
      <w:r>
        <w:t xml:space="preserve">Repeating the strict training-only nested-CV partition 50 times under different pre-specified seeds gave a mean pooled-OOF AUC of 0.9955 (SD 0.0027, range 0.9889–0.9989) for logistic regression and 0.9760 (SD 0.0103, range 0.9378–0.9944) for LightGBM (Supplementary Table S8; Supplementary Figure S5), closely matching the single-partition training-only values (0.9956 and 0.9700) and showing the near-perfect AUC is not an artifact of one fold assignment — a fold-assignment stability check, not independent replication, since the underlying 60 participants are identical across all 50 repetitions. A complementary label-permutation test under the same pipeline and fixed outer-fold partition (1,000 permutations) produced a null AUC distribution centered near chance for both models (logistic regression: mean 0.473, SD 0.102, 95% range [0.280, 0.673]; LightGBM: mean 0.472, SD 0.109, 95% range [0.264, 0.688]) — well below the observed values of 0.9956 and 0.9700 (Supplementary Table S9; Supplementary Figure S5). No permutation among the 1,000 reached the observed AUC for either model, giving an empirical p-value at the resolution floor for this permutation count (p = 1/1,001 ≈ 0.000999 for both), which we do not interpret as more precise than this floor.</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bookmarkEnd w:id="27"/>
    <w:bookmarkStart w:id="28"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across all cohorts and model types (Figure 3A; Table 3). Mean LOCO AUC across the four cohorts was 0.640 for logistic regression and 0.647 for LightGBM — mean drops of 0.176 and 0.146 respectively from within-cohort performance. One of eight model–cohort combinations produced LOCO AUC near chance: Zhuang 2018 with logistic regression (AUC=0.504 [0.38–0.63]).</w:t>
      </w:r>
    </w:p>
    <w:p>
      <w:pPr>
        <w:pStyle w:val="BodyText"/>
      </w:pPr>
      <w:r>
        <w:t xml:space="preserve">The largest absolute logistic regression AUC drop was Kazakhstan (0.766 → 0.564, Δ=0.202). Zhu 2022 showed the largest LightGBM drop (0.979 →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 Ling 2020 also experienced substantial LOCO collapse: logistic regression 0.865 → 0.678 (Δ=0.187); LightGBM 0.862 → 0.674 (Δ=0.188).</w:t>
      </w:r>
    </w:p>
    <w:p>
      <w:pPr>
        <w:pStyle w:val="BodyText"/>
      </w:pPr>
      <w:r>
        <w:rPr>
          <w:b/>
          <w:bCs/>
        </w:rPr>
        <w:t xml:space="preserve">Formal paired comparison of the within-cohort vs. LOCO AUC difference (Section 2.5.2).</w:t>
      </w:r>
      <w:r>
        <w:t xml:space="preserve"> </w:t>
      </w:r>
      <w:r>
        <w:t xml:space="preserve">A paired, diagnosis-stratified, participant-level bootstrap (10,000 replicates, identical resampled participants used for both AUC values in each replicate) formally compared the within-cohort and LOCO AUC difference for each of the eight cohort–model pairs, rather than relying on non-overlap of independently computed CIs, which is not a formal test of a nonzero difference. Five of eight pairs showed a 95% bootstrap CI on the delta excluding zero: Ling 2020 (logistic regression Δ=0.187, 95% CI [0.10, 0.28]; LightGBM Δ=0.188, 95% CI [0.10, 0.28]), Zhu 2022 (logistic regression Δ=0.184, 95% CI [0.07, 0.31]; LightGBM Δ=0.221, 95% CI [0.11, 0.35]), and Kazakhstan logistic regression (Δ=0.201, 95% CI [0.04, 0.36]). The remaining three — Zhuang 2018 logistic regression (Δ=0.129, 95% CI [−0.05, 0.30], proportion Δ≤0: 0.079), Zhuang 2018 LightGBM (Δ=0.070, 95% CI [−0.10, 0.24], proportion Δ≤0: 0.214), and Kazakhstan LightGBM (Δ=0.104, 95% CI [−0.05, 0.26], proportion Δ≤0: 0.092) — showed the same-signed (within-cohort higher) point estimate but a CI including zero, not formally significant despite the consistent direction across all eight pairs. The aggregate pattern of reduced cross-cohort performance is robust, but three of eight individual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0.813), while Zhuang 2018 collapsed to near chance. Only one of eight main model–cohort combinations fell to near chance, and five of eight exceeded 0.55, so the results demonstrate substantial and variable degradation rather than uniform failure.</w:t>
      </w:r>
    </w:p>
    <w:p>
      <w:pPr>
        <w:pStyle w:val="BodyText"/>
      </w:pPr>
      <w:r>
        <w:rPr>
          <w:b/>
          <w:bCs/>
        </w:rPr>
        <w:t xml:space="preserve">Sensitivity analyses</w:t>
      </w:r>
      <w:r>
        <w:t xml:space="preserve"> </w:t>
      </w:r>
      <w:r>
        <w:t xml:space="preserve">confirmed generalization failure was not attributable to Kazakhstan, Zhuang 2018, or Ling 2020 individually (Supplementary Figure S3). Excluding Kazakhstan and running LOCO on the three remaining Chinese cohorts, Zhuang 2018 remained near chance (LogReg 0.512, LightGBM 0.567), showing its generalization failure is not a Kazakhstan artifact. Excluding Zhuang 2018, LOCO on the remaining three still showed AUC substantially below within-cohort baseline for Kazakhstan (LogReg 0.599, LightGBM 0.495). Excluding Ling 2020, Kazakhstan LOCO LogReg was 0.604. These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 changed LOCO AUC by at most 0.066 in either direction (largest: Kazakhstan LightGBM 0.591→0.525, Δ=−0.066; Kazakhstan LogReg 0.564→0.609, Δ=+0.045; all others ≤0.031). Retained genus count under strict training-only selection ranged from 150 (Kazakhstan, a comparatively high-prevalence cohort for many genera, excluded from feature selection during its own hold-out) to 373, versus 396 under the global rule, yet no cohort–model combination changed its qualitative classification. Within-cohort nested-CV AUC under training-only selection likewise moved by −0.083 to +0.038 (Supplementary Table S4). The global feature-selection design, while a genuine methodological limitation in principle, did not materially inflate or deflate the magnitude of the reported cross-cohort generalization failure.</w:t>
      </w:r>
    </w:p>
    <w:p>
      <w:pPr>
        <w:pStyle w:val="BodyText"/>
      </w:pPr>
      <w:r>
        <w:t xml:space="preserve">Pairwise single-cohort transfer AUC values (Figure 3B–C; Supplementary Table S1) ranged from 0.54 to 0.88 for logistic regression. The highest was Ling 2020 → Zhu 2022 (AUC=0.88), reflecting transfer between two large Chinese fecal cohorts with overlapping compositional structure; Kazakhstan → Ling 2020 also transferred reasonably (AUC=0.74). Most other pairwise AUCs clustered between 0.54 and 0.70, consistent with limited cross-cohort transferability overall.</w:t>
      </w:r>
    </w:p>
    <w:bookmarkEnd w:id="28"/>
    <w:bookmarkStart w:id="29" w:name="permanova-variance-decomposition-1"/>
    <w:p>
      <w:pPr>
        <w:pStyle w:val="Heading3"/>
      </w:pPr>
      <w:r>
        <w:t xml:space="preserve">3.4 PERMANOVA Variance Decomposition</w:t>
      </w:r>
    </w:p>
    <w:p>
      <w:pPr>
        <w:pStyle w:val="FirstParagraph"/>
      </w:pPr>
      <w:r>
        <w:t xml:space="preserve">PERMANOVA on Aitchison distance across all five cohorts showed cohort identity explained 19.3% of total compositional variance (R²=0.193, F=30.13, p=0.0001, 9,999 permutations; Figure 4A). On Bray-Curtis dissimilarity, cohort R² was 0.136 (F=19.80, p=0.0001). Cohort-associated compositional variation was substantially larger than diagnosis-associated variation in this pooled four-cohort model: in a marginal two-variable model restricted to the four labeled cohorts (n=401), cohort explained R²=0.172 (F=28.03, p=0.0001) versus diagnosis R²=0.014 (F=6.82, p=0.0001) — an approximately 12-fold disparity within the same model. This is an empirical statement about relative magnitude, not a decomposition of cohort into technical and biological components:</w:t>
      </w:r>
      <w:r>
        <w:t xml:space="preserve"> </w:t>
      </w:r>
      <w:r>
        <w:t xml:space="preserve">“cohort”</w:t>
      </w:r>
      <w:r>
        <w:t xml:space="preserve"> </w:t>
      </w:r>
      <w:r>
        <w:t xml:space="preserve">bundles sequencing platform, library preparation, recruitment site, diagnostic ascertainment, and unmeasured dietary/lifestyle factors that PERMANOVA cannot separate (Section 2.6). It contextualizes the batch-correction results in Section 3.5, but marginal R² values do not by themselves establish that the cohort and diagnosis axes overlap, nor explain why any batch-correction algorithm changed classifier performance in a specific direction —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specification to the three more technically comparable cohorts — Zhuang 2018, Ling 2020, and Zhu 2022, all Chinese, paired-end MiSeq V3–V4 studies (Section 2.6) — reduced the disparity from ~12-fold to ~2.6-fold: cohort R²=0.0588 (F=10.05, p=0.0001) versus diagnosis R²=0.0229 (F=7.83, p=0.0001) in this n=317 subset (Supplementary Table S11). This subset is more comparable, not identical — recruitment site, exact diagnostic procedure, and unmeasured dietary factors still differ — but removing Kazakhstan’s single-end/NovaSeq platform and Kim/KBASE’s separate country substantially changes the cohort-to-diagnosis variance ratio. The ~12-fold figure on the full four-cohort set is therefore not a stable, generalizable property of</w:t>
      </w:r>
      <w:r>
        <w:t xml:space="preserve"> </w:t>
      </w:r>
      <w:r>
        <w:t xml:space="preserve">“cohort effects versus disease effects”</w:t>
      </w:r>
      <w:r>
        <w:t xml:space="preserve"> </w:t>
      </w:r>
      <w:r>
        <w:t xml:space="preserve">in gut microbiome data; it is specific to the cohorts compared, driven substantially by cohorts differing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 cohort membership is thus near-perfectly recoverable from the same features used for disease classification, confirming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Kim/KBASE 2022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PERMANOVA R²=0.193 reflects both compositional centroid shifts and differences in within-cohort spread. Kazakhstan showed the greatest within-cohort variance; the Chinese cohorts (Zhuang 2018, Ling 2020) were more tightly dispersed. Pairwise post-hoc betadisper comparisons (Section 2.6; Supplementary Table S12) show this is not uniform across all pairs: Ling 2020 differs significantly from every other cohort (all Holm-adjusted p≤0.0420) and drives most of the significant comparisons, while Zhu 2022 vs. Zhuang 2018 (Holm p=0.439) and Kazakhstan vs. Kim/KBASE 2022 (Holm p=0.439) do not differ significantly. Within the Chinese-MiSeq-only subset, dispersion remained significant overall (F=7.946, p=0.0004): Zhuang 2018 differed significantly from Ling 2020 after Holm correction (raw p=0.0001, Holm-adjusted p=0.0003), but its difference from Zhu 2022 did not survive Holm correction (raw p=0.026, Holm-adjusted p=0.052), and Ling 2020 and Zhu 2022 did not differ (p=0.343). This heterogeneity is relevant to interpreting PERMANOVA effect sizes and is acknowledged in Methods and Limitations.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significance at α=0.05. These effect sizes broadly rank-order with within-cohort AUC performance, triangulating the classifier results. Zhu 2022’s fecal-only R²=0.094 is the highest within-cohort disease effect among the four labeled cohorts, consistent with a detectable diagnosis-associated compositional difference.</w:t>
      </w:r>
    </w:p>
    <w:bookmarkEnd w:id="29"/>
    <w:bookmarkStart w:id="30" w:name="X8a4cae611663d9151f238225546a12848e1cfed"/>
    <w:p>
      <w:pPr>
        <w:pStyle w:val="Heading3"/>
      </w:pPr>
      <w:r>
        <w:t xml:space="preserve">3.5 Label-Blind Transductive Batch Adjustment Does Not Improve Cross-Cohort Transferability</w:t>
      </w:r>
    </w:p>
    <w:p>
      <w:pPr>
        <w:pStyle w:val="FirstParagraph"/>
      </w:pPr>
      <w:r>
        <w:t xml:space="preserve">Batch correction was applied using ComBat-seq (raw counts) and MMUPHin (relative abundances) to the four labeled cohorts with cohort as the batch variable, under the two designs of Section 2.7: a</w:t>
      </w:r>
      <w:r>
        <w:t xml:space="preserve"> </w:t>
      </w:r>
      <w:r>
        <w:rPr>
          <w:b/>
          <w:bCs/>
        </w:rPr>
        <w:t xml:space="preserve">label-blind</w:t>
      </w:r>
      <w:r>
        <w:t xml:space="preserve"> </w:t>
      </w:r>
      <w:r>
        <w:t xml:space="preserve">design (no diagnosis information used; primary analysis) and a</w:t>
      </w:r>
      <w:r>
        <w:t xml:space="preserve"> </w:t>
      </w:r>
      <w:r>
        <w:rPr>
          <w:b/>
          <w:bCs/>
        </w:rPr>
        <w:t xml:space="preserve">label-informed</w:t>
      </w:r>
      <w:r>
        <w:t xml:space="preserve"> </w:t>
      </w:r>
      <w:r>
        <w:t xml:space="preserve">design (each sample’s own true diagnosis label used; exploratory sensitivity only) (Figure 5; Table 4).</w:t>
      </w:r>
    </w:p>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which use no sample’s diagnosis label — mean LOCO AUC changed by no more than 0.007 in either direction relative to uncorrected, for either model (Table 4). No individual cohort collapsed: per-cohort logistic-regression LOCO AUC under label-blind ComBat-seq ranged from 0.525 (Zhuang 2018) to 0.769 (Zhu 2022), closely tracking the uncorrected values (0.504–0.813). Neither method materially changed mean LOCO AUC or recovered cross-cohort transferability under this design.</w:t>
      </w:r>
    </w:p>
    <w:p>
      <w:pPr>
        <w:pStyle w:val="BodyText"/>
      </w:pPr>
      <w:r>
        <w:rPr>
          <w:b/>
          <w:bCs/>
        </w:rPr>
        <w:t xml:space="preserve">Label-informed transductive sensitivity analysis (Supplementary Figure S4): severe degradation was specific to the label-informed design itself.</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Kazakhstan collapsing to AUC=0.308 [0.20–0.42]. The same cohort under label-blind ComBat-seq scored 0.560, closely matching its uncorrected value (0.564). This side-by-side comparison indicates the severe, cohort-specific collapse was specific to the label-informed design — consistent with a correction model explicitly told each sample’s diagnosis label (</w:t>
      </w:r>
      <w:r>
        <w:rPr>
          <w:rStyle w:val="VerbatimChar"/>
        </w:rPr>
        <w:t xml:space="preserve">full_mod=TRUE</w:t>
      </w:r>
      <w:r>
        <w:t xml:space="preserve">/</w:t>
      </w:r>
      <w:r>
        <w:rPr>
          <w:rStyle w:val="VerbatimChar"/>
        </w:rPr>
        <w:t xml:space="preserve">covariates="diagnosis"</w:t>
      </w:r>
      <w:r>
        <w:t xml:space="preserve">) constructing a label-conditional transformation with no prospective analog — and should not be read as evidence that these methods generally degrade cross-cohort performance, or of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 a comparison free of diagnosis-label leakage during correction, since label-blind correction never saw any sample’s diagnosis label, though it remains transductive (cohort membership and raw feature values are still used) and retains whatever cohort/population confounding is otherwise present. We do not draw the same conclusion from within-cohort AUC on label-informed-corrected data, since that comparison is additionally confounded by label use: the label-informed correction’s covariate-preservation mechanism (</w:t>
      </w:r>
      <w:r>
        <w:rPr>
          <w:rStyle w:val="VerbatimChar"/>
        </w:rPr>
        <w:t xml:space="preserve">full_mod=TRUE</w:t>
      </w:r>
      <w:r>
        <w:t xml:space="preserve">/</w:t>
      </w:r>
      <w:r>
        <w:rPr>
          <w:rStyle w:val="VerbatimChar"/>
        </w:rPr>
        <w:t xml:space="preserve">covariates="diagnosis"</w:t>
      </w:r>
      <w:r>
        <w:t xml:space="preserve">) is explicitly designed to retain diagnosis-associated structure using each sample’s true label, so preserved within-cohort separability cannot be attributed to correction-independent biological signal versus the algorithm’s own label-preservation step. Only the label-blind design supports the conclusion that</w:t>
      </w:r>
      <w:r>
        <w:t xml:space="preserve"> </w:t>
      </w:r>
      <w:r>
        <w:t xml:space="preserve">“within-cohort AUC preservation rules out indiscriminate signal removal”</w:t>
      </w:r>
      <w:r>
        <w:t xml:space="preserve"> </w:t>
      </w:r>
      <w:r>
        <w:t xml:space="preserve">(descriptively, per Supplementary Table S5);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contextualizes why a correction method targeting cohort-associated variance might struggle to leave disease-associated variance fully intact, but does not by itself establish that the two sources overlap, nor explain the specific pattern observed here — a label-blind correction leaving performance essentially flat while a label-informed one produced large, method- and cohort-specific movements. That pattern is more directly explained by the transductive, label-informed design itself (Section 2.7) than by the general cohort/diagnosis variance disparity, and we present it as such rather than as a demonstration that linear batch correction cannot separate cohort from disease signal in general.</w:t>
      </w:r>
    </w:p>
    <w:bookmarkEnd w:id="30"/>
    <w:bookmarkStart w:id="31"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feature-level patterns underlying generalization failure, we computed out-of-fold SHAP values for within-cohort and LOCO-trained classifiers (Figure 6). The OOF design avoids the in-sample overfitting bias seen in prior SHAP analyses of microbiome classifiers, where training-set SHAP values can reflect model memorization rather than out-of-sample importance. Feature importance (mean |SHAP|) is reported for both models; direction is reported only for logistic regression, using the fitted-coefficient-based definition of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(100,000 replicates, each averaging six pairwise Jaccards among four random top-20 sets drawn from the full 396-genus pool; Section 2.8), logistic regression overlap was significantly above chance (null mean 0.027 [95% CI: 0.009–0.049]; p&lt;0.0001), as was LightGBM at this N (p=0.0048). A sensitivity check across N∈{10,20,50} under this null (Supplementary Table S7) shows logistic regression significant at all three thresholds, while LightGBM was significant at N=20 and N=50 but not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equally available in every cohort, but per-cohort prevalence varies substantially (Section 2.8). Restricting each cohort’s top-N ranking and random draws to genera reaching ≥20% prevalence within that cohort’s own AD/CN samples (eligible universe: 131 Zhuang 2018, 126 Ling 2020, 115 Zhu 2022, 356 Kazakhstan; 100,000 replicates per model/N) changes the LightGBM result: overlap was</w:t>
      </w:r>
      <w:r>
        <w:t xml:space="preserve"> </w:t>
      </w:r>
      <w:r>
        <w:rPr>
          <w:b/>
          <w:bCs/>
        </w:rPr>
        <w:t xml:space="preserve">not significant at N=10, 20, or 50</w:t>
      </w:r>
      <w:r>
        <w:t xml:space="preserve"> </w:t>
      </w:r>
      <w:r>
        <w:t xml:space="preserve">(observed mean Jaccard 0.018/0.063/0.167 vs. null 0.026/0.052/0.142; p=0.80, 0.24, 0.061; Supplementary Table S13). Logistic regression remained significant at all three thresholds (observed 0.085/0.135/0.231 vs. null 0.026/0.052/0.142; p=0.0017, 0.00003, 0.00001). We treat this as a genuine reversal: LightGBM’s apparent cross-cohort overlap is not distinguishable from chance once the null accounts for each cohort’s own prevalence structure, while logistic regression’s overlap is robust and remains the stronger of the two findings.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topped the remaining three cohorts (Zhu 2022 |SHAP|=0.228; Kazakhstan |SHAP|=0.136; Ling 2020 |SHAP|=0.270). Under the fitted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(10/10 outer folds positive in every cohort; Supplementary Table S6) — higher CLR abundance consistently predicts higher AD log-odds, with no coefficient-based flip anywhere. This is a useful negative control: pooled mean SHAP for this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actually learned, but is instead a background-relative artifact (Section 2.8), demonstrating on real data why mean signed SHAP was inadequate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values (Section 2.8).</w:t>
      </w:r>
    </w:p>
    <w:p>
      <w:pPr>
        <w:pStyle w:val="BodyText"/>
      </w:pPr>
      <w:r>
        <w:rPr>
          <w:b/>
          <w:bCs/>
        </w:rPr>
        <w:t xml:space="preserve">Coefficient-sign stability screen (logistic regression only).</w:t>
      </w:r>
      <w:r>
        <w:t xml:space="preserve"> </w:t>
      </w:r>
      <w:r>
        <w:t xml:space="preserve">Using the pre-specified criterion (Section 2.8: stable positive coefficient sign in ≥8/10 outer folds in ≥1 cohort, stable negative in ≥8/10 folds in ≥1 other,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deliberately a descriptive screen, not a statistically confirmed set: the 10 outer-CV folds share substantially overlapping training sets, so fold-level coefficient signs are not independent replications, and no multiplicity-adjusted p-value is assigned to any taxon (Section 2.8, Limitations). It is a smaller, more conservative set than a less rigorous alternative that classifies any genus with opposite-signed pooled mean SHAP across two cohorts as a</w:t>
      </w:r>
      <w:r>
        <w:t xml:space="preserve"> </w:t>
      </w:r>
      <w:r>
        <w:t xml:space="preserve">“flip”</w:t>
      </w:r>
      <w:r>
        <w:t xml:space="preserve"> </w:t>
      </w:r>
      <w:r>
        <w:t xml:space="preserve">— which, applied here, would identify twelve genera; the stability requirement removes flips not reproducible across most of a cohort’s own outer folds. No comparable screen is applied to LightGBM, which has no coefficient-like, globally monotonic direction and may have nonlinear SHAP–feature relationships.</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Consistent with Section 2.8, we do not assign an AD/CN direction to these values: the LOCO SHAP background (three training cohorts) and evaluation set (held-out cohort) are drawn from systematically different populations by construction, confounding sign with the raw cross-cohort compositional difference quantified by PERMANOVA (Section 3.4) rather than reflecting a stable, model-derived direction. The absence of a single top-importance genus across all four held-out cohorts is consistent with the classifier activating whichever genera most resemble its training-cohort signature rather than a disease marker generalizing across populations.</w:t>
      </w:r>
    </w:p>
    <w:p>
      <w:r>
        <w:pict>
          <v:rect style="width:0;height:1.5pt" o:hralign="center" o:hrstd="t" o:hr="t"/>
        </w:pict>
      </w:r>
    </w:p>
    <w:bookmarkEnd w:id="31"/>
    <w:bookmarkEnd w:id="32"/>
    <w:bookmarkStart w:id="39" w:name="discussion"/>
    <w:p>
      <w:pPr>
        <w:pStyle w:val="Heading2"/>
      </w:pPr>
      <w:r>
        <w:t xml:space="preserve">4. Discussion</w:t>
      </w:r>
    </w:p>
    <w:bookmarkStart w:id="33"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0.176 for logistic regression and 0.146 for LightGBM, with one of eight model–cohort combinations near chance, demonstrates that within-cohort performance figures — from the original publications or from this study’s own nested-CV estimates — cannot be taken as evidence of a generalizable diagnostic signal. A formal paired bootstrap test (Section 3.3) supports this drop for five of eight cohort–model pairs at conventional significance; the remaining three show the same directional pattern without reaching formal significance at this sample size, a distinction we report rather than treat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contradictory reports for</w:t>
      </w:r>
      <w:r>
        <w:t xml:space="preserve"> </w:t>
      </w:r>
      <w:r>
        <w:rPr>
          <w:i/>
          <w:iCs/>
        </w:rPr>
        <w:t xml:space="preserve">Akkermansia</w:t>
      </w:r>
      <w:r>
        <w:t xml:space="preserve"> </w:t>
      </w:r>
      <w:r>
        <w:t xml:space="preserve">(Liu et al., 2019), and highly cohort-specific patterns reported elsewhere all suggest population-level heterogeneity. A recent multi-cohort integration study (Wang et al., 2026, mSystems) similarly identified cross-geographic heterogeneity as a major obstacle; the present analysis complements that work by quantifying how severely within-cohort classifiers fail on external populations, and by showing neither correction method recovered cross-cohort transferability on average.</w:t>
      </w:r>
    </w:p>
    <w:bookmarkEnd w:id="33"/>
    <w:bookmarkStart w:id="34" w:name="Xbcb159aba27123b659b16bd390bd633d900cb9e"/>
    <w:p>
      <w:pPr>
        <w:pStyle w:val="Heading3"/>
      </w:pPr>
      <w:r>
        <w:t xml:space="preserve">4.2 Batch-Adjustment Results and Limits of Mechanistic Interpretation</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12-fold figure is not fixed, however: restricted to the three more technically comparable Chinese paired-end MiSeq cohorts, the same comparison falls to approximately 2.6-fold (cohort R²=0.059 vs. diagnosis R²=0.023; Section 3.4), and the significant beta-dispersion difference among cohorts (Section 3.4) means these R² values reflect both centroid separation and within-cohort spread, limiting a simple centroid-distance interpretation of cohort separation. Compositional structure was strongly associated with cohort-of-origin in the evaluated datasets, but the magnitude is sensitive to cohort composition and dispersion structure, not a single stable number. Separately: batch correction, evaluated under a label-blind design using no sample’s diagnosis label, left mean LOCO AUC essentially unchanged (within 0.007 AUC of uncorrected for both methods, both models; Section 3.5) — neither recovering cross-cohort transferability nor substantially degrading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known, controlled cohort/diagnosis-axis overlap) capable of testing it. We present this as a hypothesis consistent with the observed pattern, not a demonstrated mechanism, and no longer state that batch correction cannot work in general or that this analysis proves cohort and disease axes overlap.</w:t>
      </w:r>
    </w:p>
    <w:p>
      <w:pPr>
        <w:pStyle w:val="BodyText"/>
      </w:pPr>
      <w:r>
        <w:t xml:space="preserve">Under the label-informed design, in which ComBat-seq and MMUPHin were told every sample’s own true diagnosis label during a joint fit across all four labeled cohorts (Section 2.7), ComBat-seq’s correction substantially worsened LOCO AUC (mean LogReg: 0.640→0.493, one cohort collapsing to AUC=0.308). The identical comparison under a label-blind design — same cohorts, features, and downstream classifiers, only omitting the diagnosis label from correction — instead reproduces essentially flat LOCO AUC (Section 3.5, Table 4), indicating the severe degradation was specific to the label-informed design rather than evidence these methods generally degrade cross-cohort performance, or of an intrinsic incompatibility between ComBat-seq’s negative-binomial framework and 16S compositional data. One hypothesis consistent with this pattern, not established by it, is that a correction model explicitly told each sample’s diagnosis label constructs a label-conditional transformation with no prospective analog. We therefore do not attribute the label-informed collapse to a property of ComBat-seq’s modeling framework, and retain those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useful result for the field — is narrower than originally stated: under label-blind transductive evaluation, two widely used batch-correction methods designed for other data types (RNA-seq counts; general microbiome meta-analysis) did not recover cross-cohort transferability for AD classification in this dataset. This demonstrates ineffectiveness at the specific task, not that these methods actively destroy signal, nor a mechanistic explanation of why such correction is difficult. The field may still need fundamentally different approaches — multi-cohort training with cohort as an explicit stratification variable, domain adaptation methods, or meta-analytic frameworks that model between-cohort heterogeneity rather than attempting to remove it — but we no longer claim to have shown mechanistically why standard correction fails, only that it did not succeed under the conditions tested here.</w:t>
      </w:r>
    </w:p>
    <w:bookmarkEnd w:id="34"/>
    <w:bookmarkStart w:id="35"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Blood samples were excluded because blood and fecal microbiome communities are fundamentally distinct compartments; including both would introduce a sample-type confound structurally identical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harder to attribute to a single confound. The small sample size (30 per class) is relevant — each 10-fold CV test fold contains ~6 samples, so single-fold AUC estimates can be highly variable — and Zhu 2022 showed the largest detectable diagnosis-associated compositional effect (R²=0.094, F=6.01, p=0.0001) of the four labeled cohorts. The repeated-CV and label-permutation analyses (Section 2.4.1, Section 3.2) show this estimate is stable to fold assignment and clearly distinguishable from a chance-label null; it may nonetheless overstate population-level performance, being derived from only 60 participants without independent replication.</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suggesting the classification pattern learned here is somewhat consistent with the Chinese and Kazakh training cohorts, unlike a spurious compartment-discrimination signal that mixed-compartment pooling would have produced — a design this study avoided by excluding blood samples at the outset (Section 2.4). We recommend future AD microbiome studies report sample types explicitly and analyze each compartment independently before pooling.</w:t>
      </w:r>
    </w:p>
    <w:bookmarkEnd w:id="35"/>
    <w:bookmarkStart w:id="36" w:name="X8760b2c7f44609ac2536b415795b45d841bbb3a"/>
    <w:p>
      <w:pPr>
        <w:pStyle w:val="Heading3"/>
      </w:pPr>
      <w:r>
        <w:t xml:space="preserve">4.4 Coefficient-Sign Stability Screen: Descriptive Cross-Cohort Direction Heterogeneity</w:t>
      </w:r>
    </w:p>
    <w:p>
      <w:pPr>
        <w:pStyle w:val="FirstParagraph"/>
      </w:pPr>
      <w:r>
        <w:t xml:space="preserve">As reported in Section 3.6, eight genera met the pre-specified coefficient-sign-stability screen (≥8/10 outer folds agreeing in sign; Section 2.8)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present this descriptively, not as statistically confirmed contradictions — the 10 outer-CV folds share overlapping training data, so fold-level signs are not independent replications, and we assign no multiplicity-adjusted p-values. A less conservative alternative (opposite-signed pooled mean SHAP across two cohorts, a background-relative quantity, not the coefficient) would identify twelve genera for each model; requiring reproducibility across a cohort’s own outer folds and grounding direction in the fitted coefficient is why this paper reports eight genera for logistic regression and none for LightGBM, which has no coefficient-like global direction to test.</w:t>
      </w:r>
    </w:p>
    <w:p>
      <w:pPr>
        <w:pStyle w:val="BodyText"/>
      </w:pPr>
      <w:r>
        <w:rPr>
          <w:i/>
          <w:iCs/>
        </w:rPr>
        <w:t xml:space="preserve">Romboutsia</w:t>
      </w:r>
      <w:r>
        <w:t xml:space="preserve"> </w:t>
      </w:r>
      <w:r>
        <w:t xml:space="preserve">shows the cleanest cohort-level pattern: stable-negative in all three Chinese cohorts, stable-positive in Kazakhstan; we offer no mechanistic hypothesis.</w:t>
      </w:r>
      <w:r>
        <w:t xml:space="preserve"> </w:t>
      </w:r>
      <w:r>
        <w:rPr>
          <w:i/>
          <w:iCs/>
        </w:rPr>
        <w:t xml:space="preserve">Lactobacillus</w:t>
      </w:r>
      <w:r>
        <w:t xml:space="preserve"> </w:t>
      </w:r>
      <w:r>
        <w:t xml:space="preserve">also meets the screen but does not cleanly separate by country (stable-negative in Zhuang 2018 only). Diet is a plausible unmeasured confounder generally, but this dataset has no dietary covariate data, so we attribute no taxon’s pattern to a specific mechanism.</w:t>
      </w:r>
      <w:r>
        <w:t xml:space="preserve"> </w:t>
      </w:r>
      <w:r>
        <w:rPr>
          <w:i/>
          <w:iCs/>
        </w:rPr>
        <w:t xml:space="preserve">Akkermansia</w:t>
      </w:r>
      <w:r>
        <w:t xml:space="preserve"> </w:t>
      </w:r>
      <w:r>
        <w:t xml:space="preserve">illustrates why the coefficient-based, stability-gated definition matters: its pooled mean SHAP appears to reverse sign between cohorts (Section 3.6), but its fitted coefficient is positive and stable in all four cohorts (Supplementary Table S6) — the model never learned an inconsistent direction; the apparent reversal is a background-relative SHAP artifact, not the fitted model.</w:t>
      </w:r>
    </w:p>
    <w:p>
      <w:pPr>
        <w:pStyle w:val="BodyText"/>
      </w:pPr>
      <w:r>
        <w:t xml:space="preserve">The eight taxa meeting this screen may reflect biological population heterogeneity, technical study effects, or both; the design cannot disentangle these sources, nor does the screen establish that any taxon’s pattern exceeds what a non-independent, overlapping-fold estimate could show by chance. If some directional disagreements arise from biological population differences rather than technical artifacts, technical batch correction would not necessarily resolve them; the present design cannot determine which source dominates, consistent with Section 4.2’s finding that label-blind correction left cross-cohort AUC essentially unchanged.</w:t>
      </w:r>
    </w:p>
    <w:bookmarkEnd w:id="36"/>
    <w:bookmarkStart w:id="37" w:name="implications-for-clinical-translation"/>
    <w:p>
      <w:pPr>
        <w:pStyle w:val="Heading3"/>
      </w:pPr>
      <w:r>
        <w:t xml:space="preserve">4.5 Implications for Clinical Translation</w:t>
      </w:r>
    </w:p>
    <w:p>
      <w:pPr>
        <w:pStyle w:val="FirstParagraph"/>
      </w:pPr>
      <w:r>
        <w:t xml:space="preserve">These results suggest gut microbiome-based AD classifiers are not ready for clinical deployment across heterogeneous external cohorts without prospective validation. A classifier trained on Zhuang 2018 and applied to Kazakhstan achieved AUC=0.566 for logistic regression and AUC=0.493 for LightGBM — near chance and inadequate for diagnostic deployment.</w:t>
      </w:r>
    </w:p>
    <w:p>
      <w:pPr>
        <w:pStyle w:val="BodyText"/>
      </w:pPr>
      <w:r>
        <w:t xml:space="preserve">We propose three prerequisites for meaningful clinical translation: (1)</w:t>
      </w:r>
      <w:r>
        <w:t xml:space="preserve"> </w:t>
      </w:r>
      <w:r>
        <w:rPr>
          <w:b/>
          <w:bCs/>
        </w:rPr>
        <w:t xml:space="preserve">Multi-cohort harmonized training data</w:t>
      </w:r>
      <w:r>
        <w:t xml:space="preserve"> </w:t>
      </w:r>
      <w:r>
        <w:t xml:space="preserve">— classifiers should train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w:t>
      </w:r>
      <w:r>
        <w:t xml:space="preserve">— any future study reporting a gut microbiome AD classifier should validate performance on at least one independent cohort from a different geographic population before claiming clinical relevance; within-cohort AUC alone, however high, is an insufficient evidential standard. (3)</w:t>
      </w:r>
      <w:r>
        <w:t xml:space="preserve"> </w:t>
      </w:r>
      <w:r>
        <w:rPr>
          <w:b/>
          <w:bCs/>
        </w:rPr>
        <w:t xml:space="preserve">Covariate-adjusted models</w:t>
      </w:r>
      <w:r>
        <w:t xml:space="preserve"> </w:t>
      </w:r>
      <w:r>
        <w:t xml:space="preserve">— diet, geographic origin, antibiotic history, and other known microbiome-modulating covariates should be measured and accounted for through study design, stratification, covariate adjustment, or sensitivity analysis, reducing the influence of population-specific compositional baselines.</w:t>
      </w:r>
    </w:p>
    <w:p>
      <w:pPr>
        <w:pStyle w:val="BodyText"/>
      </w:pPr>
      <w:r>
        <w:t xml:space="preserve">Multi-cohort harmonized collection has succeeded in other biomarker domains (e.g., UK Biobank for genomic predictors, ADNI for neuroimaging). A parallel initiative — a consortium of AD microbiome studies committed to harmonized collection protocols and prospective cross-cohort sharing — would be the most direct route to a clinically actionable microbiome diagnostic.</w:t>
      </w:r>
    </w:p>
    <w:bookmarkEnd w:id="37"/>
    <w:bookmarkStart w:id="38"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(Section 2.1, Supplementary Note S1) identified five publicly available cohorts — not exhaustive of all existing AD microbiome studies, and additional non-Asian cohorts would strengthen the conclusions. Diagnostic-criteria comparability (clinical AD diagnosis vs. amyloid-PET positivity) adds biological heterogeneity not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 a technical asymmetry that cannot be disentangled from biological population differences here.</w:t>
      </w:r>
    </w:p>
    <w:p>
      <w:pPr>
        <w:pStyle w:val="BodyText"/>
      </w:pPr>
      <w:r>
        <w:rPr>
          <w:b/>
          <w:bCs/>
        </w:rPr>
        <w:t xml:space="preserve">Kim/KBASE 2022 excluded from supervised analyses:</w:t>
      </w:r>
      <w:r>
        <w:t xml:space="preserve"> </w:t>
      </w:r>
      <w:r>
        <w:t xml:space="preserve">Per-sample amyloid-PET diagnosis labels are IRB-restricted. This cohort (78 participants; 18 amyloid-positive preclinical AD, 60 CN) contributed only to PERMANOVA variance decomposition.</w:t>
      </w:r>
    </w:p>
    <w:p>
      <w:pPr>
        <w:pStyle w:val="BodyText"/>
      </w:pPr>
      <w:r>
        <w:rPr>
          <w:b/>
          <w:bCs/>
        </w:rPr>
        <w:t xml:space="preserve">China overrepresentation:</w:t>
      </w:r>
      <w:r>
        <w:t xml:space="preserve"> </w:t>
      </w:r>
      <w:r>
        <w:t xml:space="preserve">Three of the four labeled cohorts are Chinese, so the cross-cohort experiment is primarily a China-internal transfer (Zhuang ↔ Ling ↔ Zhu 2022) plus transfer to/from a single Central Asian cohort. A more geographically balanced design — North American, European, African populations — would be needed to generalize the conclusions further.</w:t>
      </w:r>
    </w:p>
    <w:p>
      <w:pPr>
        <w:pStyle w:val="BodyText"/>
      </w:pPr>
      <w:r>
        <w:rPr>
          <w:b/>
          <w:bCs/>
        </w:rPr>
        <w:t xml:space="preserve">Partial SRA deposit for Zhu 2022:</w:t>
      </w:r>
      <w:r>
        <w:t xml:space="preserve"> </w:t>
      </w:r>
      <w:r>
        <w:t xml:space="preserve">The public archive contains 180 samples representing 90 participants, a subset of the 302 analyzed in the published study (PRJNA489760), which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so the eventual held-out cohort in every LOCO/pairwise experiment contributed prevalence information. A training-only sensitivity analysis (Section 2.5.1, Section 3.3), run under the same prespecified</w:t>
      </w:r>
      <w:r>
        <w:t xml:space="preserve"> </w:t>
      </w:r>
      <w:r>
        <w:rPr>
          <w:rStyle w:val="VerbatimChar"/>
        </w:rPr>
        <w:t xml:space="preserve">random_state=42</w:t>
      </w:r>
      <w:r>
        <w:t xml:space="preserve"> </w:t>
      </w:r>
      <w:r>
        <w:t xml:space="preserve">partition used throughout, re-derived genus selection independently within every split and found LOCO AUC changed by at most 0.066 — the generalization-failure conclusion is not an artifact of this design — but global selection remains a methodological limitation in principle, and we recommend training-only feature selection as the default for future cross-cohort microbiome classifier studies. Repeated cross-validation with multiple seeds was not performed for this sensitivity analysis, so 0.066 is a single-partition estimate, not one adjusted for fold-assignment variability.</w:t>
      </w:r>
    </w:p>
    <w:p>
      <w:pPr>
        <w:pStyle w:val="BodyText"/>
      </w:pPr>
      <w:r>
        <w:rPr>
          <w:b/>
          <w:bCs/>
        </w:rPr>
        <w:t xml:space="preserve">PERMANOVA cannot decompose cohort into technical and biological sources, and the cohort-versus-diagnosis disparity is sensitive to which cohorts are compared.</w:t>
      </w:r>
      <w:r>
        <w:t xml:space="preserve"> </w:t>
      </w:r>
      <w:r>
        <w:t xml:space="preserve">“Cohort”</w:t>
      </w:r>
      <w:r>
        <w:t xml:space="preserve"> </w:t>
      </w:r>
      <w:r>
        <w:t xml:space="preserve">here is a composite variable bundling sequencing platform, library preparation, recruitment site, diagnostic ascertainment, and unmeasured dietary/lifestyle differences that PERMANOVA and betadisper cannot separate (Section 2.6). As shown in Section 3.4, the ~12-fold disparity across all four labeled cohorts fell to ~2.6-fold when restricted to the three more technically comparable Chinese paired-end MiSeq cohorts, so this ratio depends substantially on which cohorts are compared; readers should not extrapolate the ~12-fold figure elsewhere.</w:t>
      </w:r>
    </w:p>
    <w:p>
      <w:pPr>
        <w:pStyle w:val="BodyText"/>
      </w:pPr>
      <w:r>
        <w:rPr>
          <w:b/>
          <w:bCs/>
        </w:rPr>
        <w:t xml:space="preserve">Jaccard overlap significance depends on the null model chosen, and one finding reverses.</w:t>
      </w:r>
      <w:r>
        <w:t xml:space="preserve"> </w:t>
      </w:r>
      <w:r>
        <w:t xml:space="preserve">As shown in Section 3.6, LightGBM’s cross-cohort top-predictor overlap was significant at N=20/50 (not N=10) under a shared-genus-pool null but not significant at any tested N under a per-cohort prevalence-restricted null; we report both rather than selecting whichever supports a stronger claim. Logistic regression’s overlap was significant under both nulls at all tested N and is the more robust finding.</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designs estimate batch-effect parameters using the eventual held-out cohort’s own feature values and cohort membership, and neither should be extrapolated to prospective deployment. The label-informed design additionally uses every sample’s true diagnosis label and is retained only as an exploratory sensitivity; its results (including the severe Kazakhstan collapse under label-informed ComBat-seq, Section 3.5) should not be read as evidence about batch correction’s effect on biological signal in general, being substantially confounded by the design itself (Section 4.2).</w:t>
      </w:r>
    </w:p>
    <w:p>
      <w:pPr>
        <w:pStyle w:val="BodyText"/>
      </w:pPr>
      <w:r>
        <w:rPr>
          <w:b/>
          <w:bCs/>
        </w:rPr>
        <w:t xml:space="preserve">Repeated cross-validation is a fold-stability check, not independent replication; three of eight within-cohort-vs-LOCO comparisons are not formally significant.</w:t>
      </w:r>
      <w:r>
        <w:t xml:space="preserve"> </w:t>
      </w:r>
      <w:r>
        <w:t xml:space="preserve">The 50-repetition repeated nested-CV analysis for Zhu 2022 (Section 2.4.1, Section 3.2) uses the same 60 participants every repetition, quantifying sensitivity to fold assignment, not sampling variability across independent samples; the label-permutation test in that section formally tests whether observed AUC exceeds chance. Separately, the formal paired bootstrap test of within-cohort-vs-LOCO differences (Section 2.5.2, Section 3.3) found three of eight cohort–model pairs (Zhuang 2018, both models; Kazakhstan LightGBM) did not reach a 95% CI excluding zero, despite all eight showing the same-signed drop — we report this rather than treating the aggregate mean drop as equally well-supported for every pair.</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and all language throughout refers to associations and predictive performance, not causal effects.</w:t>
      </w:r>
    </w:p>
    <w:p>
      <w:pPr>
        <w:pStyle w:val="BodyText"/>
      </w:pPr>
      <w:r>
        <w:rPr>
          <w:b/>
          <w:bCs/>
        </w:rPr>
        <w:t xml:space="preserve">SHAP and coefficient-direction interpretability limitations:</w:t>
      </w:r>
      <w:r>
        <w:t xml:space="preserve"> </w:t>
      </w:r>
      <w:r>
        <w:t xml:space="preserve">As detailed in Sections 2.8 and 4.4, logistic-regression direction is defined from the fitted coefficient sign, not mean signed SHAP, and is conditional on L2 regularization (see below) and CLR-feature collinearity, not a direct estimate of biological association, significance, or causal direction. The ≥8/10-fold coefficient-sign-stability screen remains descriptive rather than a formal hypothesis test — the 10 outer-CV folds are not independent replications, and we apply no multiplicity correction or per-taxon p-value — so the eight genera meeting it should be treated as empirical patterns for targeted, covariate-adjusted, independently-replicated follow-up, not confirmed mechanistic findings. LightGBM has no coefficient-like global direction and receives no directional screen. All LOCO SHAP values (either model) remain feature-importance rankings only, with no assigned cross-cohort direction, since the LOCO SHAP background and evaluation set come from systematically different populations, confounding sign with raw cross-cohort compositional differences.</w:t>
      </w:r>
    </w:p>
    <w:p>
      <w:pPr>
        <w:pStyle w:val="BodyText"/>
      </w:pPr>
      <w:r>
        <w:rPr>
          <w:b/>
          <w:bCs/>
        </w:rPr>
        <w:t xml:space="preserve">Logistic regression models use L2 (ridge), not elastic-net, regularization:</w:t>
      </w:r>
      <w:r>
        <w:t xml:space="preserve"> </w:t>
      </w:r>
      <w:r>
        <w:t xml:space="preserve">The logistic-regression models throughout (</w:t>
      </w:r>
      <w:r>
        <w:rPr>
          <w:rStyle w:val="VerbatimChar"/>
        </w:rPr>
        <w:t xml:space="preserve">solver="saga"</w:t>
      </w:r>
      <w:r>
        <w:t xml:space="preserve">) use</w:t>
      </w:r>
      <w:r>
        <w:t xml:space="preserve"> </w:t>
      </w:r>
      <w:r>
        <w:rPr>
          <w:rStyle w:val="VerbatimChar"/>
        </w:rPr>
        <w:t xml:space="preserve">penalty="l2"</w:t>
      </w:r>
      <w:r>
        <w:t xml:space="preserve">, not</w:t>
      </w:r>
      <w:r>
        <w:t xml:space="preserve"> </w:t>
      </w:r>
      <w:r>
        <w:rPr>
          <w:rStyle w:val="VerbatimChar"/>
        </w:rPr>
        <w:t xml:space="preserve">"elasticnet"</w:t>
      </w:r>
      <w:r>
        <w:t xml:space="preserve">; an</w:t>
      </w:r>
      <w:r>
        <w:t xml:space="preserve"> </w:t>
      </w:r>
      <w:r>
        <w:rPr>
          <w:rStyle w:val="VerbatimChar"/>
        </w:rPr>
        <w:t xml:space="preserve">l1_ratio</w:t>
      </w:r>
      <w:r>
        <w:t xml:space="preserve"> </w:t>
      </w:r>
      <w:r>
        <w:t xml:space="preserve">parameter is present in the estimator configuration but silently ignored by scikit-learn under the L2 penalty. Consequently, essentially no fitted coefficient is exactly zero in the coefficient-stability analysis (Section 2.8), since L2 regularization does not perform the sparse variable selection that elastic-net or L1 penalties would.</w:t>
      </w:r>
    </w:p>
    <w:p>
      <w:r>
        <w:pict>
          <v:rect style="width:0;height:1.5pt" o:hralign="center" o:hrstd="t" o:hr="t"/>
        </w:pict>
      </w:r>
    </w:p>
    <w:bookmarkEnd w:id="38"/>
    <w:bookmarkEnd w:id="39"/>
    <w:bookmarkStart w:id="40"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of 0.633–0.998, consistent with published reports; the near-perfect Zhu 2022 result was stable across 50 repeated cross-validation partitions (mean AUC=0.9955 logistic regression, 0.9760 LightGBM) and distinguishable from a label-permutation null. LOCO AUC fell to 0.504–0.813 — a mean drop of 0.176 (logistic regression) and 0.146 (LightGBM); a formal paired bootstrap supported this drop for five of eight cohort–model pairs, with the remaining three showing the same direction without reaching formal significance at this sample size (Section 3.3). This pattern was robust to a strict training-only re-derivation of feature selection (LOCO AUC changed by at most 0.066). Batch correction under a label-blind design left mean LOCO AUC essentially unchanged (within 0.007 AUC for both methods/models) without recovering transferability; an exploratory label-informed design (which cannot estimate prospective performance) produced large, cohort-specific degradation attributable substantially to the design itself rather than the correction algorithms. PERMANOVA showed cohort identity explained substantially more compositional variance than disease status (marginal R²: 0.172 vs. 0.014, ~12-fold, across the four labeled cohorts) — not decomposable by PERMANOVA into technical and biological sources, and not by itself explaining the batch-correction results — falling to ~2.6-fold (R²=0.059 vs. 0.023) restricted to three more technically comparable cohorts, with pairwise dispersion driven predominantly by one cohort. A cohort-identity classifier achieved macro-AUC=0.9917, indicating strong cohort structure in the feature space, and generalization failure persisted across all three prespecified cohort-exclusion sensitivity configurations. Out-of-fold SHAP analysis found low taxon overlap between cohort-specific predictive signatures (mean Jaccard 0.135 logistic regression, 0.058 LightGBM); logistic regression overlap remained significant under both a matched-statistic and a prevalence-restricted null, while LightGBM was significant only under the shared-pool null — a genuine reversal, reported as such. Using a pre-specified descriptive coefficient-sign-stability screen, eight genera showed opposite, stable fitted-coefficient direction across cohorts for logistic regression; no comparable screen applies to LightGBM. These findings demonstrate substantial cross-cohort generalization limitations among the evaluated 16S datasets, and the two batch-correction methods tested under label-blind design did not recover transferability. Multi-cohort harmonized prospective studies and prospective cross-cohort validation are needed before microbiome-based AD biomarkers can achieve clinical utility.</w:t>
      </w:r>
    </w:p>
    <w:p>
      <w:r>
        <w:pict>
          <v:rect style="width:0;height:1.5pt" o:hralign="center" o:hrstd="t" o:hr="t"/>
        </w:pict>
      </w:r>
    </w:p>
    <w:bookmarkEnd w:id="40"/>
    <w:bookmarkStart w:id="41"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1"/>
    <w:bookmarkStart w:id="42"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2"/>
    <w:bookmarkStart w:id="43"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3"/>
    <w:bookmarkStart w:id="44"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pPr>
        <w:pStyle w:val="BodyText"/>
      </w:pPr>
      <w:r>
        <w:t xml:space="preserve">Generative-AI tool disclosure: Claude Code (Anthropic; version 2.1.104), running the Claude Sonnet 5 model (Anthropic; source: https://www.anthropic.com), provided minimal assistance with initial manuscript drafting and computational scripting, as detailed in Methods 2.9. All analytical decisions, parameter choices, experimental design, statistical interpretations, and scientific conclusions were made by the author.</w:t>
      </w:r>
    </w:p>
    <w:p>
      <w:r>
        <w:pict>
          <v:rect style="width:0;height:1.5pt" o:hralign="center" o:hrstd="t" o:hr="t"/>
        </w:pict>
      </w:r>
    </w:p>
    <w:bookmarkEnd w:id="44"/>
    <w:bookmarkStart w:id="45"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5"/>
    <w:bookmarkStart w:id="46"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et al.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et al.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et al.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et al.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(2026).</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et al.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p>
      <w:r>
        <w:pict>
          <v:rect style="width:0;height:1.5pt" o:hralign="center" o:hrstd="t" o:hr="t"/>
        </w:pict>
      </w:r>
    </w:p>
    <w:bookmarkEnd w:id="46"/>
    <w:bookmarkStart w:id="47" w:name="tables"/>
    <w:p>
      <w:pPr>
        <w:pStyle w:val="Heading2"/>
      </w:pPr>
      <w:r>
        <w:t xml:space="preserve">Tables</w:t>
      </w:r>
    </w:p>
    <w:p>
      <w:pPr>
        <w:pStyle w:val="FirstParagraph"/>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w:t>
            </w:r>
          </w:p>
        </w:tc>
        <w:tc>
          <w:tcPr/>
          <w:p>
            <w:pPr>
              <w:pStyle w:val="Compact"/>
            </w:pPr>
            <w:r>
              <w:t xml:space="preserve">[0.51–0.75]</w:t>
            </w:r>
          </w:p>
        </w:tc>
        <w:tc>
          <w:tcPr/>
          <w:p>
            <w:pPr>
              <w:pStyle w:val="Compact"/>
            </w:pPr>
            <w:r>
              <w:t xml:space="preserve">0.814</w:t>
            </w:r>
          </w:p>
        </w:tc>
        <w:tc>
          <w:tcPr/>
          <w:p>
            <w:pPr>
              <w:pStyle w:val="Compact"/>
            </w:pPr>
            <w:r>
              <w:t xml:space="preserve">0.512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0.635</w:t>
            </w:r>
          </w:p>
        </w:tc>
        <w:tc>
          <w:tcPr/>
          <w:p>
            <w:pPr>
              <w:pStyle w:val="Compact"/>
            </w:pPr>
            <w:r>
              <w:t xml:space="preserve">[0.52–0.75]</w:t>
            </w:r>
          </w:p>
        </w:tc>
        <w:tc>
          <w:tcPr/>
          <w:p>
            <w:pPr>
              <w:pStyle w:val="Compact"/>
            </w:pPr>
            <w:r>
              <w:t xml:space="preserve">0.884</w:t>
            </w:r>
          </w:p>
        </w:tc>
        <w:tc>
          <w:tcPr/>
          <w:p>
            <w:pPr>
              <w:pStyle w:val="Compact"/>
            </w:pPr>
            <w:r>
              <w:t xml:space="preserve">0.442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0.865</w:t>
            </w:r>
          </w:p>
        </w:tc>
        <w:tc>
          <w:tcPr/>
          <w:p>
            <w:pPr>
              <w:pStyle w:val="Compact"/>
            </w:pPr>
            <w:r>
              <w:t xml:space="preserve">[0.81–0.92]</w:t>
            </w:r>
          </w:p>
        </w:tc>
        <w:tc>
          <w:tcPr/>
          <w:p>
            <w:pPr>
              <w:pStyle w:val="Compact"/>
            </w:pPr>
            <w:r>
              <w:t xml:space="preserve">0.780</w:t>
            </w:r>
          </w:p>
        </w:tc>
        <w:tc>
          <w:tcPr/>
          <w:p>
            <w:pPr>
              <w:pStyle w:val="Compact"/>
            </w:pPr>
            <w:r>
              <w:t xml:space="preserve">0.859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0.862</w:t>
            </w:r>
          </w:p>
        </w:tc>
        <w:tc>
          <w:tcPr/>
          <w:p>
            <w:pPr>
              <w:pStyle w:val="Compact"/>
            </w:pPr>
            <w:r>
              <w:t xml:space="preserve">[0.80–0.91]</w:t>
            </w:r>
          </w:p>
        </w:tc>
        <w:tc>
          <w:tcPr/>
          <w:p>
            <w:pPr>
              <w:pStyle w:val="Compact"/>
            </w:pPr>
            <w:r>
              <w:t xml:space="preserve">0.740</w:t>
            </w:r>
          </w:p>
        </w:tc>
        <w:tc>
          <w:tcPr/>
          <w:p>
            <w:pPr>
              <w:pStyle w:val="Compact"/>
            </w:pPr>
            <w:r>
              <w:t xml:space="preserve">0.887</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0.998</w:t>
            </w:r>
          </w:p>
        </w:tc>
        <w:tc>
          <w:tcPr/>
          <w:p>
            <w:pPr>
              <w:pStyle w:val="Compact"/>
            </w:pPr>
            <w:r>
              <w:t xml:space="preserve">[0.99–1.00]</w:t>
            </w:r>
          </w:p>
        </w:tc>
        <w:tc>
          <w:tcPr/>
          <w:p>
            <w:pPr>
              <w:pStyle w:val="Compact"/>
            </w:pPr>
            <w:r>
              <w:t xml:space="preserve">0.967</w:t>
            </w:r>
          </w:p>
        </w:tc>
        <w:tc>
          <w:tcPr/>
          <w:p>
            <w:pPr>
              <w:pStyle w:val="Compact"/>
            </w:pPr>
            <w:r>
              <w:t xml:space="preserve">1.000</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0.979</w:t>
            </w:r>
          </w:p>
        </w:tc>
        <w:tc>
          <w:tcPr/>
          <w:p>
            <w:pPr>
              <w:pStyle w:val="Compact"/>
            </w:pPr>
            <w:r>
              <w:t xml:space="preserve">[0.94–1.00]</w:t>
            </w:r>
          </w:p>
        </w:tc>
        <w:tc>
          <w:tcPr/>
          <w:p>
            <w:pPr>
              <w:pStyle w:val="Compact"/>
            </w:pPr>
            <w:r>
              <w:t xml:space="preserve">0.900</w:t>
            </w:r>
          </w:p>
        </w:tc>
        <w:tc>
          <w:tcPr/>
          <w:p>
            <w:pPr>
              <w:pStyle w:val="Compact"/>
            </w:pPr>
            <w:r>
              <w:t xml:space="preserve">1.000</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0.766</w:t>
            </w:r>
          </w:p>
        </w:tc>
        <w:tc>
          <w:tcPr/>
          <w:p>
            <w:pPr>
              <w:pStyle w:val="Compact"/>
            </w:pPr>
            <w:r>
              <w:t xml:space="preserve">[0.66–0.86]</w:t>
            </w:r>
          </w:p>
        </w:tc>
        <w:tc>
          <w:tcPr/>
          <w:p>
            <w:pPr>
              <w:pStyle w:val="Compact"/>
            </w:pPr>
            <w:r>
              <w:t xml:space="preserve">0.829</w:t>
            </w:r>
          </w:p>
        </w:tc>
        <w:tc>
          <w:tcPr/>
          <w:p>
            <w:pPr>
              <w:pStyle w:val="Compact"/>
            </w:pPr>
            <w:r>
              <w:t xml:space="preserve">0.605</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0.694</w:t>
            </w:r>
          </w:p>
        </w:tc>
        <w:tc>
          <w:tcPr/>
          <w:p>
            <w:pPr>
              <w:pStyle w:val="Compact"/>
            </w:pPr>
            <w:r>
              <w:t xml:space="preserve">[0.57–0.80]</w:t>
            </w:r>
          </w:p>
        </w:tc>
        <w:tc>
          <w:tcPr/>
          <w:p>
            <w:pPr>
              <w:pStyle w:val="Compact"/>
            </w:pPr>
            <w:r>
              <w:t xml:space="preserve">0.610</w:t>
            </w:r>
          </w:p>
        </w:tc>
        <w:tc>
          <w:tcPr/>
          <w:p>
            <w:pPr>
              <w:pStyle w:val="Compact"/>
            </w:pPr>
            <w:r>
              <w:t xml:space="preserve">0.767</w:t>
            </w:r>
          </w:p>
        </w:tc>
        <w:tc>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 All 95% CIs in this table use the diagnosis-stratified, participant-level bootstrap of Section 2.5.2 (10,000 replicates), which states which other tables/figures use this procedure versus the original 1,000-resample bootstrap.</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0.633</w:t>
            </w:r>
          </w:p>
        </w:tc>
        <w:tc>
          <w:tcPr/>
          <w:p>
            <w:pPr>
              <w:pStyle w:val="Compact"/>
            </w:pPr>
            <w:r>
              <w:t xml:space="preserve">0.504</w:t>
            </w:r>
          </w:p>
        </w:tc>
        <w:tc>
          <w:tcPr/>
          <w:p>
            <w:pPr>
              <w:pStyle w:val="Compact"/>
            </w:pPr>
            <w:r>
              <w:t xml:space="preserve">[0.38–0.63]</w:t>
            </w:r>
          </w:p>
        </w:tc>
        <w:tc>
          <w:tcPr/>
          <w:p>
            <w:pPr>
              <w:pStyle w:val="Compact"/>
            </w:pPr>
            <w:r>
              <w:t xml:space="preserve">0.129</w:t>
            </w:r>
          </w:p>
        </w:tc>
      </w:tr>
      <w:tr>
        <w:tc>
          <w:tcPr/>
          <w:p>
            <w:pPr>
              <w:pStyle w:val="Compact"/>
            </w:pPr>
            <w:r>
              <w:t xml:space="preserve">Zhuang 2018</w:t>
            </w:r>
          </w:p>
        </w:tc>
        <w:tc>
          <w:tcPr/>
          <w:p>
            <w:pPr>
              <w:pStyle w:val="Compact"/>
            </w:pPr>
            <w:r>
              <w:t xml:space="preserve">LGBM</w:t>
            </w:r>
          </w:p>
        </w:tc>
        <w:tc>
          <w:tcPr/>
          <w:p>
            <w:pPr>
              <w:pStyle w:val="Compact"/>
            </w:pPr>
            <w:r>
              <w:t xml:space="preserve">0.635</w:t>
            </w:r>
          </w:p>
        </w:tc>
        <w:tc>
          <w:tcPr/>
          <w:p>
            <w:pPr>
              <w:pStyle w:val="Compact"/>
            </w:pPr>
            <w:r>
              <w:t xml:space="preserve">0.565</w:t>
            </w:r>
          </w:p>
        </w:tc>
        <w:tc>
          <w:tcPr/>
          <w:p>
            <w:pPr>
              <w:pStyle w:val="Compact"/>
            </w:pPr>
            <w:r>
              <w:t xml:space="preserve">[0.44–0.69]</w:t>
            </w:r>
          </w:p>
        </w:tc>
        <w:tc>
          <w:tcPr/>
          <w:p>
            <w:pPr>
              <w:pStyle w:val="Compact"/>
            </w:pPr>
            <w:r>
              <w:t xml:space="preserve">0.070</w:t>
            </w:r>
          </w:p>
        </w:tc>
      </w:tr>
      <w:tr>
        <w:tc>
          <w:tcPr/>
          <w:p>
            <w:pPr>
              <w:pStyle w:val="Compact"/>
            </w:pPr>
            <w:r>
              <w:t xml:space="preserve">Ling 2020</w:t>
            </w:r>
          </w:p>
        </w:tc>
        <w:tc>
          <w:tcPr/>
          <w:p>
            <w:pPr>
              <w:pStyle w:val="Compact"/>
            </w:pPr>
            <w:r>
              <w:t xml:space="preserve">LogReg</w:t>
            </w:r>
          </w:p>
        </w:tc>
        <w:tc>
          <w:tcPr/>
          <w:p>
            <w:pPr>
              <w:pStyle w:val="Compact"/>
            </w:pPr>
            <w:r>
              <w:t xml:space="preserve">0.865</w:t>
            </w:r>
          </w:p>
        </w:tc>
        <w:tc>
          <w:tcPr/>
          <w:p>
            <w:pPr>
              <w:pStyle w:val="Compact"/>
            </w:pPr>
            <w:r>
              <w:t xml:space="preserve">0.678</w:t>
            </w:r>
          </w:p>
        </w:tc>
        <w:tc>
          <w:tcPr/>
          <w:p>
            <w:pPr>
              <w:pStyle w:val="Compact"/>
            </w:pPr>
            <w:r>
              <w:t xml:space="preserve">[0.59–0.75]</w:t>
            </w:r>
          </w:p>
        </w:tc>
        <w:tc>
          <w:tcPr/>
          <w:p>
            <w:pPr>
              <w:pStyle w:val="Compact"/>
            </w:pPr>
            <w:r>
              <w:t xml:space="preserve">0.187</w:t>
            </w:r>
          </w:p>
        </w:tc>
      </w:tr>
      <w:tr>
        <w:tc>
          <w:tcPr/>
          <w:p>
            <w:pPr>
              <w:pStyle w:val="Compact"/>
            </w:pPr>
            <w:r>
              <w:t xml:space="preserve">Ling 2020</w:t>
            </w:r>
          </w:p>
        </w:tc>
        <w:tc>
          <w:tcPr/>
          <w:p>
            <w:pPr>
              <w:pStyle w:val="Compact"/>
            </w:pPr>
            <w:r>
              <w:t xml:space="preserve">LGBM</w:t>
            </w:r>
          </w:p>
        </w:tc>
        <w:tc>
          <w:tcPr/>
          <w:p>
            <w:pPr>
              <w:pStyle w:val="Compact"/>
            </w:pPr>
            <w:r>
              <w:t xml:space="preserve">0.862</w:t>
            </w:r>
          </w:p>
        </w:tc>
        <w:tc>
          <w:tcPr/>
          <w:p>
            <w:pPr>
              <w:pStyle w:val="Compact"/>
            </w:pPr>
            <w:r>
              <w:t xml:space="preserve">0.674</w:t>
            </w:r>
          </w:p>
        </w:tc>
        <w:tc>
          <w:tcPr/>
          <w:p>
            <w:pPr>
              <w:pStyle w:val="Compact"/>
            </w:pPr>
            <w:r>
              <w:t xml:space="preserve">[0.59–0.75]</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0.998</w:t>
            </w:r>
          </w:p>
        </w:tc>
        <w:tc>
          <w:tcPr/>
          <w:p>
            <w:pPr>
              <w:pStyle w:val="Compact"/>
            </w:pPr>
            <w:r>
              <w:t xml:space="preserve">0.813</w:t>
            </w:r>
          </w:p>
        </w:tc>
        <w:tc>
          <w:tcPr/>
          <w:p>
            <w:pPr>
              <w:pStyle w:val="Compact"/>
            </w:pPr>
            <w:r>
              <w:t xml:space="preserve">[0.69–0.93]</w:t>
            </w:r>
          </w:p>
        </w:tc>
        <w:tc>
          <w:tcPr/>
          <w:p>
            <w:pPr>
              <w:pStyle w:val="Compact"/>
            </w:pPr>
            <w:r>
              <w:t xml:space="preserve">0.185</w:t>
            </w:r>
          </w:p>
        </w:tc>
      </w:tr>
      <w:tr>
        <w:tc>
          <w:tcPr/>
          <w:p>
            <w:pPr>
              <w:pStyle w:val="Compact"/>
            </w:pPr>
            <w:r>
              <w:t xml:space="preserve">Zhu 2022</w:t>
            </w:r>
          </w:p>
        </w:tc>
        <w:tc>
          <w:tcPr/>
          <w:p>
            <w:pPr>
              <w:pStyle w:val="Compact"/>
            </w:pPr>
            <w:r>
              <w:t xml:space="preserve">LGBM</w:t>
            </w:r>
          </w:p>
        </w:tc>
        <w:tc>
          <w:tcPr/>
          <w:p>
            <w:pPr>
              <w:pStyle w:val="Compact"/>
            </w:pPr>
            <w:r>
              <w:t xml:space="preserve">0.979</w:t>
            </w:r>
          </w:p>
        </w:tc>
        <w:tc>
          <w:tcPr/>
          <w:p>
            <w:pPr>
              <w:pStyle w:val="Compact"/>
            </w:pPr>
            <w:r>
              <w:t xml:space="preserve">0.758</w:t>
            </w:r>
          </w:p>
        </w:tc>
        <w:tc>
          <w:tcPr/>
          <w:p>
            <w:pPr>
              <w:pStyle w:val="Compact"/>
            </w:pPr>
            <w:r>
              <w:t xml:space="preserve">[0.63–0.87]</w:t>
            </w:r>
          </w:p>
        </w:tc>
        <w:tc>
          <w:tcPr/>
          <w:p>
            <w:pPr>
              <w:pStyle w:val="Compact"/>
            </w:pPr>
            <w:r>
              <w:t xml:space="preserve">0.221</w:t>
            </w:r>
          </w:p>
        </w:tc>
      </w:tr>
      <w:tr>
        <w:tc>
          <w:tcPr/>
          <w:p>
            <w:pPr>
              <w:pStyle w:val="Compact"/>
            </w:pPr>
            <w:r>
              <w:t xml:space="preserve">Kazakhstan</w:t>
            </w:r>
          </w:p>
        </w:tc>
        <w:tc>
          <w:tcPr/>
          <w:p>
            <w:pPr>
              <w:pStyle w:val="Compact"/>
            </w:pPr>
            <w:r>
              <w:t xml:space="preserve">LogReg</w:t>
            </w:r>
          </w:p>
        </w:tc>
        <w:tc>
          <w:tcPr/>
          <w:p>
            <w:pPr>
              <w:pStyle w:val="Compact"/>
            </w:pPr>
            <w:r>
              <w:t xml:space="preserve">0.766</w:t>
            </w:r>
          </w:p>
        </w:tc>
        <w:tc>
          <w:tcPr/>
          <w:p>
            <w:pPr>
              <w:pStyle w:val="Compact"/>
            </w:pPr>
            <w:r>
              <w:t xml:space="preserve">0.564</w:t>
            </w:r>
          </w:p>
        </w:tc>
        <w:tc>
          <w:tcPr/>
          <w:p>
            <w:pPr>
              <w:pStyle w:val="Compact"/>
            </w:pPr>
            <w:r>
              <w:t xml:space="preserve">[0.44–0.69]</w:t>
            </w:r>
          </w:p>
        </w:tc>
        <w:tc>
          <w:tcPr/>
          <w:p>
            <w:pPr>
              <w:pStyle w:val="Compact"/>
            </w:pPr>
            <w:r>
              <w:t xml:space="preserve">0.202</w:t>
            </w:r>
          </w:p>
        </w:tc>
      </w:tr>
      <w:tr>
        <w:tc>
          <w:tcPr/>
          <w:p>
            <w:pPr>
              <w:pStyle w:val="Compact"/>
            </w:pPr>
            <w:r>
              <w:t xml:space="preserve">Kazakhstan</w:t>
            </w:r>
          </w:p>
        </w:tc>
        <w:tc>
          <w:tcPr/>
          <w:p>
            <w:pPr>
              <w:pStyle w:val="Compact"/>
            </w:pPr>
            <w:r>
              <w:t xml:space="preserve">LGBM</w:t>
            </w:r>
          </w:p>
        </w:tc>
        <w:tc>
          <w:tcPr/>
          <w:p>
            <w:pPr>
              <w:pStyle w:val="Compact"/>
            </w:pPr>
            <w:r>
              <w:t xml:space="preserve">0.694</w:t>
            </w:r>
          </w:p>
        </w:tc>
        <w:tc>
          <w:tcPr/>
          <w:p>
            <w:pPr>
              <w:pStyle w:val="Compact"/>
            </w:pPr>
            <w:r>
              <w:t xml:space="preserve">0.591</w:t>
            </w:r>
          </w:p>
        </w:tc>
        <w:tc>
          <w:tcPr/>
          <w:p>
            <w:pPr>
              <w:pStyle w:val="Compact"/>
            </w:pPr>
            <w:r>
              <w:t xml:space="preserve">[0.47–0.71]</w:t>
            </w:r>
          </w:p>
        </w:tc>
        <w:tc>
          <w:tcPr/>
          <w:p>
            <w:pPr>
              <w:pStyle w:val="Compact"/>
            </w:pPr>
            <w:r>
              <w:t xml:space="preserve">0.103</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0.816</w:t>
            </w:r>
          </w:p>
        </w:tc>
        <w:tc>
          <w:tcPr/>
          <w:p>
            <w:pPr>
              <w:pStyle w:val="Compact"/>
            </w:pPr>
            <w:r>
              <w:rPr>
                <w:b/>
                <w:bCs/>
              </w:rPr>
              <w:t xml:space="preserve">0.640</w:t>
            </w:r>
          </w:p>
        </w:tc>
        <w:tc>
          <w:tcPr/>
          <w:p>
            <w:pPr>
              <w:pStyle w:val="Compact"/>
            </w:pPr>
            <w:r>
              <w:t xml:space="preserve">—</w:t>
            </w:r>
          </w:p>
        </w:tc>
        <w:tc>
          <w:tcPr/>
          <w:p>
            <w:pPr>
              <w:pStyle w:val="Compact"/>
            </w:pPr>
            <w:r>
              <w:rPr>
                <w:b/>
                <w:bCs/>
              </w:rPr>
              <w:t xml:space="preserve">0.176</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0.793</w:t>
            </w:r>
          </w:p>
        </w:tc>
        <w:tc>
          <w:tcPr/>
          <w:p>
            <w:pPr>
              <w:pStyle w:val="Compact"/>
            </w:pPr>
            <w:r>
              <w:rPr>
                <w:b/>
                <w:bCs/>
              </w:rPr>
              <w:t xml:space="preserve">0.647</w:t>
            </w:r>
          </w:p>
        </w:tc>
        <w:tc>
          <w:tcPr/>
          <w:p>
            <w:pPr>
              <w:pStyle w:val="Compact"/>
            </w:pPr>
            <w:r>
              <w:t xml:space="preserve">—</w:t>
            </w:r>
          </w:p>
        </w:tc>
        <w:tc>
          <w:tcPr/>
          <w:p>
            <w:pPr>
              <w:pStyle w:val="Compact"/>
            </w:pPr>
            <w:r>
              <w:rPr>
                <w:b/>
                <w:bCs/>
              </w:rPr>
              <w:t xml:space="preserve">0.146</w:t>
            </w:r>
          </w:p>
        </w:tc>
      </w:tr>
    </w:tbl>
    <w:p>
      <w:pPr>
        <w:pStyle w:val="BodyText"/>
      </w:pPr>
      <w:r>
        <w:t xml:space="preserve">Paired-bootstrap significance for the AUC drop (Section 2.5.2; Supplementary Table S10) matches the pattern above: significant for Ling 2020 and Zhu 2022 (both models) and Kazakhstan LogReg; not significant for Zhuang 2018 (both models) or Kazakhstan LGBM.</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r>
        <w:pict>
          <v:rect style="width:0;height:1.5pt" o:hralign="center" o:hrstd="t" o:hr="t"/>
        </w:pict>
      </w:r>
    </w:p>
    <w:bookmarkEnd w:id="47"/>
    <w:bookmarkStart w:id="48" w:name="figure-captions"/>
    <w:p>
      <w:pPr>
        <w:pStyle w:val="Heading2"/>
      </w:pPr>
      <w:r>
        <w:t xml:space="preserve">Figure Captions</w:t>
      </w:r>
    </w:p>
    <w:p>
      <w:pPr>
        <w:pStyle w:val="FirstParagraph"/>
      </w:pPr>
      <w:r>
        <w:rPr>
          <w:b/>
          <w:bCs/>
        </w:rPr>
        <w:t xml:space="preserve">Figure 1.</w:t>
      </w:r>
      <w:r>
        <w:t xml:space="preserve"> </w:t>
      </w:r>
      <w:r>
        <w:t xml:space="preserve">Study design. (</w:t>
      </w:r>
      <w:r>
        <w:rPr>
          <w:b/>
          <w:bCs/>
        </w:rPr>
        <w:t xml:space="preserve">A</w:t>
      </w:r>
      <w:r>
        <w:t xml:space="preserve">) Overview of the five 16S rRNA amplicon sequencing cohorts assembled for this study, including country of origin, sample size, sequencing mode, 16S variable region, diagnosis label availability, and analytic phases in which each cohort participates. (</w:t>
      </w:r>
      <w:r>
        <w:rPr>
          <w:b/>
          <w:bCs/>
        </w:rPr>
        <w:t xml:space="preserve">B</w:t>
      </w:r>
      <w:r>
        <w:t xml:space="preserve">) Summary of the six-phase analysis pipeline, from DADA2 processing through SHAP feature importance analysis.</w:t>
      </w:r>
    </w:p>
    <w:p>
      <w:pPr>
        <w:pStyle w:val="BodyText"/>
      </w:pPr>
      <w:r>
        <w:rPr>
          <w:b/>
          <w:bCs/>
        </w:rPr>
        <w:t xml:space="preserve">Figure 2.</w:t>
      </w:r>
      <w:r>
        <w:t xml:space="preserve"> </w:t>
      </w:r>
      <w:r>
        <w:t xml:space="preserve">Within-cohort classification performance under nested cross-validation (10-fold outer / 5-fold inner CV). Bars show out-of-fold AUC-ROC; error bars represent 95% CIs from the diagnosis-stratified, participant-level bootstrap (10,000 replicates; Section 2.5.2), matching Table 2. Dashed line = chance (AUC = 0.50). LogReg = L2-regularized logistic regression; LGBM = LightGBM.</w:t>
      </w:r>
    </w:p>
    <w:p>
      <w:pPr>
        <w:pStyle w:val="BodyText"/>
      </w:pPr>
      <w:r>
        <w:rPr>
          <w:b/>
          <w:bCs/>
        </w:rPr>
        <w:t xml:space="preserve">Figure 3.</w:t>
      </w:r>
      <w:r>
        <w:t xml:space="preserve"> </w:t>
      </w:r>
      <w:r>
        <w:t xml:space="preserve">Cross-cohort generalization failure. (</w:t>
      </w:r>
      <w:r>
        <w:rPr>
          <w:b/>
          <w:bCs/>
        </w:rPr>
        <w:t xml:space="preserve">A</w:t>
      </w:r>
      <w:r>
        <w:t xml:space="preserve">) Within-cohort (solid bars) versus LOCO cross-cohort (hatched bars) AUC-ROC for logistic regression (blue) and LightGBM (pink). Error bars on the LOCO bars = 95% CI from the diagnosis-stratified, participant-level bootstrap (10,000 replicates; Section 2.5.2), matching Table 3; within-cohort bars are shown without error bars in this panel. (</w:t>
      </w:r>
      <w:r>
        <w:rPr>
          <w:b/>
          <w:bCs/>
        </w:rPr>
        <w:t xml:space="preserve">B</w:t>
      </w:r>
      <w:r>
        <w:t xml:space="preserve">,</w:t>
      </w:r>
      <w:r>
        <w:t xml:space="preserve"> </w:t>
      </w:r>
      <w:r>
        <w:rPr>
          <w:b/>
          <w:bCs/>
        </w:rPr>
        <w:t xml:space="preserve">C</w:t>
      </w:r>
      <w:r>
        <w:t xml:space="preserve">) Pairwise single-cohort-train / single-cohort-test AUC heatmaps for logistic regression and LightGBM respectively. Diagonal (within-cohort) values are omitted; colour scale: red = near chance, green = high AUC.</w:t>
      </w:r>
    </w:p>
    <w:p>
      <w:pPr>
        <w:pStyle w:val="BodyText"/>
      </w:pPr>
      <w:r>
        <w:rPr>
          <w:b/>
          <w:bCs/>
        </w:rPr>
        <w:t xml:space="preserve">Figure 4.</w:t>
      </w:r>
      <w:r>
        <w:t xml:space="preserve"> </w:t>
      </w:r>
      <w:r>
        <w:t xml:space="preserve">PERMANOVA variance decomposition and beta-diversity structure. (</w:t>
      </w:r>
      <w:r>
        <w:rPr>
          <w:b/>
          <w:bCs/>
        </w:rPr>
        <w:t xml:space="preserve">A</w:t>
      </w:r>
      <w:r>
        <w:t xml:space="preserve">) Marginal R² values from a two-variable PERMANOVA model on the four labeled cohorts (n=401): cohort R²=0.172 and diagnosis R²=0.014, shown as independent bars. These Type III marginal R² values are estimated independently and do not sum to 1. (</w:t>
      </w:r>
      <w:r>
        <w:rPr>
          <w:b/>
          <w:bCs/>
        </w:rPr>
        <w:t xml:space="preserve">B</w:t>
      </w:r>
      <w:r>
        <w:t xml:space="preserve">) PCoA of Aitchison distance matrix (all five cohorts; n=509). Cohort R²=0.193 (F=30.13, p=0.0001, 9,999 permutations). Ellipses = 95% normal confidence ellipses. (</w:t>
      </w:r>
      <w:r>
        <w:rPr>
          <w:b/>
          <w:bCs/>
        </w:rPr>
        <w:t xml:space="preserve">C</w:t>
      </w:r>
      <w:r>
        <w:t xml:space="preserve">) Beta-dispersion: distance from each sample to its cohort centroid (F=13.93, p=0.0001, 9,999 permutations).</w:t>
      </w:r>
    </w:p>
    <w:p>
      <w:pPr>
        <w:pStyle w:val="BodyText"/>
      </w:pPr>
      <w:r>
        <w:rPr>
          <w:b/>
          <w:bCs/>
        </w:rPr>
        <w:t xml:space="preserve">Figure 5.</w:t>
      </w:r>
      <w:r>
        <w:t xml:space="preserve"> </w:t>
      </w:r>
      <w:r>
        <w:t xml:space="preserve">Effect of label-blind batch correction on LOCO cross-cohort AUC-ROC (primary analysis; no diagnosis information used during correction). (</w:t>
      </w:r>
      <w:r>
        <w:rPr>
          <w:b/>
          <w:bCs/>
        </w:rPr>
        <w:t xml:space="preserve">A</w:t>
      </w:r>
      <w:r>
        <w:t xml:space="preserve">) Logistic regression and (</w:t>
      </w:r>
      <w:r>
        <w:rPr>
          <w:b/>
          <w:bCs/>
        </w:rPr>
        <w:t xml:space="preserve">B</w:t>
      </w:r>
      <w:r>
        <w:t xml:space="preserve">) LightGBM LOCO AUC for each held-out cohort under three conditions: uncorrected (green), ComBat-seq label-blind corrected (magenta), and MMUPHin label-blind corrected (salmon). Error bars = 95% bootstrap CI (1,000 non-stratified resamples on held-out test predictions; Section 2.5). Dashed line = chance (0.50). Under this label-blind design, both methods left mean LOCO AUC essentially unchanged relative to uncorrected (within 0.007 AUC for both methods and models), neither recovering nor substantially worsening cross-cohort generalization. An exploratory label-informed transductive sensitivity comparison, in which correction used each sample’s own true diagnosis label and which produced substantially different, more severe degradation for some cohorts, is reported separately in Supplementary Figure S4 and is not treated as evidence about prospective performance (Section 2.7, Section 3.5).</w:t>
      </w:r>
    </w:p>
    <w:p>
      <w:pPr>
        <w:pStyle w:val="BodyText"/>
      </w:pPr>
      <w:r>
        <w:rPr>
          <w:b/>
          <w:bCs/>
        </w:rPr>
        <w:t xml:space="preserve">Figure 6.</w:t>
      </w:r>
      <w:r>
        <w:t xml:space="preserve"> </w:t>
      </w:r>
      <w:r>
        <w:t xml:space="preserve">SHAP feature importance and coefficient-based direction analysis, logistic regression. (</w:t>
      </w:r>
      <w:r>
        <w:rPr>
          <w:b/>
          <w:bCs/>
        </w:rPr>
        <w:t xml:space="preserve">A</w:t>
      </w:r>
      <w:r>
        <w:t xml:space="preserve">) Top-20 SHAP genera by maximum |SHAP| across cohorts. Dot size ∝ mean |SHAP|; feature importance only — no direction is encoded in this panel. (</w:t>
      </w:r>
      <w:r>
        <w:rPr>
          <w:b/>
          <w:bCs/>
        </w:rPr>
        <w:t xml:space="preserve">B</w:t>
      </w:r>
      <w:r>
        <w:t xml:space="preserve">) Fitted-coefficient direction by cohort for the eight genera meeting a pre-specified descriptive coefficient-sign-stability screen (top-20 in ≥2 cohorts; a stable positive coefficient sign in ≥8/10 outer folds in ≥1 cohort and a stable negative sign in ≥8/10 folds in ≥1 other). Cell color = median fitted logistic-regression coefficient across the 10 outer folds; cell text = fold-count and direction. Bordered cells meet the ≥8/10 stability criterion. This is a descriptive screen, not a multiplicity-corrected hypothesis test. (</w:t>
      </w:r>
      <w:r>
        <w:rPr>
          <w:b/>
          <w:bCs/>
        </w:rPr>
        <w:t xml:space="preserve">C</w:t>
      </w:r>
      <w:r>
        <w:t xml:space="preserve">) Pairwise Jaccard similarity of top-20 SHAP taxa between cohort pairs; mean of the six unique pairwise values = 0.135, significantly above a null matched to this statistic’s construction (100,000 replicates of four random top-20 sets; p&lt;0.0001). A prevalence-restricted null sensitivity analysis (Supplementary Table S13) shows logistic regression remains significant while LightGBM does not.</w:t>
      </w:r>
    </w:p>
    <w:bookmarkEnd w:id="48"/>
    <w:bookmarkEnd w:id="49"/>
    <w:sectPr>
      <w:footerReference w:type="default" r:id="rId9"/>
      <w:footnotePr>
        <w:numRestart w:val="eachSect"/>
      </w:footnotePr>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2026-09-14T23:59:40Z</dcterms:created>
  <dcterms:modified xsi:type="dcterms:W3CDTF">2026-09-14T23:59:40Z</dcterms:modified>
</cp:coreProperties>
</file>

<file path=docProps/custom.xml><?xml version="1.0" encoding="utf-8"?>
<Properties xmlns="http://schemas.openxmlformats.org/officeDocument/2006/custom-properties" xmlns:vt="http://schemas.openxmlformats.org/officeDocument/2006/docPropsVTypes"/>
</file>