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End w:id="12"/>
    <w:bookmarkStart w:id="18" w:name="supplementary-figures"/>
    <w:p>
      <w:pPr>
        <w:pStyle w:val="Heading2"/>
      </w:pPr>
      <w:r>
        <w:t xml:space="preserve">Supplementary Figures</w:t>
      </w:r>
    </w:p>
    <w:bookmarkStart w:id="13"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3"/>
    <w:bookmarkStart w:id="14" w:name="X90159005a3430273eb2cdd5398e1b83e79d4546"/>
    <w:p>
      <w:pPr>
        <w:pStyle w:val="Heading3"/>
      </w:pPr>
      <w:r>
        <w:t xml:space="preserve">Figure S2. LightGBM Top-15 SHAP Taxa Per Cohort</w:t>
      </w:r>
    </w:p>
    <w:p>
      <w:pPr>
        <w:pStyle w:val="FirstParagraph"/>
      </w:pPr>
      <w:r>
        <w:rPr>
          <w:b/>
          <w:bCs/>
        </w:rPr>
        <w:t xml:space="preserve">Caption:</w:t>
      </w:r>
      <w:r>
        <w:t xml:space="preserve"> </w:t>
      </w:r>
      <w:r>
        <w:t xml:space="preserve">Out-of-fold (OOF) SHAP feature importance dot plot for LightGBM classifiers, parallel to Figure 6A (logistic regression). SHAP values were computed using the same 10-fold outer CV structure used for AUC estimation (Section 2.4): in each fold the classifier was trained on the 9 training folds and SHAP values were computed for the held-out fold only, then aggregated across all 10 folds. This avoids the in-sample overfitting bias that arises when SHAP values are computed on the same data used to fit the model. Dot size proportional to mean |SHAP| value (feature importance); red = AD-associated (positive mean SHAP); blue = CN-associated. Yellow background marks directional flip taxa appearing in top-20 of ≥2 cohorts with opposite sign (★ prefix). Top taxon per cohort: Lachnoclostridium (Zhuang 2018, CN-associated, |SHAP|=0.560), Akkermansia (Ling 2020, CN-associated, |SHAP|=0.947), Bacteroides (Zhu 2022, AD-associated, |SHAP|=1.243), Castellaniella (Kazakhstan, CN-associated, |SHAP|=0.614). Mean pairwise Jaccard similarity at top-20: 0.058 — within the null 95% CI of a random-draw baseline (Section 2.8), consistent with tree models concentrating importance in essentially non-overlapping, cohort-specific feature sets. LightGBM directional flips (top-20, 12 taxa): Agathobacter, Akkermansia, Bacteroides, Colidextribacter, Faecalibacterium, Incertae Sedis, Lachnospira, Lactobacillus, Oscillibacter, Romboutsia, Roseburia, [Eubacterium] siraeum group.</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w:t>
      </w:r>
    </w:p>
    <w:p>
      <w:r>
        <w:pict>
          <v:rect style="width:0;height:1.5pt" o:hralign="center" o:hrstd="t" o:hr="t"/>
        </w:pict>
      </w:r>
    </w:p>
    <w:bookmarkEnd w:id="14"/>
    <w:bookmarkStart w:id="15" w:name="X5ae1b787fe659662284fc144d2c358c0628c584"/>
    <w:p>
      <w:pPr>
        <w:pStyle w:val="Heading3"/>
      </w:pPr>
      <w:r>
        <w:t xml:space="preserve">Figure S3a. LOCO SHAP Direction — Logistic Regression</w:t>
      </w:r>
    </w:p>
    <w:p>
      <w:pPr>
        <w:pStyle w:val="FirstParagraph"/>
      </w:pPr>
      <w:r>
        <w:rPr>
          <w:b/>
          <w:bCs/>
        </w:rPr>
        <w:t xml:space="preserve">Caption:</w:t>
      </w:r>
      <w:r>
        <w:t xml:space="preserve"> </w:t>
      </w:r>
      <w:r>
        <w:t xml:space="preserve">Out-of-fold SHAP values computed for LOCO-trained logistic regression classifiers (trained on the pooled other three cohorts, with that training pool as the SHAP background distribution) and evaluated on each held-out test cohort. Points show the top genera by mean |SHAP| on the held-out test data; x-position gives the signed mean SHAP value on the held-out cohort (positive = AD-associated, negative = CN-associated).</w:t>
      </w:r>
    </w:p>
    <w:p>
      <w:pPr>
        <w:pStyle w:val="BodyText"/>
      </w:pPr>
      <w:r>
        <w:t xml:space="preserve">Top-1 LOCO SHAP taxon per held-out cohort (logistic regression): held-out Zhuang 2018 —</w:t>
      </w:r>
      <w:r>
        <w:t xml:space="preserve"> </w:t>
      </w:r>
      <w:r>
        <w:rPr>
          <w:i/>
          <w:iCs/>
        </w:rPr>
        <w:t xml:space="preserve">Akkermansia</w:t>
      </w:r>
      <w:r>
        <w:t xml:space="preserve"> </w:t>
      </w:r>
      <w:r>
        <w:t xml:space="preserve">(CN-associated, |SHAP|=0.470); held-out Ling 2020 —</w:t>
      </w:r>
      <w:r>
        <w:t xml:space="preserve"> </w:t>
      </w:r>
      <w:r>
        <w:rPr>
          <w:i/>
          <w:iCs/>
        </w:rPr>
        <w:t xml:space="preserve">Subdoligranulum</w:t>
      </w:r>
      <w:r>
        <w:t xml:space="preserve"> </w:t>
      </w:r>
      <w:r>
        <w:t xml:space="preserve">(AD-associated, |SHAP|=0.269); held-out Zhu 2022 —</w:t>
      </w:r>
      <w:r>
        <w:t xml:space="preserve"> </w:t>
      </w:r>
      <w:r>
        <w:rPr>
          <w:i/>
          <w:iCs/>
        </w:rPr>
        <w:t xml:space="preserve">Akkermansia</w:t>
      </w:r>
      <w:r>
        <w:t xml:space="preserve"> </w:t>
      </w:r>
      <w:r>
        <w:t xml:space="preserve">(CN-associated, |SHAP|=0.372); held-out Kazakhstan —</w:t>
      </w:r>
      <w:r>
        <w:t xml:space="preserve"> </w:t>
      </w:r>
      <w:r>
        <w:rPr>
          <w:i/>
          <w:iCs/>
        </w:rPr>
        <w:t xml:space="preserve">Christensenellaceae</w:t>
      </w:r>
      <w:r>
        <w:t xml:space="preserve"> </w:t>
      </w:r>
      <w:r>
        <w:t xml:space="preserve">R-7 group (AD-associated, |SHAP|=0.368).</w:t>
      </w:r>
      <w:r>
        <w:t xml:space="preserve"> </w:t>
      </w:r>
      <w:r>
        <w:rPr>
          <w:i/>
          <w:iCs/>
        </w:rPr>
        <w:t xml:space="preserve">Akkermansia</w:t>
      </w:r>
      <w:r>
        <w:t xml:space="preserve"> </w:t>
      </w:r>
      <w:r>
        <w:t xml:space="preserve">is the top LOCO predictor for two of the four held-out cohorts (Zhuang 2018, Zhu 2022), both CN-associated in the LOCO setting; no genus is top-ranked in all four conditions. This recurrence does not indicate a stable transferable signal —</w:t>
      </w:r>
      <w:r>
        <w:t xml:space="preserve"> </w:t>
      </w:r>
      <w:r>
        <w:rPr>
          <w:i/>
          <w:iCs/>
        </w:rPr>
        <w:t xml:space="preserve">Akkermansia</w:t>
      </w:r>
      <w:r>
        <w:t xml:space="preserve">’s role is directionally inconsistent in the underlying within-cohort SHAP analysis (Figure 6; Section 3.6), where it is a directional-flip taxon with a 2/2 CN/AD split across the same four cohorts. The pattern is consistent with cross-cohort classifiers activating whichever genera most closely resemble their training-cohort signature rather than a disease marker that generalizes across populations.</w:t>
      </w:r>
    </w:p>
    <w:p>
      <w:pPr>
        <w:pStyle w:val="BodyText"/>
      </w:pPr>
      <w:r>
        <w:rPr>
          <w:i/>
          <w:iCs/>
        </w:rPr>
        <w:t xml:space="preserve">Source figure:</w:t>
      </w:r>
      <w:r>
        <w:t xml:space="preserve"> </w:t>
      </w:r>
      <w:r>
        <w:rPr>
          <w:rStyle w:val="VerbatimChar"/>
        </w:rPr>
        <w:t xml:space="preserve">results/figures/supp_fig_s3a.jpg</w:t>
      </w:r>
      <w:r>
        <w:t xml:space="preserve"> </w:t>
      </w:r>
      <w:r>
        <w:t xml:space="preserve">(built from</w:t>
      </w:r>
      <w:r>
        <w:t xml:space="preserve"> </w:t>
      </w:r>
      <w:r>
        <w:rPr>
          <w:rStyle w:val="VerbatimChar"/>
        </w:rPr>
        <w:t xml:space="preserve">results/figures/working/shap_loco_direction_logreg.png</w:t>
      </w:r>
      <w:r>
        <w:t xml:space="preserve">)</w:t>
      </w:r>
    </w:p>
    <w:p>
      <w:r>
        <w:pict>
          <v:rect style="width:0;height:1.5pt" o:hralign="center" o:hrstd="t" o:hr="t"/>
        </w:pict>
      </w:r>
    </w:p>
    <w:bookmarkEnd w:id="15"/>
    <w:bookmarkStart w:id="16" w:name="figure-s3b.-loco-shap-direction-lightgbm"/>
    <w:p>
      <w:pPr>
        <w:pStyle w:val="Heading3"/>
      </w:pPr>
      <w:r>
        <w:t xml:space="preserve">Figure S3b. LOCO SHAP Direction — LightGBM</w:t>
      </w:r>
    </w:p>
    <w:p>
      <w:pPr>
        <w:pStyle w:val="FirstParagraph"/>
      </w:pPr>
      <w:r>
        <w:rPr>
          <w:b/>
          <w:bCs/>
        </w:rPr>
        <w:t xml:space="preserve">Caption:</w:t>
      </w:r>
      <w:r>
        <w:t xml:space="preserve"> </w:t>
      </w:r>
      <w:r>
        <w:t xml:space="preserve">Out-of-fold SHAP values computed for LOCO-trained LightGBM classifiers, evaluated on each held-out test cohort, parallel to Figure S3a.</w:t>
      </w:r>
    </w:p>
    <w:p>
      <w:pPr>
        <w:pStyle w:val="BodyText"/>
      </w:pPr>
      <w:r>
        <w:t xml:space="preserve">Top-1 LOCO SHAP taxon per held-out cohort (LightGBM): held-out Zhuang 2018 —</w:t>
      </w:r>
      <w:r>
        <w:t xml:space="preserve"> </w:t>
      </w:r>
      <w:r>
        <w:rPr>
          <w:i/>
          <w:iCs/>
        </w:rPr>
        <w:t xml:space="preserve">Akkermansia</w:t>
      </w:r>
      <w:r>
        <w:t xml:space="preserve"> </w:t>
      </w:r>
      <w:r>
        <w:t xml:space="preserve">(CN-associated, |SHAP|=0.844); held-out Ling 2020 —</w:t>
      </w:r>
      <w:r>
        <w:t xml:space="preserve"> </w:t>
      </w:r>
      <w:r>
        <w:rPr>
          <w:i/>
          <w:iCs/>
        </w:rPr>
        <w:t xml:space="preserve">[Eubacterium] xylanophilum</w:t>
      </w:r>
      <w:r>
        <w:t xml:space="preserve"> </w:t>
      </w:r>
      <w:r>
        <w:t xml:space="preserve">group (AD-associated, |SHAP|=0.518); held-out Zhu 2022 —</w:t>
      </w:r>
      <w:r>
        <w:t xml:space="preserve"> </w:t>
      </w:r>
      <w:r>
        <w:rPr>
          <w:i/>
          <w:iCs/>
        </w:rPr>
        <w:t xml:space="preserve">Akkermansia</w:t>
      </w:r>
      <w:r>
        <w:t xml:space="preserve"> </w:t>
      </w:r>
      <w:r>
        <w:t xml:space="preserve">(CN-associated, |SHAP|=0.789); held-out Kazakhstan —</w:t>
      </w:r>
      <w:r>
        <w:t xml:space="preserve"> </w:t>
      </w:r>
      <w:r>
        <w:rPr>
          <w:i/>
          <w:iCs/>
        </w:rPr>
        <w:t xml:space="preserve">[Eubacterium] xylanophilum</w:t>
      </w:r>
      <w:r>
        <w:t xml:space="preserve"> </w:t>
      </w:r>
      <w:r>
        <w:t xml:space="preserve">group (CN-associated, |SHAP|=0.521). As with logistic regression,</w:t>
      </w:r>
      <w:r>
        <w:t xml:space="preserve"> </w:t>
      </w:r>
      <w:r>
        <w:rPr>
          <w:i/>
          <w:iCs/>
        </w:rPr>
        <w:t xml:space="preserve">Akkermansia</w:t>
      </w:r>
      <w:r>
        <w:t xml:space="preserve"> </w:t>
      </w:r>
      <w:r>
        <w:t xml:space="preserve">recurs as the top predictor for two of four held-out cohorts (both CN-associated) while</w:t>
      </w:r>
      <w:r>
        <w:t xml:space="preserve"> </w:t>
      </w:r>
      <w:r>
        <w:rPr>
          <w:i/>
          <w:iCs/>
        </w:rPr>
        <w:t xml:space="preserve">[Eubacterium] xylanophilum</w:t>
      </w:r>
      <w:r>
        <w:t xml:space="preserve"> </w:t>
      </w:r>
      <w:r>
        <w:t xml:space="preserve">group tops the other two with opposite directions between them (AD for Ling 2020, CN for Kazakhstan) — no single genus is both top-ranked and directionally consistent across all four held-out conditions for either model.</w:t>
      </w:r>
    </w:p>
    <w:p>
      <w:pPr>
        <w:pStyle w:val="BodyText"/>
      </w:pPr>
      <w:r>
        <w:rPr>
          <w:i/>
          <w:iCs/>
        </w:rPr>
        <w:t xml:space="preserve">Source figure:</w:t>
      </w:r>
      <w:r>
        <w:t xml:space="preserve"> </w:t>
      </w:r>
      <w:r>
        <w:rPr>
          <w:rStyle w:val="VerbatimChar"/>
        </w:rPr>
        <w:t xml:space="preserve">results/figures/supp_fig_s3b.jpg</w:t>
      </w:r>
      <w:r>
        <w:t xml:space="preserve"> </w:t>
      </w:r>
      <w:r>
        <w:t xml:space="preserve">(built from</w:t>
      </w:r>
      <w:r>
        <w:t xml:space="preserve"> </w:t>
      </w:r>
      <w:r>
        <w:rPr>
          <w:rStyle w:val="VerbatimChar"/>
        </w:rPr>
        <w:t xml:space="preserve">results/figures/working/shap_loco_direction_lgbm.png</w:t>
      </w:r>
      <w:r>
        <w:t xml:space="preserve">)</w:t>
      </w:r>
    </w:p>
    <w:p>
      <w:r>
        <w:pict>
          <v:rect style="width:0;height:1.5pt" o:hralign="center" o:hrstd="t" o:hr="t"/>
        </w:pict>
      </w:r>
    </w:p>
    <w:bookmarkEnd w:id="16"/>
    <w:bookmarkStart w:id="17"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failure persists across all configurations, confirming robustness to individual cohort exclusion.</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results/figures/supp_sensitivity_loco.png</w:t>
      </w:r>
    </w:p>
    <w:p>
      <w:r>
        <w:pict>
          <v:rect style="width:0;height:1.5pt" o:hralign="center" o:hrstd="t" o:hr="t"/>
        </w:pict>
      </w:r>
    </w:p>
    <w:bookmarkEnd w:id="17"/>
    <w:bookmarkEnd w:id="18"/>
    <w:bookmarkStart w:id="21" w:name="supplementary-notes"/>
    <w:p>
      <w:pPr>
        <w:pStyle w:val="Heading2"/>
      </w:pPr>
      <w:r>
        <w:t xml:space="preserve">Supplementary Notes</w:t>
      </w:r>
    </w:p>
    <w:bookmarkStart w:id="19"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Inclusion required: (1) per-sample diagnosis labels (AD, MCI, or CN) accessible in public metadata; (2) raw FASTQ files or quality-filtered reads deposited in a public archive; (3) a minimum of 40 participants per cohort. Studies were excluded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19"/>
    <w:bookmarkStart w:id="20"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2026-09-01T23:54:48Z</dcterms:created>
  <dcterms:modified xsi:type="dcterms:W3CDTF">2026-09-01T23:54:48Z</dcterms:modified>
</cp:coreProperties>
</file>

<file path=docProps/custom.xml><?xml version="1.0" encoding="utf-8"?>
<Properties xmlns="http://schemas.openxmlformats.org/officeDocument/2006/custom-properties" xmlns:vt="http://schemas.openxmlformats.org/officeDocument/2006/docPropsVTypes"/>
</file>