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3" w:rsidRDefault="007549D3" w:rsidP="007549D3">
      <w:pPr>
        <w:pStyle w:val="Heading2"/>
      </w:pPr>
      <w:bookmarkStart w:id="0" w:name="_Toc314677149"/>
      <w:bookmarkStart w:id="1" w:name="_Toc314733819"/>
      <w:bookmarkStart w:id="2" w:name="_Toc435185261"/>
      <w:r>
        <w:t>Standard Operating Procedures</w:t>
      </w:r>
      <w:bookmarkEnd w:id="0"/>
      <w:bookmarkEnd w:id="1"/>
      <w:bookmarkEnd w:id="2"/>
    </w:p>
    <w:p w:rsidR="007549D3" w:rsidRPr="00EF1A89" w:rsidRDefault="007549D3" w:rsidP="007549D3">
      <w:pPr>
        <w:rPr>
          <w:b/>
          <w:sz w:val="24"/>
          <w:szCs w:val="24"/>
        </w:rPr>
      </w:pPr>
      <w:r>
        <w:rPr>
          <w:b/>
          <w:sz w:val="24"/>
          <w:szCs w:val="24"/>
        </w:rPr>
        <w:t>Naming Process for Core sites and Off Grid sites</w:t>
      </w:r>
    </w:p>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Pr>
        <w:contextualSpacing/>
      </w:pPr>
      <w:r w:rsidRPr="00E966F5">
        <w:rPr>
          <w:b/>
        </w:rPr>
        <w:t>SOP Document Number</w:t>
      </w:r>
      <w:r>
        <w:t xml:space="preserve">: </w:t>
      </w:r>
      <w:r w:rsidRPr="007549D3">
        <w:rPr>
          <w:highlight w:val="yellow"/>
        </w:rPr>
        <w:t>ABMI-MC-SOP-004</w:t>
      </w:r>
    </w:p>
    <w:p w:rsidR="007549D3" w:rsidRDefault="007549D3" w:rsidP="007549D3">
      <w:pPr>
        <w:contextualSpacing/>
      </w:pPr>
      <w:r w:rsidRPr="00E966F5">
        <w:rPr>
          <w:b/>
        </w:rPr>
        <w:t>Version Number</w:t>
      </w:r>
      <w:r>
        <w:t>: 1.0</w:t>
      </w:r>
    </w:p>
    <w:p w:rsidR="007549D3" w:rsidRDefault="007549D3" w:rsidP="007549D3">
      <w:pPr>
        <w:contextualSpacing/>
      </w:pPr>
      <w:r w:rsidRPr="00E966F5">
        <w:rPr>
          <w:b/>
        </w:rPr>
        <w:t>Date</w:t>
      </w:r>
      <w:r>
        <w:t>: October 28</w:t>
      </w:r>
      <w:r w:rsidRPr="007549D3">
        <w:rPr>
          <w:vertAlign w:val="superscript"/>
        </w:rPr>
        <w:t>th</w:t>
      </w:r>
      <w:r>
        <w:t>, 2015</w:t>
      </w:r>
    </w:p>
    <w:p w:rsidR="007549D3" w:rsidRDefault="007549D3" w:rsidP="007549D3"/>
    <w:p w:rsidR="007549D3" w:rsidRDefault="007549D3" w:rsidP="007549D3">
      <w:r>
        <w:rPr>
          <w:b/>
        </w:rPr>
        <w:t>Prepared by</w:t>
      </w:r>
      <w:r>
        <w:t>: Paola Pierossi and Courtney DesLauriers</w:t>
      </w:r>
    </w:p>
    <w:p w:rsidR="007549D3" w:rsidRPr="00E058D0" w:rsidRDefault="007549D3" w:rsidP="007549D3">
      <w:r>
        <w:rPr>
          <w:b/>
        </w:rPr>
        <w:t>Prepared for</w:t>
      </w:r>
      <w:r>
        <w:t>: The ABMI Project</w:t>
      </w:r>
    </w:p>
    <w:p w:rsidR="007549D3" w:rsidRDefault="007549D3" w:rsidP="007549D3"/>
    <w:p w:rsidR="007549D3" w:rsidRDefault="007549D3" w:rsidP="007549D3"/>
    <w:p w:rsidR="007549D3" w:rsidRDefault="007549D3" w:rsidP="007549D3"/>
    <w:p w:rsidR="007549D3" w:rsidRDefault="007549D3" w:rsidP="007549D3">
      <w:pPr>
        <w:pStyle w:val="Heading1"/>
      </w:pPr>
      <w:bookmarkStart w:id="3" w:name="_Toc314677150"/>
      <w:bookmarkStart w:id="4" w:name="_Toc314733820"/>
    </w:p>
    <w:p w:rsidR="00E04400" w:rsidRDefault="00E04400" w:rsidP="007549D3">
      <w:pPr>
        <w:pStyle w:val="Heading1"/>
      </w:pPr>
      <w:bookmarkStart w:id="5" w:name="_Toc435185262"/>
    </w:p>
    <w:p w:rsidR="007549D3" w:rsidRDefault="007549D3" w:rsidP="007549D3">
      <w:pPr>
        <w:pStyle w:val="Heading1"/>
      </w:pPr>
      <w:r>
        <w:t>Approvals</w:t>
      </w:r>
      <w:bookmarkEnd w:id="3"/>
      <w:bookmarkEnd w:id="4"/>
      <w:bookmarkEnd w:id="5"/>
    </w:p>
    <w:p w:rsidR="007549D3" w:rsidRDefault="007549D3" w:rsidP="007549D3"/>
    <w:p w:rsidR="007549D3" w:rsidRDefault="007549D3" w:rsidP="007549D3">
      <w:pPr>
        <w:pStyle w:val="Heading2"/>
      </w:pPr>
      <w:bookmarkStart w:id="6" w:name="_Toc314677151"/>
      <w:bookmarkStart w:id="7" w:name="_Toc314733821"/>
      <w:bookmarkStart w:id="8" w:name="_Toc435185263"/>
      <w:r>
        <w:t xml:space="preserve">Version Number </w:t>
      </w:r>
      <w:bookmarkEnd w:id="6"/>
      <w:bookmarkEnd w:id="7"/>
      <w:r>
        <w:t>1.0</w:t>
      </w:r>
      <w:bookmarkEnd w:id="8"/>
    </w:p>
    <w:p w:rsidR="007549D3" w:rsidRDefault="007549D3" w:rsidP="007549D3"/>
    <w:p w:rsidR="007549D3" w:rsidRDefault="007549D3" w:rsidP="007549D3">
      <w:pPr>
        <w:contextualSpacing/>
      </w:pPr>
      <w:r>
        <w:t>Approved by: ___________________________</w:t>
      </w:r>
      <w:r>
        <w:tab/>
      </w:r>
      <w:r>
        <w:tab/>
      </w:r>
      <w:r>
        <w:tab/>
        <w:t>Date: _________________________</w:t>
      </w:r>
    </w:p>
    <w:p w:rsidR="007549D3" w:rsidRPr="00E058D0" w:rsidRDefault="007549D3" w:rsidP="007549D3">
      <w:pPr>
        <w:ind w:left="720" w:firstLine="720"/>
        <w:contextualSpacing/>
      </w:pPr>
      <w:r>
        <w:t>(Monitoring Center Director)</w:t>
      </w:r>
    </w:p>
    <w:p w:rsidR="007549D3" w:rsidRDefault="007549D3" w:rsidP="007549D3"/>
    <w:p w:rsidR="007549D3" w:rsidRDefault="007549D3" w:rsidP="007549D3"/>
    <w:p w:rsidR="007549D3" w:rsidRDefault="007549D3" w:rsidP="007549D3">
      <w:pPr>
        <w:pStyle w:val="Heading3"/>
      </w:pPr>
      <w:bookmarkStart w:id="9" w:name="_Toc314677152"/>
      <w:bookmarkStart w:id="10" w:name="_Toc314733822"/>
      <w:bookmarkStart w:id="11" w:name="_Toc435185264"/>
      <w:r>
        <w:t>Revision History Log</w:t>
      </w:r>
      <w:bookmarkEnd w:id="9"/>
      <w:bookmarkEnd w:id="10"/>
      <w:bookmarkEnd w:id="11"/>
    </w:p>
    <w:tbl>
      <w:tblPr>
        <w:tblStyle w:val="TableGrid"/>
        <w:tblW w:w="0" w:type="auto"/>
        <w:tblLook w:val="04A0" w:firstRow="1" w:lastRow="0" w:firstColumn="1" w:lastColumn="0" w:noHBand="0" w:noVBand="1"/>
      </w:tblPr>
      <w:tblGrid>
        <w:gridCol w:w="1101"/>
        <w:gridCol w:w="1559"/>
        <w:gridCol w:w="2308"/>
        <w:gridCol w:w="4608"/>
      </w:tblGrid>
      <w:tr w:rsidR="007549D3" w:rsidTr="007549D3">
        <w:tc>
          <w:tcPr>
            <w:tcW w:w="1101" w:type="dxa"/>
            <w:shd w:val="clear" w:color="auto" w:fill="000000" w:themeFill="text1"/>
          </w:tcPr>
          <w:p w:rsidR="007549D3" w:rsidRDefault="007549D3" w:rsidP="007800A3">
            <w:r>
              <w:t>Version #</w:t>
            </w:r>
          </w:p>
        </w:tc>
        <w:tc>
          <w:tcPr>
            <w:tcW w:w="1559" w:type="dxa"/>
            <w:shd w:val="clear" w:color="auto" w:fill="000000" w:themeFill="text1"/>
          </w:tcPr>
          <w:p w:rsidR="007549D3" w:rsidRDefault="007549D3" w:rsidP="007800A3">
            <w:r>
              <w:t>Revision Date</w:t>
            </w:r>
          </w:p>
        </w:tc>
        <w:tc>
          <w:tcPr>
            <w:tcW w:w="2308" w:type="dxa"/>
            <w:shd w:val="clear" w:color="auto" w:fill="000000" w:themeFill="text1"/>
          </w:tcPr>
          <w:p w:rsidR="007549D3" w:rsidRDefault="007549D3" w:rsidP="007800A3">
            <w:r>
              <w:t>Author</w:t>
            </w:r>
          </w:p>
        </w:tc>
        <w:tc>
          <w:tcPr>
            <w:tcW w:w="4608" w:type="dxa"/>
            <w:shd w:val="clear" w:color="auto" w:fill="000000" w:themeFill="text1"/>
          </w:tcPr>
          <w:p w:rsidR="007549D3" w:rsidRDefault="007549D3" w:rsidP="007800A3">
            <w:r>
              <w:t>Changes</w:t>
            </w:r>
          </w:p>
        </w:tc>
      </w:tr>
      <w:tr w:rsidR="007549D3" w:rsidTr="007549D3">
        <w:tc>
          <w:tcPr>
            <w:tcW w:w="1101" w:type="dxa"/>
          </w:tcPr>
          <w:p w:rsidR="007549D3" w:rsidRDefault="007549D3" w:rsidP="007800A3">
            <w:r>
              <w:t>1.0</w:t>
            </w:r>
          </w:p>
        </w:tc>
        <w:tc>
          <w:tcPr>
            <w:tcW w:w="1559" w:type="dxa"/>
          </w:tcPr>
          <w:p w:rsidR="007549D3" w:rsidRDefault="007549D3" w:rsidP="007800A3">
            <w:r>
              <w:t>05/12/2014</w:t>
            </w:r>
          </w:p>
        </w:tc>
        <w:tc>
          <w:tcPr>
            <w:tcW w:w="2308" w:type="dxa"/>
          </w:tcPr>
          <w:p w:rsidR="007549D3" w:rsidRDefault="007549D3" w:rsidP="007800A3">
            <w:r>
              <w:t>Paola Pierossi</w:t>
            </w:r>
          </w:p>
        </w:tc>
        <w:tc>
          <w:tcPr>
            <w:tcW w:w="4608" w:type="dxa"/>
          </w:tcPr>
          <w:p w:rsidR="007549D3" w:rsidRDefault="007549D3" w:rsidP="007800A3">
            <w:r>
              <w:t>Drafted</w:t>
            </w:r>
          </w:p>
        </w:tc>
      </w:tr>
      <w:tr w:rsidR="007549D3" w:rsidTr="007549D3">
        <w:tc>
          <w:tcPr>
            <w:tcW w:w="1101" w:type="dxa"/>
          </w:tcPr>
          <w:p w:rsidR="007549D3" w:rsidRDefault="007549D3" w:rsidP="007800A3">
            <w:r>
              <w:t>1.1</w:t>
            </w:r>
          </w:p>
        </w:tc>
        <w:tc>
          <w:tcPr>
            <w:tcW w:w="1559" w:type="dxa"/>
          </w:tcPr>
          <w:p w:rsidR="007549D3" w:rsidRDefault="007549D3" w:rsidP="007800A3">
            <w:r>
              <w:t>28/10/2015</w:t>
            </w:r>
          </w:p>
        </w:tc>
        <w:tc>
          <w:tcPr>
            <w:tcW w:w="2308" w:type="dxa"/>
          </w:tcPr>
          <w:p w:rsidR="007549D3" w:rsidRDefault="007549D3" w:rsidP="007800A3">
            <w:r>
              <w:t>Courtney DesLauriers</w:t>
            </w:r>
          </w:p>
        </w:tc>
        <w:tc>
          <w:tcPr>
            <w:tcW w:w="4608" w:type="dxa"/>
          </w:tcPr>
          <w:p w:rsidR="007549D3" w:rsidRDefault="00F912C2" w:rsidP="007800A3">
            <w:r>
              <w:t>Edited</w:t>
            </w:r>
          </w:p>
        </w:tc>
      </w:tr>
    </w:tbl>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p w:rsidR="007549D3" w:rsidRDefault="007549D3" w:rsidP="007549D3"/>
    <w:sdt>
      <w:sdtPr>
        <w:rPr>
          <w:rFonts w:asciiTheme="minorHAnsi" w:eastAsiaTheme="minorHAnsi" w:hAnsiTheme="minorHAnsi" w:cstheme="minorBidi"/>
          <w:b w:val="0"/>
          <w:bCs w:val="0"/>
          <w:color w:val="auto"/>
          <w:sz w:val="22"/>
          <w:szCs w:val="22"/>
          <w:lang w:val="en-CA" w:eastAsia="en-US"/>
        </w:rPr>
        <w:id w:val="-321115126"/>
        <w:docPartObj>
          <w:docPartGallery w:val="Table of Contents"/>
          <w:docPartUnique/>
        </w:docPartObj>
      </w:sdtPr>
      <w:sdtEndPr>
        <w:rPr>
          <w:noProof/>
        </w:rPr>
      </w:sdtEndPr>
      <w:sdtContent>
        <w:p w:rsidR="007549D3" w:rsidRDefault="007549D3" w:rsidP="007549D3">
          <w:pPr>
            <w:pStyle w:val="TOCHeading"/>
          </w:pPr>
          <w:r>
            <w:t>Contents</w:t>
          </w:r>
        </w:p>
        <w:p w:rsidR="008F2DB8" w:rsidRDefault="00E04400" w:rsidP="00E04400">
          <w:pPr>
            <w:pStyle w:val="TOC2"/>
            <w:tabs>
              <w:tab w:val="right" w:leader="dot" w:pos="9350"/>
            </w:tabs>
            <w:rPr>
              <w:rFonts w:eastAsiaTheme="minorEastAsia"/>
              <w:noProof/>
              <w:lang w:eastAsia="en-CA"/>
            </w:rPr>
          </w:pPr>
          <w:r>
            <w:t xml:space="preserve">    </w:t>
          </w:r>
          <w:r w:rsidR="007549D3">
            <w:fldChar w:fldCharType="begin"/>
          </w:r>
          <w:r w:rsidR="007549D3">
            <w:instrText xml:space="preserve"> TOC \o "1-3" \h \z \u </w:instrText>
          </w:r>
          <w:r w:rsidR="007549D3">
            <w:fldChar w:fldCharType="separate"/>
          </w:r>
        </w:p>
        <w:p w:rsidR="008F2DB8" w:rsidRDefault="00485CD3">
          <w:pPr>
            <w:pStyle w:val="TOC1"/>
            <w:tabs>
              <w:tab w:val="left" w:pos="440"/>
              <w:tab w:val="right" w:leader="dot" w:pos="9350"/>
            </w:tabs>
            <w:rPr>
              <w:rFonts w:eastAsiaTheme="minorEastAsia"/>
              <w:noProof/>
              <w:lang w:eastAsia="en-CA"/>
            </w:rPr>
          </w:pPr>
          <w:hyperlink w:anchor="_Toc435185265" w:history="1">
            <w:r w:rsidR="008F2DB8" w:rsidRPr="00EB6110">
              <w:rPr>
                <w:rStyle w:val="Hyperlink"/>
                <w:noProof/>
              </w:rPr>
              <w:t>1.</w:t>
            </w:r>
            <w:r w:rsidR="008F2DB8">
              <w:rPr>
                <w:rFonts w:eastAsiaTheme="minorEastAsia"/>
                <w:noProof/>
                <w:lang w:eastAsia="en-CA"/>
              </w:rPr>
              <w:tab/>
            </w:r>
            <w:r w:rsidR="008F2DB8" w:rsidRPr="00EB6110">
              <w:rPr>
                <w:rStyle w:val="Hyperlink"/>
                <w:noProof/>
              </w:rPr>
              <w:t>Introduction</w:t>
            </w:r>
            <w:r w:rsidR="008F2DB8">
              <w:rPr>
                <w:noProof/>
                <w:webHidden/>
              </w:rPr>
              <w:tab/>
            </w:r>
            <w:r w:rsidR="008F2DB8">
              <w:rPr>
                <w:noProof/>
                <w:webHidden/>
              </w:rPr>
              <w:fldChar w:fldCharType="begin"/>
            </w:r>
            <w:r w:rsidR="008F2DB8">
              <w:rPr>
                <w:noProof/>
                <w:webHidden/>
              </w:rPr>
              <w:instrText xml:space="preserve"> PAGEREF _Toc435185265 \h </w:instrText>
            </w:r>
            <w:r w:rsidR="008F2DB8">
              <w:rPr>
                <w:noProof/>
                <w:webHidden/>
              </w:rPr>
            </w:r>
            <w:r w:rsidR="008F2DB8">
              <w:rPr>
                <w:noProof/>
                <w:webHidden/>
              </w:rPr>
              <w:fldChar w:fldCharType="separate"/>
            </w:r>
            <w:r w:rsidR="00E04400">
              <w:rPr>
                <w:noProof/>
                <w:webHidden/>
              </w:rPr>
              <w:t>4</w:t>
            </w:r>
            <w:r w:rsidR="008F2DB8">
              <w:rPr>
                <w:noProof/>
                <w:webHidden/>
              </w:rPr>
              <w:fldChar w:fldCharType="end"/>
            </w:r>
          </w:hyperlink>
        </w:p>
        <w:p w:rsidR="008F2DB8" w:rsidRDefault="00485CD3">
          <w:pPr>
            <w:pStyle w:val="TOC1"/>
            <w:tabs>
              <w:tab w:val="left" w:pos="440"/>
              <w:tab w:val="right" w:leader="dot" w:pos="9350"/>
            </w:tabs>
            <w:rPr>
              <w:rFonts w:eastAsiaTheme="minorEastAsia"/>
              <w:noProof/>
              <w:lang w:eastAsia="en-CA"/>
            </w:rPr>
          </w:pPr>
          <w:hyperlink w:anchor="_Toc435185266" w:history="1">
            <w:r w:rsidR="008F2DB8" w:rsidRPr="00EB6110">
              <w:rPr>
                <w:rStyle w:val="Hyperlink"/>
                <w:noProof/>
              </w:rPr>
              <w:t>2.</w:t>
            </w:r>
            <w:r w:rsidR="008F2DB8">
              <w:rPr>
                <w:rFonts w:eastAsiaTheme="minorEastAsia"/>
                <w:noProof/>
                <w:lang w:eastAsia="en-CA"/>
              </w:rPr>
              <w:tab/>
            </w:r>
            <w:r w:rsidR="008F2DB8" w:rsidRPr="00EB6110">
              <w:rPr>
                <w:rStyle w:val="Hyperlink"/>
                <w:noProof/>
              </w:rPr>
              <w:t>Summary of Procedure</w:t>
            </w:r>
            <w:r w:rsidR="008F2DB8">
              <w:rPr>
                <w:noProof/>
                <w:webHidden/>
              </w:rPr>
              <w:tab/>
            </w:r>
            <w:r w:rsidR="008F2DB8">
              <w:rPr>
                <w:noProof/>
                <w:webHidden/>
              </w:rPr>
              <w:fldChar w:fldCharType="begin"/>
            </w:r>
            <w:r w:rsidR="008F2DB8">
              <w:rPr>
                <w:noProof/>
                <w:webHidden/>
              </w:rPr>
              <w:instrText xml:space="preserve"> PAGEREF _Toc435185266 \h </w:instrText>
            </w:r>
            <w:r w:rsidR="008F2DB8">
              <w:rPr>
                <w:noProof/>
                <w:webHidden/>
              </w:rPr>
            </w:r>
            <w:r w:rsidR="008F2DB8">
              <w:rPr>
                <w:noProof/>
                <w:webHidden/>
              </w:rPr>
              <w:fldChar w:fldCharType="separate"/>
            </w:r>
            <w:r w:rsidR="00E04400">
              <w:rPr>
                <w:noProof/>
                <w:webHidden/>
              </w:rPr>
              <w:t>4</w:t>
            </w:r>
            <w:r w:rsidR="008F2DB8">
              <w:rPr>
                <w:noProof/>
                <w:webHidden/>
              </w:rPr>
              <w:fldChar w:fldCharType="end"/>
            </w:r>
          </w:hyperlink>
        </w:p>
        <w:p w:rsidR="008F2DB8" w:rsidRDefault="00485CD3">
          <w:pPr>
            <w:pStyle w:val="TOC1"/>
            <w:tabs>
              <w:tab w:val="left" w:pos="440"/>
              <w:tab w:val="right" w:leader="dot" w:pos="9350"/>
            </w:tabs>
            <w:rPr>
              <w:rFonts w:eastAsiaTheme="minorEastAsia"/>
              <w:noProof/>
              <w:lang w:eastAsia="en-CA"/>
            </w:rPr>
          </w:pPr>
          <w:hyperlink w:anchor="_Toc435185267" w:history="1">
            <w:r w:rsidR="008F2DB8" w:rsidRPr="00EB6110">
              <w:rPr>
                <w:rStyle w:val="Hyperlink"/>
                <w:noProof/>
              </w:rPr>
              <w:t>3.</w:t>
            </w:r>
            <w:r w:rsidR="008F2DB8">
              <w:rPr>
                <w:rFonts w:eastAsiaTheme="minorEastAsia"/>
                <w:noProof/>
                <w:lang w:eastAsia="en-CA"/>
              </w:rPr>
              <w:tab/>
            </w:r>
            <w:r w:rsidR="008F2DB8" w:rsidRPr="00EB6110">
              <w:rPr>
                <w:rStyle w:val="Hyperlink"/>
                <w:noProof/>
              </w:rPr>
              <w:t>Software Program Requirements</w:t>
            </w:r>
            <w:r w:rsidR="008F2DB8">
              <w:rPr>
                <w:noProof/>
                <w:webHidden/>
              </w:rPr>
              <w:tab/>
            </w:r>
            <w:r w:rsidR="008F2DB8">
              <w:rPr>
                <w:noProof/>
                <w:webHidden/>
              </w:rPr>
              <w:fldChar w:fldCharType="begin"/>
            </w:r>
            <w:r w:rsidR="008F2DB8">
              <w:rPr>
                <w:noProof/>
                <w:webHidden/>
              </w:rPr>
              <w:instrText xml:space="preserve"> PAGEREF _Toc435185267 \h </w:instrText>
            </w:r>
            <w:r w:rsidR="008F2DB8">
              <w:rPr>
                <w:noProof/>
                <w:webHidden/>
              </w:rPr>
            </w:r>
            <w:r w:rsidR="008F2DB8">
              <w:rPr>
                <w:noProof/>
                <w:webHidden/>
              </w:rPr>
              <w:fldChar w:fldCharType="separate"/>
            </w:r>
            <w:r w:rsidR="00E04400">
              <w:rPr>
                <w:noProof/>
                <w:webHidden/>
              </w:rPr>
              <w:t>4</w:t>
            </w:r>
            <w:r w:rsidR="008F2DB8">
              <w:rPr>
                <w:noProof/>
                <w:webHidden/>
              </w:rPr>
              <w:fldChar w:fldCharType="end"/>
            </w:r>
          </w:hyperlink>
        </w:p>
        <w:p w:rsidR="008F2DB8" w:rsidRDefault="00485CD3">
          <w:pPr>
            <w:pStyle w:val="TOC1"/>
            <w:tabs>
              <w:tab w:val="left" w:pos="440"/>
              <w:tab w:val="right" w:leader="dot" w:pos="9350"/>
            </w:tabs>
            <w:rPr>
              <w:rFonts w:eastAsiaTheme="minorEastAsia"/>
              <w:noProof/>
              <w:lang w:eastAsia="en-CA"/>
            </w:rPr>
          </w:pPr>
          <w:hyperlink w:anchor="_Toc435185268" w:history="1">
            <w:r w:rsidR="008F2DB8" w:rsidRPr="00EB6110">
              <w:rPr>
                <w:rStyle w:val="Hyperlink"/>
                <w:noProof/>
              </w:rPr>
              <w:t>4.</w:t>
            </w:r>
            <w:r w:rsidR="008F2DB8">
              <w:rPr>
                <w:rFonts w:eastAsiaTheme="minorEastAsia"/>
                <w:noProof/>
                <w:lang w:eastAsia="en-CA"/>
              </w:rPr>
              <w:tab/>
            </w:r>
            <w:r w:rsidR="008F2DB8" w:rsidRPr="00EB6110">
              <w:rPr>
                <w:rStyle w:val="Hyperlink"/>
                <w:noProof/>
              </w:rPr>
              <w:t>Core Site Naming Convention- Original Visit</w:t>
            </w:r>
            <w:r w:rsidR="008F2DB8">
              <w:rPr>
                <w:noProof/>
                <w:webHidden/>
              </w:rPr>
              <w:tab/>
            </w:r>
            <w:r w:rsidR="008F2DB8">
              <w:rPr>
                <w:noProof/>
                <w:webHidden/>
              </w:rPr>
              <w:fldChar w:fldCharType="begin"/>
            </w:r>
            <w:r w:rsidR="008F2DB8">
              <w:rPr>
                <w:noProof/>
                <w:webHidden/>
              </w:rPr>
              <w:instrText xml:space="preserve"> PAGEREF _Toc435185268 \h </w:instrText>
            </w:r>
            <w:r w:rsidR="008F2DB8">
              <w:rPr>
                <w:noProof/>
                <w:webHidden/>
              </w:rPr>
            </w:r>
            <w:r w:rsidR="008F2DB8">
              <w:rPr>
                <w:noProof/>
                <w:webHidden/>
              </w:rPr>
              <w:fldChar w:fldCharType="separate"/>
            </w:r>
            <w:r w:rsidR="00E04400">
              <w:rPr>
                <w:noProof/>
                <w:webHidden/>
              </w:rPr>
              <w:t>4</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69" w:history="1">
            <w:r w:rsidR="008F2DB8" w:rsidRPr="00EB6110">
              <w:rPr>
                <w:rStyle w:val="Hyperlink"/>
                <w:noProof/>
              </w:rPr>
              <w:t>Procedure of Naming Core Sites:</w:t>
            </w:r>
            <w:r w:rsidR="008F2DB8">
              <w:rPr>
                <w:noProof/>
                <w:webHidden/>
              </w:rPr>
              <w:tab/>
            </w:r>
            <w:r w:rsidR="008F2DB8">
              <w:rPr>
                <w:noProof/>
                <w:webHidden/>
              </w:rPr>
              <w:fldChar w:fldCharType="begin"/>
            </w:r>
            <w:r w:rsidR="008F2DB8">
              <w:rPr>
                <w:noProof/>
                <w:webHidden/>
              </w:rPr>
              <w:instrText xml:space="preserve"> PAGEREF _Toc435185269 \h </w:instrText>
            </w:r>
            <w:r w:rsidR="008F2DB8">
              <w:rPr>
                <w:noProof/>
                <w:webHidden/>
              </w:rPr>
            </w:r>
            <w:r w:rsidR="008F2DB8">
              <w:rPr>
                <w:noProof/>
                <w:webHidden/>
              </w:rPr>
              <w:fldChar w:fldCharType="separate"/>
            </w:r>
            <w:r w:rsidR="00E04400">
              <w:rPr>
                <w:noProof/>
                <w:webHidden/>
              </w:rPr>
              <w:t>5</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70" w:history="1">
            <w:r w:rsidR="008F2DB8" w:rsidRPr="00EB6110">
              <w:rPr>
                <w:rStyle w:val="Hyperlink"/>
                <w:noProof/>
              </w:rPr>
              <w:t>Division of Responsibility</w:t>
            </w:r>
            <w:r w:rsidR="008F2DB8">
              <w:rPr>
                <w:noProof/>
                <w:webHidden/>
              </w:rPr>
              <w:tab/>
            </w:r>
            <w:r w:rsidR="008F2DB8">
              <w:rPr>
                <w:noProof/>
                <w:webHidden/>
              </w:rPr>
              <w:fldChar w:fldCharType="begin"/>
            </w:r>
            <w:r w:rsidR="008F2DB8">
              <w:rPr>
                <w:noProof/>
                <w:webHidden/>
              </w:rPr>
              <w:instrText xml:space="preserve"> PAGEREF _Toc435185270 \h </w:instrText>
            </w:r>
            <w:r w:rsidR="008F2DB8">
              <w:rPr>
                <w:noProof/>
                <w:webHidden/>
              </w:rPr>
            </w:r>
            <w:r w:rsidR="008F2DB8">
              <w:rPr>
                <w:noProof/>
                <w:webHidden/>
              </w:rPr>
              <w:fldChar w:fldCharType="separate"/>
            </w:r>
            <w:r w:rsidR="00E04400">
              <w:rPr>
                <w:noProof/>
                <w:webHidden/>
              </w:rPr>
              <w:t>6</w:t>
            </w:r>
            <w:r w:rsidR="008F2DB8">
              <w:rPr>
                <w:noProof/>
                <w:webHidden/>
              </w:rPr>
              <w:fldChar w:fldCharType="end"/>
            </w:r>
          </w:hyperlink>
        </w:p>
        <w:p w:rsidR="008F2DB8" w:rsidRDefault="00485CD3">
          <w:pPr>
            <w:pStyle w:val="TOC1"/>
            <w:tabs>
              <w:tab w:val="left" w:pos="440"/>
              <w:tab w:val="right" w:leader="dot" w:pos="9350"/>
            </w:tabs>
            <w:rPr>
              <w:rFonts w:eastAsiaTheme="minorEastAsia"/>
              <w:noProof/>
              <w:lang w:eastAsia="en-CA"/>
            </w:rPr>
          </w:pPr>
          <w:hyperlink w:anchor="_Toc435185271" w:history="1">
            <w:r w:rsidR="008F2DB8" w:rsidRPr="00EB6110">
              <w:rPr>
                <w:rStyle w:val="Hyperlink"/>
                <w:noProof/>
              </w:rPr>
              <w:t>5.</w:t>
            </w:r>
            <w:r w:rsidR="008F2DB8">
              <w:rPr>
                <w:rFonts w:eastAsiaTheme="minorEastAsia"/>
                <w:noProof/>
                <w:lang w:eastAsia="en-CA"/>
              </w:rPr>
              <w:tab/>
            </w:r>
            <w:r w:rsidR="008F2DB8" w:rsidRPr="00EB6110">
              <w:rPr>
                <w:rStyle w:val="Hyperlink"/>
                <w:noProof/>
              </w:rPr>
              <w:t>Core Site Naming Convention- Revisit</w:t>
            </w:r>
            <w:r w:rsidR="008F2DB8">
              <w:rPr>
                <w:noProof/>
                <w:webHidden/>
              </w:rPr>
              <w:tab/>
            </w:r>
            <w:r w:rsidR="008F2DB8">
              <w:rPr>
                <w:noProof/>
                <w:webHidden/>
              </w:rPr>
              <w:fldChar w:fldCharType="begin"/>
            </w:r>
            <w:r w:rsidR="008F2DB8">
              <w:rPr>
                <w:noProof/>
                <w:webHidden/>
              </w:rPr>
              <w:instrText xml:space="preserve"> PAGEREF _Toc435185271 \h </w:instrText>
            </w:r>
            <w:r w:rsidR="008F2DB8">
              <w:rPr>
                <w:noProof/>
                <w:webHidden/>
              </w:rPr>
            </w:r>
            <w:r w:rsidR="008F2DB8">
              <w:rPr>
                <w:noProof/>
                <w:webHidden/>
              </w:rPr>
              <w:fldChar w:fldCharType="separate"/>
            </w:r>
            <w:r w:rsidR="00E04400">
              <w:rPr>
                <w:noProof/>
                <w:webHidden/>
              </w:rPr>
              <w:t>7</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72" w:history="1">
            <w:r w:rsidR="008F2DB8" w:rsidRPr="00EB6110">
              <w:rPr>
                <w:rStyle w:val="Hyperlink"/>
                <w:noProof/>
              </w:rPr>
              <w:t>Procedure of Naming Core Revisit Sites:</w:t>
            </w:r>
            <w:r w:rsidR="008F2DB8">
              <w:rPr>
                <w:noProof/>
                <w:webHidden/>
              </w:rPr>
              <w:tab/>
            </w:r>
            <w:r w:rsidR="008F2DB8">
              <w:rPr>
                <w:noProof/>
                <w:webHidden/>
              </w:rPr>
              <w:fldChar w:fldCharType="begin"/>
            </w:r>
            <w:r w:rsidR="008F2DB8">
              <w:rPr>
                <w:noProof/>
                <w:webHidden/>
              </w:rPr>
              <w:instrText xml:space="preserve"> PAGEREF _Toc435185272 \h </w:instrText>
            </w:r>
            <w:r w:rsidR="008F2DB8">
              <w:rPr>
                <w:noProof/>
                <w:webHidden/>
              </w:rPr>
            </w:r>
            <w:r w:rsidR="008F2DB8">
              <w:rPr>
                <w:noProof/>
                <w:webHidden/>
              </w:rPr>
              <w:fldChar w:fldCharType="separate"/>
            </w:r>
            <w:r w:rsidR="00E04400">
              <w:rPr>
                <w:noProof/>
                <w:webHidden/>
              </w:rPr>
              <w:t>8</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73" w:history="1">
            <w:r w:rsidR="008F2DB8" w:rsidRPr="00EB6110">
              <w:rPr>
                <w:rStyle w:val="Hyperlink"/>
                <w:noProof/>
              </w:rPr>
              <w:t>Division of Responsibility</w:t>
            </w:r>
            <w:r w:rsidR="008F2DB8">
              <w:rPr>
                <w:noProof/>
                <w:webHidden/>
              </w:rPr>
              <w:tab/>
            </w:r>
            <w:r w:rsidR="008F2DB8">
              <w:rPr>
                <w:noProof/>
                <w:webHidden/>
              </w:rPr>
              <w:fldChar w:fldCharType="begin"/>
            </w:r>
            <w:r w:rsidR="008F2DB8">
              <w:rPr>
                <w:noProof/>
                <w:webHidden/>
              </w:rPr>
              <w:instrText xml:space="preserve"> PAGEREF _Toc435185273 \h </w:instrText>
            </w:r>
            <w:r w:rsidR="008F2DB8">
              <w:rPr>
                <w:noProof/>
                <w:webHidden/>
              </w:rPr>
            </w:r>
            <w:r w:rsidR="008F2DB8">
              <w:rPr>
                <w:noProof/>
                <w:webHidden/>
              </w:rPr>
              <w:fldChar w:fldCharType="separate"/>
            </w:r>
            <w:r w:rsidR="00E04400">
              <w:rPr>
                <w:noProof/>
                <w:webHidden/>
              </w:rPr>
              <w:t>9</w:t>
            </w:r>
            <w:r w:rsidR="008F2DB8">
              <w:rPr>
                <w:noProof/>
                <w:webHidden/>
              </w:rPr>
              <w:fldChar w:fldCharType="end"/>
            </w:r>
          </w:hyperlink>
        </w:p>
        <w:p w:rsidR="008F2DB8" w:rsidRDefault="00485CD3">
          <w:pPr>
            <w:pStyle w:val="TOC1"/>
            <w:tabs>
              <w:tab w:val="left" w:pos="440"/>
              <w:tab w:val="right" w:leader="dot" w:pos="9350"/>
            </w:tabs>
            <w:rPr>
              <w:rFonts w:eastAsiaTheme="minorEastAsia"/>
              <w:noProof/>
              <w:lang w:eastAsia="en-CA"/>
            </w:rPr>
          </w:pPr>
          <w:hyperlink w:anchor="_Toc435185274" w:history="1">
            <w:r w:rsidR="008F2DB8" w:rsidRPr="00EB6110">
              <w:rPr>
                <w:rStyle w:val="Hyperlink"/>
                <w:noProof/>
              </w:rPr>
              <w:t>6.</w:t>
            </w:r>
            <w:r w:rsidR="008F2DB8">
              <w:rPr>
                <w:rFonts w:eastAsiaTheme="minorEastAsia"/>
                <w:noProof/>
                <w:lang w:eastAsia="en-CA"/>
              </w:rPr>
              <w:tab/>
            </w:r>
            <w:r w:rsidR="008F2DB8" w:rsidRPr="00EB6110">
              <w:rPr>
                <w:rStyle w:val="Hyperlink"/>
                <w:noProof/>
              </w:rPr>
              <w:t>Off Grid Site Naming Convention</w:t>
            </w:r>
            <w:r w:rsidR="008F2DB8">
              <w:rPr>
                <w:noProof/>
                <w:webHidden/>
              </w:rPr>
              <w:tab/>
            </w:r>
            <w:r w:rsidR="008F2DB8">
              <w:rPr>
                <w:noProof/>
                <w:webHidden/>
              </w:rPr>
              <w:fldChar w:fldCharType="begin"/>
            </w:r>
            <w:r w:rsidR="008F2DB8">
              <w:rPr>
                <w:noProof/>
                <w:webHidden/>
              </w:rPr>
              <w:instrText xml:space="preserve"> PAGEREF _Toc435185274 \h </w:instrText>
            </w:r>
            <w:r w:rsidR="008F2DB8">
              <w:rPr>
                <w:noProof/>
                <w:webHidden/>
              </w:rPr>
            </w:r>
            <w:r w:rsidR="008F2DB8">
              <w:rPr>
                <w:noProof/>
                <w:webHidden/>
              </w:rPr>
              <w:fldChar w:fldCharType="separate"/>
            </w:r>
            <w:r w:rsidR="00E04400">
              <w:rPr>
                <w:noProof/>
                <w:webHidden/>
              </w:rPr>
              <w:t>9</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75" w:history="1">
            <w:r w:rsidR="008F2DB8" w:rsidRPr="00EB6110">
              <w:rPr>
                <w:rStyle w:val="Hyperlink"/>
                <w:noProof/>
              </w:rPr>
              <w:t>Procedure of Off Grid Sites:</w:t>
            </w:r>
            <w:r w:rsidR="008F2DB8">
              <w:rPr>
                <w:noProof/>
                <w:webHidden/>
              </w:rPr>
              <w:tab/>
            </w:r>
            <w:r w:rsidR="008F2DB8">
              <w:rPr>
                <w:noProof/>
                <w:webHidden/>
              </w:rPr>
              <w:fldChar w:fldCharType="begin"/>
            </w:r>
            <w:r w:rsidR="008F2DB8">
              <w:rPr>
                <w:noProof/>
                <w:webHidden/>
              </w:rPr>
              <w:instrText xml:space="preserve"> PAGEREF _Toc435185275 \h </w:instrText>
            </w:r>
            <w:r w:rsidR="008F2DB8">
              <w:rPr>
                <w:noProof/>
                <w:webHidden/>
              </w:rPr>
            </w:r>
            <w:r w:rsidR="008F2DB8">
              <w:rPr>
                <w:noProof/>
                <w:webHidden/>
              </w:rPr>
              <w:fldChar w:fldCharType="separate"/>
            </w:r>
            <w:r w:rsidR="00E04400">
              <w:rPr>
                <w:noProof/>
                <w:webHidden/>
              </w:rPr>
              <w:t>11</w:t>
            </w:r>
            <w:r w:rsidR="008F2DB8">
              <w:rPr>
                <w:noProof/>
                <w:webHidden/>
              </w:rPr>
              <w:fldChar w:fldCharType="end"/>
            </w:r>
          </w:hyperlink>
        </w:p>
        <w:p w:rsidR="008F2DB8" w:rsidRDefault="00485CD3">
          <w:pPr>
            <w:pStyle w:val="TOC3"/>
            <w:tabs>
              <w:tab w:val="right" w:leader="dot" w:pos="9350"/>
            </w:tabs>
            <w:rPr>
              <w:rFonts w:eastAsiaTheme="minorEastAsia"/>
              <w:noProof/>
              <w:lang w:eastAsia="en-CA"/>
            </w:rPr>
          </w:pPr>
          <w:hyperlink w:anchor="_Toc435185276" w:history="1">
            <w:r w:rsidR="008F2DB8" w:rsidRPr="00EB6110">
              <w:rPr>
                <w:rStyle w:val="Hyperlink"/>
                <w:noProof/>
              </w:rPr>
              <w:t>Division of Responsibility</w:t>
            </w:r>
            <w:r w:rsidR="008F2DB8">
              <w:rPr>
                <w:noProof/>
                <w:webHidden/>
              </w:rPr>
              <w:tab/>
            </w:r>
            <w:r w:rsidR="008F2DB8">
              <w:rPr>
                <w:noProof/>
                <w:webHidden/>
              </w:rPr>
              <w:fldChar w:fldCharType="begin"/>
            </w:r>
            <w:r w:rsidR="008F2DB8">
              <w:rPr>
                <w:noProof/>
                <w:webHidden/>
              </w:rPr>
              <w:instrText xml:space="preserve"> PAGEREF _Toc435185276 \h </w:instrText>
            </w:r>
            <w:r w:rsidR="008F2DB8">
              <w:rPr>
                <w:noProof/>
                <w:webHidden/>
              </w:rPr>
            </w:r>
            <w:r w:rsidR="008F2DB8">
              <w:rPr>
                <w:noProof/>
                <w:webHidden/>
              </w:rPr>
              <w:fldChar w:fldCharType="separate"/>
            </w:r>
            <w:r w:rsidR="00E04400">
              <w:rPr>
                <w:noProof/>
                <w:webHidden/>
              </w:rPr>
              <w:t>12</w:t>
            </w:r>
            <w:r w:rsidR="008F2DB8">
              <w:rPr>
                <w:noProof/>
                <w:webHidden/>
              </w:rPr>
              <w:fldChar w:fldCharType="end"/>
            </w:r>
          </w:hyperlink>
        </w:p>
        <w:p w:rsidR="007549D3" w:rsidRDefault="007549D3" w:rsidP="007549D3">
          <w:r>
            <w:rPr>
              <w:b/>
              <w:bCs/>
              <w:noProof/>
            </w:rPr>
            <w:fldChar w:fldCharType="end"/>
          </w:r>
        </w:p>
      </w:sdtContent>
    </w:sdt>
    <w:p w:rsidR="001C6C99" w:rsidRDefault="001C6C99"/>
    <w:p w:rsidR="00653355" w:rsidRDefault="00653355"/>
    <w:p w:rsidR="00E623AB" w:rsidRDefault="00E623AB"/>
    <w:p w:rsidR="002D7AAC" w:rsidRDefault="002D7AAC"/>
    <w:p w:rsidR="002D7AAC" w:rsidRDefault="002D7AAC"/>
    <w:p w:rsidR="002D7AAC" w:rsidRDefault="002D7AAC"/>
    <w:p w:rsidR="00E04400" w:rsidRDefault="00E04400"/>
    <w:p w:rsidR="00E04400" w:rsidRDefault="00E04400"/>
    <w:p w:rsidR="00E623AB" w:rsidRDefault="00E623AB"/>
    <w:p w:rsidR="00653355" w:rsidRDefault="00653355"/>
    <w:p w:rsidR="00653355" w:rsidRDefault="00653355"/>
    <w:p w:rsidR="00653355" w:rsidRDefault="00653355"/>
    <w:p w:rsidR="00653355" w:rsidRDefault="00653355" w:rsidP="009B62A8">
      <w:pPr>
        <w:pStyle w:val="Heading1"/>
        <w:numPr>
          <w:ilvl w:val="0"/>
          <w:numId w:val="1"/>
        </w:numPr>
        <w:ind w:left="360"/>
      </w:pPr>
      <w:bookmarkStart w:id="12" w:name="_Toc435185265"/>
      <w:r>
        <w:lastRenderedPageBreak/>
        <w:t>Introduction</w:t>
      </w:r>
      <w:bookmarkEnd w:id="12"/>
    </w:p>
    <w:p w:rsidR="00FC762B" w:rsidRDefault="00FC762B" w:rsidP="00FC762B">
      <w:pPr>
        <w:ind w:left="360"/>
      </w:pPr>
    </w:p>
    <w:p w:rsidR="00FC762B" w:rsidRDefault="00F11CA8" w:rsidP="00F11CA8">
      <w:pPr>
        <w:ind w:firstLine="360"/>
      </w:pPr>
      <w:r>
        <w:t>The</w:t>
      </w:r>
      <w:r w:rsidR="00FC762B">
        <w:t xml:space="preserve"> process </w:t>
      </w:r>
      <w:r>
        <w:t>for naming original core sites and revisit core sites is outlined in this document.</w:t>
      </w:r>
      <w:r w:rsidR="007A1784">
        <w:t xml:space="preserve"> Naming revisit core sites was agreed upon by the Monitoring Centre (Kendal Benesh, Dan Greenacre, Courtney DesLauriers, and Nina Veselka), the Information Centre (Shawn Morrison, Ola Pierossi, and Elyse Williams), the Science Centre (MC Roy</w:t>
      </w:r>
      <w:r w:rsidR="00E74571">
        <w:t>) and the Royal Alberta Museum (Va</w:t>
      </w:r>
      <w:r w:rsidR="002D7AAC">
        <w:t>rina Crisfield, and Robert Hinch</w:t>
      </w:r>
      <w:r w:rsidR="00E74571">
        <w:t>liffe).</w:t>
      </w:r>
      <w:r>
        <w:t xml:space="preserve">  Naming off grid sites </w:t>
      </w:r>
      <w:r w:rsidR="00FC762B">
        <w:t xml:space="preserve">was agreed </w:t>
      </w:r>
      <w:r>
        <w:t>up</w:t>
      </w:r>
      <w:r w:rsidR="00FC762B">
        <w:t xml:space="preserve">on by the Monitoring Center (Marty Lankau, Stephanie Ball, Nina Veselka, </w:t>
      </w:r>
      <w:r w:rsidR="00B339F5">
        <w:t>and Courtney</w:t>
      </w:r>
      <w:r w:rsidR="00FC762B">
        <w:t xml:space="preserve"> DesLauriers) and the Information Center (Ola </w:t>
      </w:r>
      <w:r>
        <w:t>Pierossi)</w:t>
      </w:r>
      <w:r w:rsidR="00E74571">
        <w:t xml:space="preserve"> starting in 2014.</w:t>
      </w:r>
    </w:p>
    <w:p w:rsidR="00653355" w:rsidRDefault="00653355" w:rsidP="009B62A8">
      <w:pPr>
        <w:pStyle w:val="Heading1"/>
        <w:numPr>
          <w:ilvl w:val="0"/>
          <w:numId w:val="1"/>
        </w:numPr>
        <w:ind w:left="360"/>
      </w:pPr>
      <w:bookmarkStart w:id="13" w:name="_Toc435185266"/>
      <w:r>
        <w:t>Summary of Procedure</w:t>
      </w:r>
      <w:bookmarkEnd w:id="13"/>
    </w:p>
    <w:p w:rsidR="00F11CA8" w:rsidRDefault="00F11CA8" w:rsidP="00F11CA8">
      <w:pPr>
        <w:suppressLineNumbers/>
        <w:spacing w:after="0" w:line="240" w:lineRule="auto"/>
        <w:ind w:firstLine="360"/>
      </w:pPr>
    </w:p>
    <w:p w:rsidR="00832C98" w:rsidRPr="00832C98" w:rsidRDefault="00832C98" w:rsidP="001D51A7">
      <w:pPr>
        <w:suppressLineNumbers/>
        <w:spacing w:after="0"/>
        <w:ind w:firstLine="360"/>
      </w:pPr>
      <w:r>
        <w:t xml:space="preserve">Naming ABMI sites requires involvement </w:t>
      </w:r>
      <w:r w:rsidR="00605B80">
        <w:t xml:space="preserve">from the Monitoring, Information, Science and Geospatial centre. Terrestrial sites are spaced throughout Alberta using the </w:t>
      </w:r>
      <w:smartTag w:uri="urn:schemas-microsoft-com:office:smarttags" w:element="metricconverter">
        <w:smartTagPr>
          <w:attr w:name="ProductID" w:val="20 km"/>
        </w:smartTagPr>
        <w:r w:rsidR="00605B80">
          <w:t>20 km</w:t>
        </w:r>
      </w:smartTag>
      <w:r w:rsidR="00605B80">
        <w:t xml:space="preserve"> National Forest Inventory (NFI) grid. </w:t>
      </w:r>
      <w:r w:rsidR="007C5D32">
        <w:t xml:space="preserve"> </w:t>
      </w:r>
      <w:r w:rsidR="00845AA8">
        <w:t>Terrestrial sites have numerous randomly generated locations surrounding the NFI point within a 10km radius. Wetland sites are selected within a 10km rad</w:t>
      </w:r>
      <w:r w:rsidR="005C654F">
        <w:t xml:space="preserve">ius of the NFI point based on the </w:t>
      </w:r>
      <w:r w:rsidR="00845AA8">
        <w:t>selection criteria. Both c</w:t>
      </w:r>
      <w:r w:rsidR="007C5D32">
        <w:t>ore sites are named based on the closest NFI point</w:t>
      </w:r>
      <w:r w:rsidR="00605B80">
        <w:t>.</w:t>
      </w:r>
      <w:r w:rsidR="00845AA8">
        <w:t xml:space="preserve"> </w:t>
      </w:r>
      <w:r w:rsidR="0091421A">
        <w:t>Off grid sites</w:t>
      </w:r>
      <w:r w:rsidR="001D51A7">
        <w:t xml:space="preserve"> </w:t>
      </w:r>
      <w:r w:rsidR="005C7B5C">
        <w:t>are named by</w:t>
      </w:r>
      <w:r w:rsidR="0091421A">
        <w:t xml:space="preserve"> the Geospatial and </w:t>
      </w:r>
      <w:r w:rsidR="005C7B5C">
        <w:t>I</w:t>
      </w:r>
      <w:r w:rsidR="0091421A">
        <w:t xml:space="preserve">nformation </w:t>
      </w:r>
      <w:r w:rsidR="005C7B5C">
        <w:t>C</w:t>
      </w:r>
      <w:r w:rsidR="0091421A">
        <w:t xml:space="preserve">entre so that duplication of names does not occur. </w:t>
      </w:r>
      <w:r w:rsidR="005C7B5C">
        <w:t>R</w:t>
      </w:r>
      <w:r w:rsidR="0091421A">
        <w:t xml:space="preserve">evisit sites that are </w:t>
      </w:r>
      <w:r w:rsidR="005C7B5C">
        <w:t xml:space="preserve">not in the same location as the </w:t>
      </w:r>
      <w:r w:rsidR="0091421A">
        <w:t>original visit require a variation of the naming scheme.</w:t>
      </w:r>
    </w:p>
    <w:p w:rsidR="007E3700" w:rsidRDefault="007E3700" w:rsidP="009B62A8">
      <w:pPr>
        <w:pStyle w:val="Heading1"/>
        <w:numPr>
          <w:ilvl w:val="0"/>
          <w:numId w:val="1"/>
        </w:numPr>
        <w:ind w:left="360"/>
      </w:pPr>
      <w:bookmarkStart w:id="14" w:name="_Toc435185267"/>
      <w:r>
        <w:t>Software Program Requirements</w:t>
      </w:r>
      <w:bookmarkEnd w:id="14"/>
    </w:p>
    <w:p w:rsidR="00C90B05" w:rsidRDefault="007E3700" w:rsidP="00C90B05">
      <w:pPr>
        <w:pStyle w:val="ListParagraph"/>
        <w:numPr>
          <w:ilvl w:val="0"/>
          <w:numId w:val="8"/>
        </w:numPr>
      </w:pPr>
      <w:r>
        <w:t>ArcGIS, Microsoft Excel</w:t>
      </w:r>
    </w:p>
    <w:p w:rsidR="00C90B05" w:rsidRDefault="00C90B05" w:rsidP="009B62A8">
      <w:pPr>
        <w:pStyle w:val="Heading1"/>
        <w:numPr>
          <w:ilvl w:val="0"/>
          <w:numId w:val="1"/>
        </w:numPr>
        <w:ind w:left="360"/>
      </w:pPr>
      <w:r w:rsidRPr="00C90B05">
        <w:t xml:space="preserve"> </w:t>
      </w:r>
      <w:bookmarkStart w:id="15" w:name="_Toc435185268"/>
      <w:r>
        <w:t>Core Site Naming Convention</w:t>
      </w:r>
      <w:r w:rsidR="00E623AB">
        <w:t>- Original Visit</w:t>
      </w:r>
      <w:bookmarkEnd w:id="15"/>
    </w:p>
    <w:p w:rsidR="0091421A" w:rsidRDefault="0091421A" w:rsidP="0091421A">
      <w:pPr>
        <w:suppressLineNumbers/>
        <w:spacing w:after="0" w:line="240" w:lineRule="auto"/>
      </w:pPr>
    </w:p>
    <w:p w:rsidR="005C7B5C" w:rsidRDefault="008A0A00" w:rsidP="001D51A7">
      <w:pPr>
        <w:suppressLineNumbers/>
        <w:spacing w:after="0"/>
        <w:ind w:firstLine="360"/>
      </w:pPr>
      <w:r>
        <w:t>Core wetland and</w:t>
      </w:r>
      <w:r w:rsidR="005C7B5C">
        <w:t xml:space="preserve"> terrestrial </w:t>
      </w:r>
      <w:r>
        <w:t>sites are</w:t>
      </w:r>
      <w:r w:rsidR="005C7B5C">
        <w:t xml:space="preserve"> named based on their proximity to NFI points</w:t>
      </w:r>
      <w:r>
        <w:t xml:space="preserve">, ranging from 1 – 1656. </w:t>
      </w:r>
    </w:p>
    <w:p w:rsidR="0091421A" w:rsidRDefault="0091421A" w:rsidP="0091421A">
      <w:pPr>
        <w:spacing w:after="0"/>
        <w:ind w:left="1440"/>
      </w:pPr>
      <w:r>
        <w:t xml:space="preserve">e.g.)  </w:t>
      </w:r>
      <w:r>
        <w:tab/>
        <w:t>NFI 623</w:t>
      </w:r>
      <w:r>
        <w:tab/>
        <w:t xml:space="preserve"> </w:t>
      </w:r>
      <w:r>
        <w:tab/>
        <w:t xml:space="preserve">  </w:t>
      </w:r>
      <w:r>
        <w:sym w:font="Wingdings" w:char="F0E0"/>
      </w:r>
      <w:r>
        <w:t xml:space="preserve"> </w:t>
      </w:r>
      <w:r>
        <w:tab/>
        <w:t>ABMI 623</w:t>
      </w:r>
    </w:p>
    <w:p w:rsidR="00C651B5" w:rsidRDefault="00C651B5" w:rsidP="0091421A">
      <w:pPr>
        <w:spacing w:after="0"/>
        <w:ind w:left="1440"/>
      </w:pPr>
    </w:p>
    <w:p w:rsidR="00087CF9" w:rsidRDefault="00087CF9" w:rsidP="007255C2">
      <w:pPr>
        <w:pStyle w:val="Heading3"/>
        <w:rPr>
          <w:sz w:val="28"/>
          <w:szCs w:val="28"/>
        </w:rPr>
      </w:pPr>
      <w:bookmarkStart w:id="16" w:name="_Toc435185269"/>
      <w:r w:rsidRPr="00087CF9">
        <w:rPr>
          <w:sz w:val="28"/>
          <w:szCs w:val="28"/>
        </w:rPr>
        <w:lastRenderedPageBreak/>
        <w:t>Procedure of Naming Core Sites:</w:t>
      </w:r>
      <w:bookmarkEnd w:id="16"/>
    </w:p>
    <w:p w:rsidR="00D31A69" w:rsidRPr="00D31A69" w:rsidRDefault="00D31A69" w:rsidP="00D31A69">
      <w:r>
        <w:rPr>
          <w:noProof/>
          <w:lang w:eastAsia="en-CA"/>
        </w:rPr>
        <w:drawing>
          <wp:inline distT="0" distB="0" distL="0" distR="0" wp14:anchorId="1D65B507" wp14:editId="61DE9ACB">
            <wp:extent cx="5476683" cy="78730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476683" cy="7873048"/>
                    </a:xfrm>
                    <a:prstGeom prst="rect">
                      <a:avLst/>
                    </a:prstGeom>
                  </pic:spPr>
                </pic:pic>
              </a:graphicData>
            </a:graphic>
          </wp:inline>
        </w:drawing>
      </w:r>
    </w:p>
    <w:p w:rsidR="00B72749" w:rsidRPr="00073D65" w:rsidRDefault="00B72749" w:rsidP="00073D65">
      <w:pPr>
        <w:pStyle w:val="Heading3"/>
        <w:rPr>
          <w:sz w:val="24"/>
          <w:szCs w:val="24"/>
        </w:rPr>
      </w:pPr>
      <w:bookmarkStart w:id="17" w:name="_Toc435185270"/>
      <w:r w:rsidRPr="00073D65">
        <w:rPr>
          <w:sz w:val="24"/>
          <w:szCs w:val="24"/>
        </w:rPr>
        <w:lastRenderedPageBreak/>
        <w:t>Division of Responsibility</w:t>
      </w:r>
      <w:bookmarkEnd w:id="17"/>
    </w:p>
    <w:p w:rsidR="00B72749" w:rsidRDefault="00B72749" w:rsidP="00B72749"/>
    <w:p w:rsidR="00B72749" w:rsidRDefault="008C3C8A" w:rsidP="00B72749">
      <w:r>
        <w:t>The Operations Team</w:t>
      </w:r>
      <w:r w:rsidR="00B72749">
        <w:t xml:space="preserve"> </w:t>
      </w:r>
      <w:r w:rsidR="007255C2">
        <w:t xml:space="preserve">has representation from the Monitoring Centre, Science Centre, Information Centre and </w:t>
      </w:r>
      <w:r w:rsidR="007F0864">
        <w:t>program directives. This team</w:t>
      </w:r>
      <w:r w:rsidR="007255C2">
        <w:t xml:space="preserve"> is responsible for selecting each </w:t>
      </w:r>
      <w:r w:rsidR="006210D4">
        <w:t>year’s</w:t>
      </w:r>
      <w:r w:rsidR="007255C2">
        <w:t xml:space="preserve"> core </w:t>
      </w:r>
      <w:r w:rsidR="006210D4">
        <w:t>blocks that will be visited</w:t>
      </w:r>
      <w:r w:rsidR="001D51A7">
        <w:t>.</w:t>
      </w:r>
    </w:p>
    <w:p w:rsidR="00B72749" w:rsidRDefault="00B72749" w:rsidP="00B72749">
      <w:r>
        <w:t xml:space="preserve">The </w:t>
      </w:r>
      <w:r>
        <w:rPr>
          <w:b/>
        </w:rPr>
        <w:t>Monitoring Centre</w:t>
      </w:r>
      <w:r>
        <w:t xml:space="preserve"> is responsible for:</w:t>
      </w:r>
    </w:p>
    <w:p w:rsidR="00B72749" w:rsidRDefault="0034465D" w:rsidP="00B72749">
      <w:pPr>
        <w:pStyle w:val="ListParagraph"/>
        <w:numPr>
          <w:ilvl w:val="0"/>
          <w:numId w:val="8"/>
        </w:numPr>
      </w:pPr>
      <w:r>
        <w:t>Wetland selection of</w:t>
      </w:r>
      <w:r w:rsidR="00204DBB">
        <w:t xml:space="preserve"> </w:t>
      </w:r>
      <w:r w:rsidR="006210D4">
        <w:t xml:space="preserve">core sites from the blocks that the </w:t>
      </w:r>
      <w:r w:rsidR="008C3C8A">
        <w:t>Operations Team</w:t>
      </w:r>
      <w:r w:rsidR="006210D4">
        <w:t xml:space="preserve"> </w:t>
      </w:r>
      <w:r w:rsidR="00A606D4">
        <w:t>selected.</w:t>
      </w:r>
    </w:p>
    <w:p w:rsidR="00A606D4" w:rsidRDefault="00A606D4" w:rsidP="0034465D">
      <w:pPr>
        <w:pStyle w:val="ListParagraph"/>
        <w:numPr>
          <w:ilvl w:val="0"/>
          <w:numId w:val="8"/>
        </w:numPr>
      </w:pPr>
      <w:r>
        <w:t>Updating the “UofA_Confidential” GIS layer so the Access team can gain access to our</w:t>
      </w:r>
      <w:r w:rsidR="0034465D">
        <w:t xml:space="preserve"> wetland</w:t>
      </w:r>
      <w:r>
        <w:t xml:space="preserve"> site locations</w:t>
      </w:r>
      <w:r w:rsidR="0034465D">
        <w:t xml:space="preserve"> which </w:t>
      </w:r>
      <w:r>
        <w:t xml:space="preserve">need to be submitted by </w:t>
      </w:r>
      <w:r w:rsidRPr="0034465D">
        <w:rPr>
          <w:b/>
        </w:rPr>
        <w:t xml:space="preserve">the end of </w:t>
      </w:r>
      <w:r w:rsidRPr="00204DBB">
        <w:rPr>
          <w:b/>
        </w:rPr>
        <w:t xml:space="preserve">December. </w:t>
      </w:r>
    </w:p>
    <w:p w:rsidR="00B72749" w:rsidRDefault="00B81990" w:rsidP="00B72749">
      <w:pPr>
        <w:pStyle w:val="ListParagraph"/>
        <w:numPr>
          <w:ilvl w:val="0"/>
          <w:numId w:val="8"/>
        </w:numPr>
      </w:pPr>
      <w:r>
        <w:t>If access</w:t>
      </w:r>
      <w:r w:rsidR="00F27250">
        <w:t xml:space="preserve"> to the primary site is</w:t>
      </w:r>
      <w:r w:rsidR="007F0864">
        <w:t xml:space="preserve"> denied,</w:t>
      </w:r>
      <w:r w:rsidR="00B72749">
        <w:t xml:space="preserve"> </w:t>
      </w:r>
      <w:r w:rsidR="00C027FB">
        <w:t xml:space="preserve">the access team contacts landowners of </w:t>
      </w:r>
      <w:r w:rsidR="00B72749">
        <w:t>t</w:t>
      </w:r>
      <w:r w:rsidR="007F0864">
        <w:t xml:space="preserve">errestrial and wetland alternates. </w:t>
      </w:r>
      <w:r w:rsidR="00B72749">
        <w:t xml:space="preserve">All GIS layers and site envelopes are updated with the new naming convention </w:t>
      </w:r>
      <w:r w:rsidR="00B72749">
        <w:rPr>
          <w:b/>
        </w:rPr>
        <w:t>by the beginning of the field season.</w:t>
      </w:r>
    </w:p>
    <w:p w:rsidR="00B72749" w:rsidRDefault="00B72749" w:rsidP="00B72749">
      <w:pPr>
        <w:pStyle w:val="ListParagraph"/>
        <w:numPr>
          <w:ilvl w:val="0"/>
          <w:numId w:val="8"/>
        </w:numPr>
      </w:pPr>
      <w:r>
        <w:t xml:space="preserve">Updating Site Summary Workbench </w:t>
      </w:r>
      <w:r>
        <w:rPr>
          <w:b/>
        </w:rPr>
        <w:t>every 3</w:t>
      </w:r>
      <w:r w:rsidRPr="00D731A9">
        <w:rPr>
          <w:b/>
          <w:vertAlign w:val="superscript"/>
        </w:rPr>
        <w:t>rd</w:t>
      </w:r>
      <w:r>
        <w:rPr>
          <w:b/>
        </w:rPr>
        <w:t xml:space="preserve"> day during shift </w:t>
      </w:r>
      <w:r>
        <w:t>with site names and which alternates were visited.</w:t>
      </w:r>
    </w:p>
    <w:p w:rsidR="00B72749" w:rsidRDefault="00B72749" w:rsidP="00B72749">
      <w:pPr>
        <w:rPr>
          <w:b/>
        </w:rPr>
      </w:pPr>
      <w:r>
        <w:t xml:space="preserve">The </w:t>
      </w:r>
      <w:r>
        <w:rPr>
          <w:b/>
        </w:rPr>
        <w:t xml:space="preserve">Information Centre </w:t>
      </w:r>
      <w:r>
        <w:t>is responsible for</w:t>
      </w:r>
      <w:r>
        <w:rPr>
          <w:b/>
        </w:rPr>
        <w:t>:</w:t>
      </w:r>
    </w:p>
    <w:p w:rsidR="00B72749" w:rsidRDefault="00B72749" w:rsidP="00B72749">
      <w:pPr>
        <w:pStyle w:val="ListParagraph"/>
        <w:numPr>
          <w:ilvl w:val="0"/>
          <w:numId w:val="13"/>
        </w:numPr>
      </w:pPr>
      <w:r>
        <w:t xml:space="preserve">Gaining access to sites and updating the Field Site Record to keep track of alternate </w:t>
      </w:r>
      <w:r w:rsidR="0034465D">
        <w:t xml:space="preserve">terrestrial and wetland </w:t>
      </w:r>
      <w:r>
        <w:t xml:space="preserve">sites that will be visited. </w:t>
      </w:r>
    </w:p>
    <w:p w:rsidR="00B72749" w:rsidRDefault="00B72749" w:rsidP="00B72749">
      <w:pPr>
        <w:pStyle w:val="ListParagraph"/>
        <w:numPr>
          <w:ilvl w:val="0"/>
          <w:numId w:val="13"/>
        </w:numPr>
      </w:pPr>
      <w:r>
        <w:t>Updating the master site list, ensuring no two sites have the same site name, and tracking revisit sites.</w:t>
      </w:r>
    </w:p>
    <w:p w:rsidR="00B72749" w:rsidRPr="00073D65" w:rsidRDefault="006857C8" w:rsidP="00B72749">
      <w:pPr>
        <w:pStyle w:val="ListParagraph"/>
        <w:numPr>
          <w:ilvl w:val="0"/>
          <w:numId w:val="13"/>
        </w:numPr>
      </w:pPr>
      <w:r>
        <w:t xml:space="preserve">The Information Coordinator submits the </w:t>
      </w:r>
      <w:r w:rsidR="00B72749">
        <w:t xml:space="preserve">list of site names to the Database Programmer for input into the tablets by </w:t>
      </w:r>
      <w:r w:rsidR="00B72749">
        <w:rPr>
          <w:b/>
        </w:rPr>
        <w:t>mid-April.</w:t>
      </w:r>
    </w:p>
    <w:p w:rsidR="00073D65" w:rsidRDefault="00073D65" w:rsidP="00073D65"/>
    <w:p w:rsidR="00073D65" w:rsidRDefault="00073D65" w:rsidP="00073D65"/>
    <w:p w:rsidR="009926ED" w:rsidRDefault="009926ED" w:rsidP="00073D65"/>
    <w:p w:rsidR="009926ED" w:rsidRDefault="009926ED" w:rsidP="00073D65"/>
    <w:p w:rsidR="009926ED" w:rsidRDefault="009926ED" w:rsidP="00073D65"/>
    <w:p w:rsidR="009926ED" w:rsidRDefault="009926ED" w:rsidP="00073D65"/>
    <w:p w:rsidR="00073D65" w:rsidRDefault="00073D65" w:rsidP="00073D65"/>
    <w:p w:rsidR="009926ED" w:rsidRDefault="009926ED" w:rsidP="00073D65"/>
    <w:p w:rsidR="00EE1B5E" w:rsidRDefault="00EE1B5E" w:rsidP="00073D65"/>
    <w:p w:rsidR="00C9605C" w:rsidRDefault="00C9605C" w:rsidP="009B62A8">
      <w:pPr>
        <w:pStyle w:val="Heading1"/>
        <w:numPr>
          <w:ilvl w:val="0"/>
          <w:numId w:val="1"/>
        </w:numPr>
        <w:ind w:left="360"/>
      </w:pPr>
      <w:bookmarkStart w:id="18" w:name="_Toc435185271"/>
      <w:r>
        <w:lastRenderedPageBreak/>
        <w:t>Core Site Naming Convention- Revisit</w:t>
      </w:r>
      <w:bookmarkEnd w:id="18"/>
    </w:p>
    <w:p w:rsidR="004A1801" w:rsidRDefault="004A1801" w:rsidP="007A1784">
      <w:pPr>
        <w:ind w:firstLine="360"/>
      </w:pPr>
    </w:p>
    <w:p w:rsidR="007A1784" w:rsidRPr="007A1784" w:rsidRDefault="00A937E0" w:rsidP="007A1784">
      <w:pPr>
        <w:ind w:firstLine="360"/>
      </w:pPr>
      <w:r>
        <w:t>As we</w:t>
      </w:r>
      <w:r w:rsidR="007A1784">
        <w:t xml:space="preserve"> </w:t>
      </w:r>
      <w:r>
        <w:t>revisit core sites</w:t>
      </w:r>
      <w:r w:rsidR="007A1784">
        <w:t>,</w:t>
      </w:r>
      <w:r>
        <w:t xml:space="preserve"> the</w:t>
      </w:r>
      <w:r w:rsidR="007A1784">
        <w:t xml:space="preserve"> </w:t>
      </w:r>
      <w:r>
        <w:t xml:space="preserve">original site </w:t>
      </w:r>
      <w:r w:rsidR="004A1801">
        <w:t xml:space="preserve">may no longer meet our criteria for site selection and </w:t>
      </w:r>
      <w:r w:rsidR="002E7325">
        <w:t xml:space="preserve">be </w:t>
      </w:r>
      <w:r w:rsidR="004A1801">
        <w:t xml:space="preserve">deemed inappropriate to continue data collection </w:t>
      </w:r>
      <w:r w:rsidR="00767A23">
        <w:t>by the Science Centre.</w:t>
      </w:r>
      <w:r w:rsidR="004A1801">
        <w:t xml:space="preserve"> </w:t>
      </w:r>
      <w:r w:rsidR="00767A23">
        <w:t>S</w:t>
      </w:r>
      <w:r w:rsidR="007A1784">
        <w:t xml:space="preserve">ome </w:t>
      </w:r>
      <w:r>
        <w:t xml:space="preserve">reasons for no longer visiting a site include: the wetland may have dried </w:t>
      </w:r>
      <w:r w:rsidR="002C0374">
        <w:t>up;</w:t>
      </w:r>
      <w:r>
        <w:t xml:space="preserve"> </w:t>
      </w:r>
      <w:r w:rsidR="007A1784">
        <w:t>access may</w:t>
      </w:r>
      <w:r>
        <w:t xml:space="preserve"> be denied</w:t>
      </w:r>
      <w:r w:rsidR="007A1784">
        <w:t xml:space="preserve">, </w:t>
      </w:r>
      <w:r w:rsidR="007A1784" w:rsidRPr="001175D8">
        <w:rPr>
          <w:i/>
        </w:rPr>
        <w:t>et cetera</w:t>
      </w:r>
      <w:r>
        <w:t xml:space="preserve">. </w:t>
      </w:r>
      <w:r w:rsidR="007A1784">
        <w:t>As a result, new location</w:t>
      </w:r>
      <w:r w:rsidR="007A2F95">
        <w:t>s</w:t>
      </w:r>
      <w:r w:rsidR="007A1784">
        <w:t xml:space="preserve"> associated with </w:t>
      </w:r>
      <w:r w:rsidR="002C0374">
        <w:t xml:space="preserve">the </w:t>
      </w:r>
      <w:r w:rsidR="007A1784">
        <w:t xml:space="preserve">NFI </w:t>
      </w:r>
      <w:r w:rsidR="002C0374">
        <w:t>point</w:t>
      </w:r>
      <w:r w:rsidR="007A2F95">
        <w:t>s</w:t>
      </w:r>
      <w:r w:rsidR="002C0374">
        <w:t xml:space="preserve"> are </w:t>
      </w:r>
      <w:r w:rsidR="007A1784">
        <w:t xml:space="preserve">selected.  This means that ABMI could have </w:t>
      </w:r>
      <w:r w:rsidR="002C0374">
        <w:t xml:space="preserve">two </w:t>
      </w:r>
      <w:r w:rsidR="007A1784">
        <w:t>different sites represented by the same name; the new and old sites require unique identities.</w:t>
      </w:r>
    </w:p>
    <w:p w:rsidR="0091421A" w:rsidRDefault="00E76B83" w:rsidP="00E76B83">
      <w:r>
        <w:t>The site names</w:t>
      </w:r>
      <w:r w:rsidR="00A937E0">
        <w:t xml:space="preserve"> </w:t>
      </w:r>
      <w:r w:rsidR="006343F9">
        <w:t>are</w:t>
      </w:r>
      <w:r>
        <w:t xml:space="preserve"> based on </w:t>
      </w:r>
      <w:r w:rsidR="002C0374">
        <w:t>the closest NFI point. In addition,</w:t>
      </w:r>
      <w:r>
        <w:t xml:space="preserve"> a letter is added as a suffix to </w:t>
      </w:r>
      <w:r w:rsidR="002C0374">
        <w:t xml:space="preserve">indicate that the new location is </w:t>
      </w:r>
      <w:r>
        <w:t xml:space="preserve">different from the original.  </w:t>
      </w:r>
      <w:r w:rsidR="0091421A">
        <w:t>Appending a letter</w:t>
      </w:r>
      <w:r w:rsidR="00B81990">
        <w:t xml:space="preserve"> to</w:t>
      </w:r>
      <w:r w:rsidR="0091421A">
        <w:t xml:space="preserve"> the site’s core name allows us to maintain the core NFI info:</w:t>
      </w:r>
    </w:p>
    <w:p w:rsidR="00303C85" w:rsidRDefault="0091421A" w:rsidP="0091421A">
      <w:pPr>
        <w:pStyle w:val="ListParagraph"/>
        <w:numPr>
          <w:ilvl w:val="0"/>
          <w:numId w:val="11"/>
        </w:numPr>
      </w:pPr>
      <w:r>
        <w:t xml:space="preserve"> e.g.)  </w:t>
      </w:r>
      <w:r>
        <w:tab/>
        <w:t xml:space="preserve">Site 63 (original) </w:t>
      </w:r>
      <w:r>
        <w:tab/>
        <w:t xml:space="preserve">  </w:t>
      </w:r>
      <w:r>
        <w:sym w:font="Wingdings" w:char="F0E0"/>
      </w:r>
      <w:r>
        <w:t xml:space="preserve"> </w:t>
      </w:r>
      <w:r>
        <w:tab/>
        <w:t>Site 63</w:t>
      </w:r>
      <w:r w:rsidRPr="0091421A">
        <w:rPr>
          <w:b/>
        </w:rPr>
        <w:t xml:space="preserve">B </w:t>
      </w:r>
      <w:r>
        <w:t>(new)</w:t>
      </w:r>
    </w:p>
    <w:p w:rsidR="002B24D6" w:rsidRDefault="00E76B83" w:rsidP="00E76B83">
      <w:r>
        <w:t>If a new location is nee</w:t>
      </w:r>
      <w:r w:rsidR="002B24D6">
        <w:t xml:space="preserve">ded for successive site visits then an alternate location is selected and the corresponding letter progresses through the alphabet.  </w:t>
      </w:r>
    </w:p>
    <w:p w:rsidR="00E76B83" w:rsidRDefault="002B24D6" w:rsidP="00087CF9">
      <w:pPr>
        <w:pStyle w:val="ListParagraph"/>
        <w:numPr>
          <w:ilvl w:val="0"/>
          <w:numId w:val="11"/>
        </w:numPr>
      </w:pPr>
      <w:r>
        <w:t xml:space="preserve">e.g. The third </w:t>
      </w:r>
      <w:r w:rsidR="00087CF9">
        <w:t xml:space="preserve">alternate location is required for the </w:t>
      </w:r>
      <w:r>
        <w:t xml:space="preserve">revisit to site 63 </w:t>
      </w:r>
      <w:r w:rsidR="00087CF9">
        <w:sym w:font="Wingdings" w:char="F0E0"/>
      </w:r>
      <w:r w:rsidR="00087CF9">
        <w:t xml:space="preserve"> </w:t>
      </w:r>
      <w:r w:rsidR="00087CF9">
        <w:tab/>
        <w:t>Site 63</w:t>
      </w:r>
      <w:r w:rsidR="00087CF9" w:rsidRPr="00087CF9">
        <w:rPr>
          <w:b/>
        </w:rPr>
        <w:t xml:space="preserve">C </w:t>
      </w:r>
      <w:r w:rsidR="00087CF9">
        <w:t>(new)</w:t>
      </w:r>
    </w:p>
    <w:tbl>
      <w:tblPr>
        <w:tblStyle w:val="TableGrid"/>
        <w:tblW w:w="0" w:type="auto"/>
        <w:jc w:val="center"/>
        <w:tblLook w:val="04A0" w:firstRow="1" w:lastRow="0" w:firstColumn="1" w:lastColumn="0" w:noHBand="0" w:noVBand="1"/>
      </w:tblPr>
      <w:tblGrid>
        <w:gridCol w:w="2093"/>
        <w:gridCol w:w="2268"/>
      </w:tblGrid>
      <w:tr w:rsidR="002B24D6" w:rsidTr="007800A3">
        <w:trPr>
          <w:jc w:val="center"/>
        </w:trPr>
        <w:tc>
          <w:tcPr>
            <w:tcW w:w="2093" w:type="dxa"/>
            <w:shd w:val="clear" w:color="auto" w:fill="FABF8F" w:themeFill="accent6" w:themeFillTint="99"/>
          </w:tcPr>
          <w:p w:rsidR="002B24D6" w:rsidRDefault="002B24D6" w:rsidP="007800A3">
            <w:r>
              <w:t xml:space="preserve">Alternate </w:t>
            </w:r>
          </w:p>
        </w:tc>
        <w:tc>
          <w:tcPr>
            <w:tcW w:w="2268" w:type="dxa"/>
            <w:shd w:val="clear" w:color="auto" w:fill="FABF8F" w:themeFill="accent6" w:themeFillTint="99"/>
          </w:tcPr>
          <w:p w:rsidR="002B24D6" w:rsidRDefault="002B24D6" w:rsidP="007800A3">
            <w:r>
              <w:t>Corresponding Letter</w:t>
            </w:r>
          </w:p>
        </w:tc>
      </w:tr>
      <w:tr w:rsidR="002B24D6" w:rsidTr="007800A3">
        <w:trPr>
          <w:jc w:val="center"/>
        </w:trPr>
        <w:tc>
          <w:tcPr>
            <w:tcW w:w="2093" w:type="dxa"/>
          </w:tcPr>
          <w:p w:rsidR="002B24D6" w:rsidRDefault="002B24D6" w:rsidP="007800A3">
            <w:r>
              <w:t>Original Visit</w:t>
            </w:r>
          </w:p>
        </w:tc>
        <w:tc>
          <w:tcPr>
            <w:tcW w:w="2268" w:type="dxa"/>
          </w:tcPr>
          <w:p w:rsidR="002B24D6" w:rsidRDefault="002B24D6" w:rsidP="007800A3">
            <w:r>
              <w:t>N/A</w:t>
            </w:r>
          </w:p>
        </w:tc>
      </w:tr>
      <w:tr w:rsidR="002B24D6" w:rsidTr="007800A3">
        <w:trPr>
          <w:jc w:val="center"/>
        </w:trPr>
        <w:tc>
          <w:tcPr>
            <w:tcW w:w="2093" w:type="dxa"/>
          </w:tcPr>
          <w:p w:rsidR="002B24D6" w:rsidRDefault="002B24D6" w:rsidP="007800A3">
            <w:r>
              <w:t>2</w:t>
            </w:r>
          </w:p>
        </w:tc>
        <w:tc>
          <w:tcPr>
            <w:tcW w:w="2268" w:type="dxa"/>
          </w:tcPr>
          <w:p w:rsidR="002B24D6" w:rsidRDefault="002B24D6" w:rsidP="007800A3">
            <w:r>
              <w:t>B</w:t>
            </w:r>
          </w:p>
        </w:tc>
      </w:tr>
      <w:tr w:rsidR="002B24D6" w:rsidTr="007800A3">
        <w:trPr>
          <w:jc w:val="center"/>
        </w:trPr>
        <w:tc>
          <w:tcPr>
            <w:tcW w:w="2093" w:type="dxa"/>
          </w:tcPr>
          <w:p w:rsidR="002B24D6" w:rsidRDefault="002B24D6" w:rsidP="007800A3">
            <w:r>
              <w:t>3</w:t>
            </w:r>
          </w:p>
        </w:tc>
        <w:tc>
          <w:tcPr>
            <w:tcW w:w="2268" w:type="dxa"/>
          </w:tcPr>
          <w:p w:rsidR="002B24D6" w:rsidRDefault="002B24D6" w:rsidP="007800A3">
            <w:r>
              <w:t>C</w:t>
            </w:r>
          </w:p>
        </w:tc>
      </w:tr>
      <w:tr w:rsidR="002B24D6" w:rsidTr="007800A3">
        <w:trPr>
          <w:jc w:val="center"/>
        </w:trPr>
        <w:tc>
          <w:tcPr>
            <w:tcW w:w="2093" w:type="dxa"/>
          </w:tcPr>
          <w:p w:rsidR="002B24D6" w:rsidRDefault="002B24D6" w:rsidP="007800A3">
            <w:r>
              <w:t>4</w:t>
            </w:r>
          </w:p>
        </w:tc>
        <w:tc>
          <w:tcPr>
            <w:tcW w:w="2268" w:type="dxa"/>
          </w:tcPr>
          <w:p w:rsidR="002B24D6" w:rsidRDefault="002B24D6" w:rsidP="007800A3">
            <w:r>
              <w:t>D</w:t>
            </w:r>
          </w:p>
        </w:tc>
      </w:tr>
      <w:tr w:rsidR="00B81990" w:rsidTr="007800A3">
        <w:trPr>
          <w:jc w:val="center"/>
        </w:trPr>
        <w:tc>
          <w:tcPr>
            <w:tcW w:w="2093" w:type="dxa"/>
          </w:tcPr>
          <w:p w:rsidR="00B81990" w:rsidRDefault="00B81990" w:rsidP="007800A3">
            <w:r>
              <w:t>5</w:t>
            </w:r>
          </w:p>
        </w:tc>
        <w:tc>
          <w:tcPr>
            <w:tcW w:w="2268" w:type="dxa"/>
          </w:tcPr>
          <w:p w:rsidR="00B81990" w:rsidRDefault="00B81990" w:rsidP="007800A3">
            <w:r>
              <w:t>Etc.</w:t>
            </w:r>
          </w:p>
        </w:tc>
      </w:tr>
    </w:tbl>
    <w:p w:rsidR="002B24D6" w:rsidRPr="00303C85" w:rsidRDefault="002B24D6" w:rsidP="00E76B83"/>
    <w:p w:rsidR="008F2DB8" w:rsidRDefault="008F2DB8" w:rsidP="004A14BF">
      <w:pPr>
        <w:pStyle w:val="Heading3"/>
        <w:rPr>
          <w:sz w:val="28"/>
          <w:szCs w:val="28"/>
        </w:rPr>
      </w:pPr>
      <w:bookmarkStart w:id="19" w:name="_Toc435185272"/>
      <w:r w:rsidRPr="00087CF9">
        <w:rPr>
          <w:sz w:val="28"/>
          <w:szCs w:val="28"/>
        </w:rPr>
        <w:lastRenderedPageBreak/>
        <w:t xml:space="preserve">Procedure of Naming Core </w:t>
      </w:r>
      <w:r>
        <w:rPr>
          <w:sz w:val="28"/>
          <w:szCs w:val="28"/>
        </w:rPr>
        <w:t>Revisit Sites</w:t>
      </w:r>
      <w:r w:rsidRPr="00087CF9">
        <w:rPr>
          <w:sz w:val="28"/>
          <w:szCs w:val="28"/>
        </w:rPr>
        <w:t>:</w:t>
      </w:r>
      <w:bookmarkEnd w:id="19"/>
    </w:p>
    <w:p w:rsidR="008F2DB8" w:rsidRDefault="00030D1C" w:rsidP="00030D1C">
      <w:pPr>
        <w:pStyle w:val="Heading3"/>
        <w:jc w:val="center"/>
      </w:pPr>
      <w:r>
        <w:rPr>
          <w:noProof/>
          <w:lang w:eastAsia="en-CA"/>
        </w:rPr>
        <w:drawing>
          <wp:inline distT="0" distB="0" distL="0" distR="0" wp14:anchorId="33E54200" wp14:editId="7D21D52F">
            <wp:extent cx="4777436" cy="7777953"/>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4777436" cy="7777953"/>
                    </a:xfrm>
                    <a:prstGeom prst="rect">
                      <a:avLst/>
                    </a:prstGeom>
                  </pic:spPr>
                </pic:pic>
              </a:graphicData>
            </a:graphic>
          </wp:inline>
        </w:drawing>
      </w:r>
    </w:p>
    <w:p w:rsidR="00F912C2" w:rsidRPr="00073D65" w:rsidRDefault="004C6B6F" w:rsidP="004C6B6F">
      <w:pPr>
        <w:pStyle w:val="Heading3"/>
        <w:rPr>
          <w:sz w:val="24"/>
          <w:szCs w:val="24"/>
        </w:rPr>
      </w:pPr>
      <w:bookmarkStart w:id="20" w:name="_Toc435185273"/>
      <w:r w:rsidRPr="00073D65">
        <w:rPr>
          <w:sz w:val="24"/>
          <w:szCs w:val="24"/>
        </w:rPr>
        <w:lastRenderedPageBreak/>
        <w:t>Division of Responsibility</w:t>
      </w:r>
      <w:bookmarkEnd w:id="20"/>
    </w:p>
    <w:p w:rsidR="004C6B6F" w:rsidRDefault="004C6B6F" w:rsidP="004C6B6F"/>
    <w:p w:rsidR="004C6B6F" w:rsidRDefault="004C6B6F" w:rsidP="004C6B6F">
      <w:r>
        <w:t xml:space="preserve">The </w:t>
      </w:r>
      <w:r>
        <w:rPr>
          <w:b/>
        </w:rPr>
        <w:t>Monitoring Centre</w:t>
      </w:r>
      <w:r>
        <w:t xml:space="preserve"> is responsible for:</w:t>
      </w:r>
    </w:p>
    <w:p w:rsidR="004C6B6F" w:rsidRDefault="004C6B6F" w:rsidP="004C6B6F">
      <w:pPr>
        <w:pStyle w:val="ListParagraph"/>
        <w:numPr>
          <w:ilvl w:val="0"/>
          <w:numId w:val="8"/>
        </w:numPr>
      </w:pPr>
      <w:r>
        <w:t>Identifying</w:t>
      </w:r>
      <w:r w:rsidR="00845AA8">
        <w:t xml:space="preserve"> wetland</w:t>
      </w:r>
      <w:r>
        <w:t xml:space="preserve"> sites that no longer fit our site selection criteria</w:t>
      </w:r>
      <w:r w:rsidR="00D731A9">
        <w:t xml:space="preserve"> throughout the fall season</w:t>
      </w:r>
      <w:r>
        <w:t>.</w:t>
      </w:r>
    </w:p>
    <w:p w:rsidR="004C6B6F" w:rsidRDefault="004C6B6F" w:rsidP="004C6B6F">
      <w:pPr>
        <w:pStyle w:val="ListParagraph"/>
        <w:numPr>
          <w:ilvl w:val="0"/>
          <w:numId w:val="8"/>
        </w:numPr>
      </w:pPr>
      <w:r>
        <w:t>Present</w:t>
      </w:r>
      <w:r w:rsidR="00196AFA">
        <w:t>ing</w:t>
      </w:r>
      <w:r w:rsidR="00845AA8">
        <w:t xml:space="preserve"> wetland</w:t>
      </w:r>
      <w:r w:rsidR="00196AFA">
        <w:t xml:space="preserve"> sites to the Science Centre for the approval of site reselection</w:t>
      </w:r>
      <w:r w:rsidR="00D731A9">
        <w:t xml:space="preserve"> by </w:t>
      </w:r>
      <w:r w:rsidR="00D731A9">
        <w:rPr>
          <w:b/>
        </w:rPr>
        <w:t>the end of December</w:t>
      </w:r>
      <w:r w:rsidR="00196AFA">
        <w:t>.</w:t>
      </w:r>
    </w:p>
    <w:p w:rsidR="00196AFA" w:rsidRDefault="00196AFA" w:rsidP="004C6B6F">
      <w:pPr>
        <w:pStyle w:val="ListParagraph"/>
        <w:numPr>
          <w:ilvl w:val="0"/>
          <w:numId w:val="8"/>
        </w:numPr>
      </w:pPr>
      <w:r>
        <w:t>Reselecting wetland locations for sites to be surveyed. All GIS layers and site envelopes are updated</w:t>
      </w:r>
      <w:r w:rsidR="00D731A9">
        <w:t xml:space="preserve"> with the new naming convention </w:t>
      </w:r>
      <w:r w:rsidR="00D731A9">
        <w:rPr>
          <w:b/>
        </w:rPr>
        <w:t>by the beginning of the field season.</w:t>
      </w:r>
    </w:p>
    <w:p w:rsidR="009C700C" w:rsidRDefault="00D731A9" w:rsidP="004C6B6F">
      <w:pPr>
        <w:pStyle w:val="ListParagraph"/>
        <w:numPr>
          <w:ilvl w:val="0"/>
          <w:numId w:val="8"/>
        </w:numPr>
      </w:pPr>
      <w:r>
        <w:t xml:space="preserve">Updating Site Summary Workbench </w:t>
      </w:r>
      <w:r>
        <w:rPr>
          <w:b/>
        </w:rPr>
        <w:t>every 3</w:t>
      </w:r>
      <w:r w:rsidRPr="00D731A9">
        <w:rPr>
          <w:b/>
          <w:vertAlign w:val="superscript"/>
        </w:rPr>
        <w:t>rd</w:t>
      </w:r>
      <w:r>
        <w:rPr>
          <w:b/>
        </w:rPr>
        <w:t xml:space="preserve"> day during shift </w:t>
      </w:r>
      <w:r>
        <w:t>with site names and which alternates were visited.</w:t>
      </w:r>
    </w:p>
    <w:p w:rsidR="00196AFA" w:rsidRDefault="00196AFA" w:rsidP="00196AFA">
      <w:pPr>
        <w:rPr>
          <w:b/>
        </w:rPr>
      </w:pPr>
      <w:r>
        <w:t xml:space="preserve">The </w:t>
      </w:r>
      <w:r>
        <w:rPr>
          <w:b/>
        </w:rPr>
        <w:t xml:space="preserve">Information Centre </w:t>
      </w:r>
      <w:r>
        <w:t>is responsible for</w:t>
      </w:r>
      <w:r>
        <w:rPr>
          <w:b/>
        </w:rPr>
        <w:t>:</w:t>
      </w:r>
    </w:p>
    <w:p w:rsidR="00196AFA" w:rsidRDefault="009C700C" w:rsidP="00196AFA">
      <w:pPr>
        <w:pStyle w:val="ListParagraph"/>
        <w:numPr>
          <w:ilvl w:val="0"/>
          <w:numId w:val="13"/>
        </w:numPr>
      </w:pPr>
      <w:r>
        <w:t xml:space="preserve">Gaining access to </w:t>
      </w:r>
      <w:r w:rsidR="00845AA8">
        <w:t xml:space="preserve">terrestrial and wetland </w:t>
      </w:r>
      <w:r>
        <w:t xml:space="preserve">sites and updating the Field Site Record to keep track of alternate sites that will be visited. </w:t>
      </w:r>
    </w:p>
    <w:p w:rsidR="004C070D" w:rsidRDefault="004C070D" w:rsidP="00196AFA">
      <w:pPr>
        <w:pStyle w:val="ListParagraph"/>
        <w:numPr>
          <w:ilvl w:val="0"/>
          <w:numId w:val="13"/>
        </w:numPr>
      </w:pPr>
      <w:r>
        <w:t xml:space="preserve">Ensuring terrestrial alternates are of similar habitat to the original location. </w:t>
      </w:r>
    </w:p>
    <w:p w:rsidR="009C700C" w:rsidRDefault="009C700C" w:rsidP="00196AFA">
      <w:pPr>
        <w:pStyle w:val="ListParagraph"/>
        <w:numPr>
          <w:ilvl w:val="0"/>
          <w:numId w:val="13"/>
        </w:numPr>
      </w:pPr>
      <w:r>
        <w:t>Updating the master site list, ensuring no two sites have the same site name, and tracking revisit sites.</w:t>
      </w:r>
    </w:p>
    <w:p w:rsidR="00D731A9" w:rsidRPr="00196AFA" w:rsidRDefault="00E6392C" w:rsidP="00196AFA">
      <w:pPr>
        <w:pStyle w:val="ListParagraph"/>
        <w:numPr>
          <w:ilvl w:val="0"/>
          <w:numId w:val="13"/>
        </w:numPr>
      </w:pPr>
      <w:r>
        <w:t xml:space="preserve">Submitting list of site names to the Database Programmer for input into the tablets by </w:t>
      </w:r>
      <w:r>
        <w:rPr>
          <w:b/>
        </w:rPr>
        <w:t>mid</w:t>
      </w:r>
      <w:r w:rsidR="00B72749">
        <w:rPr>
          <w:b/>
        </w:rPr>
        <w:t>-</w:t>
      </w:r>
      <w:r>
        <w:rPr>
          <w:b/>
        </w:rPr>
        <w:t xml:space="preserve"> April.</w:t>
      </w:r>
    </w:p>
    <w:p w:rsidR="00C90B05" w:rsidRDefault="00C90B05" w:rsidP="009B62A8">
      <w:pPr>
        <w:pStyle w:val="Heading1"/>
        <w:numPr>
          <w:ilvl w:val="0"/>
          <w:numId w:val="1"/>
        </w:numPr>
        <w:ind w:left="360"/>
      </w:pPr>
      <w:bookmarkStart w:id="21" w:name="_Toc435185274"/>
      <w:r>
        <w:t>Off Grid Site N</w:t>
      </w:r>
      <w:bookmarkStart w:id="22" w:name="_GoBack"/>
      <w:bookmarkEnd w:id="22"/>
      <w:r>
        <w:t>aming Convention</w:t>
      </w:r>
      <w:bookmarkEnd w:id="21"/>
    </w:p>
    <w:p w:rsidR="004C10C5" w:rsidRDefault="004C10C5" w:rsidP="004C10C5">
      <w:pPr>
        <w:spacing w:after="0"/>
        <w:ind w:left="360"/>
      </w:pPr>
    </w:p>
    <w:p w:rsidR="0098443D" w:rsidRDefault="0098443D" w:rsidP="0098443D">
      <w:pPr>
        <w:ind w:firstLine="360"/>
      </w:pPr>
      <w:r>
        <w:t xml:space="preserve">In order to ensure the off-grid naming strategy is able to survive the life of the ABMI project and prevent naming duplications in the near and distant future, a new naming scheme has been developed by the Information Center. </w:t>
      </w:r>
    </w:p>
    <w:p w:rsidR="0098443D" w:rsidRDefault="0098443D" w:rsidP="0098443D">
      <w:pPr>
        <w:ind w:firstLine="360"/>
      </w:pPr>
      <w:r>
        <w:t>The goal of this new naming scheme is two-fold; first and foremost to prevent site name duplications in the long-term, by taking away the need to manage the site naming “dash-variables” (-1, -2, -3, etc</w:t>
      </w:r>
      <w:r w:rsidR="004418F4">
        <w:t>.</w:t>
      </w:r>
      <w:r>
        <w:t xml:space="preserve">) in perpetuity; secondly to associate more information to the site names, which will help in tracking issues that may only become obvious in the distant future. </w:t>
      </w:r>
    </w:p>
    <w:p w:rsidR="0098443D" w:rsidRDefault="0098443D" w:rsidP="0098443D">
      <w:pPr>
        <w:ind w:firstLine="360"/>
      </w:pPr>
      <w:r>
        <w:t>The new scheme</w:t>
      </w:r>
      <w:r w:rsidR="004524BC">
        <w:t xml:space="preserve"> incorporates which NFI point is closest to the site and</w:t>
      </w:r>
      <w:r w:rsidR="00B81990">
        <w:t xml:space="preserve"> </w:t>
      </w:r>
      <w:r>
        <w:t xml:space="preserve">by associating a sequence of dash-variables to year of implementation, so that for every new field season a new sequence of dash-variables will be used. </w:t>
      </w:r>
    </w:p>
    <w:p w:rsidR="004C10C5" w:rsidRDefault="004C10C5" w:rsidP="00C95E31">
      <w:pPr>
        <w:spacing w:line="240" w:lineRule="auto"/>
        <w:rPr>
          <w:rFonts w:ascii="Arial" w:eastAsia="Times New Roman" w:hAnsi="Arial" w:cs="Arial"/>
          <w:color w:val="000000"/>
          <w:sz w:val="20"/>
          <w:szCs w:val="20"/>
          <w:lang w:eastAsia="en-CA"/>
        </w:rPr>
      </w:pPr>
      <w:r>
        <w:t xml:space="preserve"> e.g.)  Terrestrial: </w:t>
      </w:r>
      <w:r w:rsidRPr="004C10C5">
        <w:rPr>
          <w:rFonts w:ascii="Arial" w:eastAsia="Times New Roman" w:hAnsi="Arial" w:cs="Arial"/>
          <w:color w:val="000000"/>
          <w:sz w:val="20"/>
          <w:szCs w:val="20"/>
          <w:lang w:eastAsia="en-CA"/>
        </w:rPr>
        <w:t>OG-ABMI-1183-1</w:t>
      </w:r>
      <w:r>
        <w:rPr>
          <w:rFonts w:ascii="Arial" w:eastAsia="Times New Roman" w:hAnsi="Arial" w:cs="Arial"/>
          <w:color w:val="000000"/>
          <w:sz w:val="20"/>
          <w:szCs w:val="20"/>
          <w:lang w:eastAsia="en-CA"/>
        </w:rPr>
        <w:t xml:space="preserve"> (original)</w:t>
      </w:r>
      <w:r>
        <w:t xml:space="preserve">  </w:t>
      </w:r>
      <w:r>
        <w:sym w:font="Wingdings" w:char="F0E0"/>
      </w:r>
      <w:r>
        <w:t xml:space="preserve"> </w:t>
      </w:r>
      <w:r>
        <w:rPr>
          <w:rFonts w:ascii="Arial" w:eastAsia="Times New Roman" w:hAnsi="Arial" w:cs="Arial"/>
          <w:color w:val="000000"/>
          <w:sz w:val="20"/>
          <w:szCs w:val="20"/>
          <w:lang w:eastAsia="en-CA"/>
        </w:rPr>
        <w:t>OG-ABMI-1183-11 (new)</w:t>
      </w:r>
    </w:p>
    <w:p w:rsidR="004C10C5" w:rsidRPr="004C10C5" w:rsidRDefault="004C10C5" w:rsidP="00C95E31">
      <w:pPr>
        <w:spacing w:line="240" w:lineRule="auto"/>
        <w:ind w:left="540" w:hanging="540"/>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ab/>
        <w:t xml:space="preserve">Wetland: </w:t>
      </w:r>
      <w:r w:rsidR="00C95E31" w:rsidRPr="004C10C5">
        <w:rPr>
          <w:rFonts w:ascii="Arial" w:eastAsia="Times New Roman" w:hAnsi="Arial" w:cs="Arial"/>
          <w:color w:val="000000"/>
          <w:sz w:val="20"/>
          <w:szCs w:val="20"/>
          <w:lang w:eastAsia="en-CA"/>
        </w:rPr>
        <w:t>OG</w:t>
      </w:r>
      <w:r w:rsidR="00C95E31">
        <w:rPr>
          <w:rFonts w:ascii="Arial" w:eastAsia="Times New Roman" w:hAnsi="Arial" w:cs="Arial"/>
          <w:color w:val="000000"/>
          <w:sz w:val="20"/>
          <w:szCs w:val="20"/>
          <w:lang w:eastAsia="en-CA"/>
        </w:rPr>
        <w:t>W</w:t>
      </w:r>
      <w:r w:rsidR="00C95E31" w:rsidRPr="004C10C5">
        <w:rPr>
          <w:rFonts w:ascii="Arial" w:eastAsia="Times New Roman" w:hAnsi="Arial" w:cs="Arial"/>
          <w:color w:val="000000"/>
          <w:sz w:val="20"/>
          <w:szCs w:val="20"/>
          <w:lang w:eastAsia="en-CA"/>
        </w:rPr>
        <w:t>-ABMI-1183-1</w:t>
      </w:r>
      <w:r w:rsidR="00C95E31">
        <w:rPr>
          <w:rFonts w:ascii="Arial" w:eastAsia="Times New Roman" w:hAnsi="Arial" w:cs="Arial"/>
          <w:color w:val="000000"/>
          <w:sz w:val="20"/>
          <w:szCs w:val="20"/>
          <w:lang w:eastAsia="en-CA"/>
        </w:rPr>
        <w:t xml:space="preserve"> (original)</w:t>
      </w:r>
      <w:r w:rsidR="00C95E31">
        <w:t xml:space="preserve">  </w:t>
      </w:r>
      <w:r w:rsidR="00C95E31">
        <w:sym w:font="Wingdings" w:char="F0E0"/>
      </w:r>
      <w:r w:rsidR="00C95E31">
        <w:t xml:space="preserve"> </w:t>
      </w:r>
      <w:r w:rsidR="00C95E31">
        <w:rPr>
          <w:rFonts w:ascii="Arial" w:eastAsia="Times New Roman" w:hAnsi="Arial" w:cs="Arial"/>
          <w:color w:val="000000"/>
          <w:sz w:val="20"/>
          <w:szCs w:val="20"/>
          <w:lang w:eastAsia="en-CA"/>
        </w:rPr>
        <w:t>OGW-ABMI-1183-11 (new)</w:t>
      </w:r>
    </w:p>
    <w:p w:rsidR="00C90B05" w:rsidRDefault="00C90B05" w:rsidP="00C90B05">
      <w:r>
        <w:lastRenderedPageBreak/>
        <w:t xml:space="preserve">A master list of sequences is provided </w:t>
      </w:r>
      <w:r w:rsidR="0017056F">
        <w:t>below;</w:t>
      </w:r>
      <w:r>
        <w:t xml:space="preserve"> this list will be used as reference for the naming of all the off-grid sites starting in 2014. The nature of the master list is that it can continue to be populated indefinitely, as need arises. </w:t>
      </w:r>
    </w:p>
    <w:tbl>
      <w:tblPr>
        <w:tblStyle w:val="TableGrid"/>
        <w:tblW w:w="0" w:type="auto"/>
        <w:jc w:val="center"/>
        <w:tblLook w:val="04A0" w:firstRow="1" w:lastRow="0" w:firstColumn="1" w:lastColumn="0" w:noHBand="0" w:noVBand="1"/>
      </w:tblPr>
      <w:tblGrid>
        <w:gridCol w:w="2093"/>
        <w:gridCol w:w="2268"/>
      </w:tblGrid>
      <w:tr w:rsidR="00C90B05" w:rsidTr="00D56A48">
        <w:trPr>
          <w:jc w:val="center"/>
        </w:trPr>
        <w:tc>
          <w:tcPr>
            <w:tcW w:w="2093" w:type="dxa"/>
            <w:shd w:val="clear" w:color="auto" w:fill="FABF8F" w:themeFill="accent6" w:themeFillTint="99"/>
          </w:tcPr>
          <w:p w:rsidR="00C90B05" w:rsidRDefault="00C90B05" w:rsidP="007800A3">
            <w:r>
              <w:t>Year</w:t>
            </w:r>
          </w:p>
        </w:tc>
        <w:tc>
          <w:tcPr>
            <w:tcW w:w="2268" w:type="dxa"/>
            <w:shd w:val="clear" w:color="auto" w:fill="FABF8F" w:themeFill="accent6" w:themeFillTint="99"/>
          </w:tcPr>
          <w:p w:rsidR="00C90B05" w:rsidRDefault="00C90B05" w:rsidP="007800A3">
            <w:r>
              <w:t>Dash-variables</w:t>
            </w:r>
          </w:p>
        </w:tc>
      </w:tr>
      <w:tr w:rsidR="00C90B05" w:rsidTr="00D56A48">
        <w:trPr>
          <w:jc w:val="center"/>
        </w:trPr>
        <w:tc>
          <w:tcPr>
            <w:tcW w:w="2093" w:type="dxa"/>
          </w:tcPr>
          <w:p w:rsidR="00C90B05" w:rsidRDefault="00C90B05" w:rsidP="007800A3">
            <w:r>
              <w:t>2014</w:t>
            </w:r>
          </w:p>
        </w:tc>
        <w:tc>
          <w:tcPr>
            <w:tcW w:w="2268" w:type="dxa"/>
          </w:tcPr>
          <w:p w:rsidR="00C90B05" w:rsidRDefault="00C90B05" w:rsidP="007800A3">
            <w:r>
              <w:t>11-20</w:t>
            </w:r>
          </w:p>
        </w:tc>
      </w:tr>
      <w:tr w:rsidR="00C90B05" w:rsidTr="00D56A48">
        <w:trPr>
          <w:jc w:val="center"/>
        </w:trPr>
        <w:tc>
          <w:tcPr>
            <w:tcW w:w="2093" w:type="dxa"/>
          </w:tcPr>
          <w:p w:rsidR="00C90B05" w:rsidRDefault="00C90B05" w:rsidP="007800A3">
            <w:r>
              <w:t>2015</w:t>
            </w:r>
          </w:p>
        </w:tc>
        <w:tc>
          <w:tcPr>
            <w:tcW w:w="2268" w:type="dxa"/>
          </w:tcPr>
          <w:p w:rsidR="00C90B05" w:rsidRDefault="00C90B05" w:rsidP="007800A3">
            <w:r>
              <w:t>21-30</w:t>
            </w:r>
          </w:p>
        </w:tc>
      </w:tr>
      <w:tr w:rsidR="00C90B05" w:rsidTr="00D56A48">
        <w:trPr>
          <w:jc w:val="center"/>
        </w:trPr>
        <w:tc>
          <w:tcPr>
            <w:tcW w:w="2093" w:type="dxa"/>
          </w:tcPr>
          <w:p w:rsidR="00C90B05" w:rsidRDefault="00C90B05" w:rsidP="007800A3">
            <w:r>
              <w:t>2016</w:t>
            </w:r>
          </w:p>
        </w:tc>
        <w:tc>
          <w:tcPr>
            <w:tcW w:w="2268" w:type="dxa"/>
          </w:tcPr>
          <w:p w:rsidR="00C90B05" w:rsidRDefault="00C90B05" w:rsidP="007800A3">
            <w:r>
              <w:t>31-40</w:t>
            </w:r>
          </w:p>
        </w:tc>
      </w:tr>
      <w:tr w:rsidR="00C90B05" w:rsidTr="00D56A48">
        <w:trPr>
          <w:jc w:val="center"/>
        </w:trPr>
        <w:tc>
          <w:tcPr>
            <w:tcW w:w="2093" w:type="dxa"/>
          </w:tcPr>
          <w:p w:rsidR="00C90B05" w:rsidRDefault="00C90B05" w:rsidP="007800A3">
            <w:r>
              <w:t>2017</w:t>
            </w:r>
          </w:p>
        </w:tc>
        <w:tc>
          <w:tcPr>
            <w:tcW w:w="2268" w:type="dxa"/>
          </w:tcPr>
          <w:p w:rsidR="00C90B05" w:rsidRDefault="00C90B05" w:rsidP="007800A3">
            <w:r>
              <w:t>41-50</w:t>
            </w:r>
          </w:p>
        </w:tc>
      </w:tr>
      <w:tr w:rsidR="00C90B05" w:rsidTr="00D56A48">
        <w:trPr>
          <w:jc w:val="center"/>
        </w:trPr>
        <w:tc>
          <w:tcPr>
            <w:tcW w:w="2093" w:type="dxa"/>
          </w:tcPr>
          <w:p w:rsidR="00C90B05" w:rsidRDefault="00C90B05" w:rsidP="007800A3">
            <w:r>
              <w:t>2018</w:t>
            </w:r>
          </w:p>
        </w:tc>
        <w:tc>
          <w:tcPr>
            <w:tcW w:w="2268" w:type="dxa"/>
          </w:tcPr>
          <w:p w:rsidR="00C90B05" w:rsidRDefault="00C90B05" w:rsidP="007800A3">
            <w:r>
              <w:t>51-60</w:t>
            </w:r>
          </w:p>
        </w:tc>
      </w:tr>
      <w:tr w:rsidR="00C90B05" w:rsidTr="00D56A48">
        <w:trPr>
          <w:jc w:val="center"/>
        </w:trPr>
        <w:tc>
          <w:tcPr>
            <w:tcW w:w="2093" w:type="dxa"/>
          </w:tcPr>
          <w:p w:rsidR="00C90B05" w:rsidRDefault="00C90B05" w:rsidP="007800A3">
            <w:r>
              <w:t>2019</w:t>
            </w:r>
          </w:p>
        </w:tc>
        <w:tc>
          <w:tcPr>
            <w:tcW w:w="2268" w:type="dxa"/>
          </w:tcPr>
          <w:p w:rsidR="00C90B05" w:rsidRDefault="00C90B05" w:rsidP="007800A3">
            <w:r>
              <w:t>61-70</w:t>
            </w:r>
          </w:p>
        </w:tc>
      </w:tr>
      <w:tr w:rsidR="00C90B05" w:rsidTr="00D56A48">
        <w:trPr>
          <w:jc w:val="center"/>
        </w:trPr>
        <w:tc>
          <w:tcPr>
            <w:tcW w:w="2093" w:type="dxa"/>
          </w:tcPr>
          <w:p w:rsidR="00C90B05" w:rsidRDefault="00C90B05" w:rsidP="007800A3">
            <w:r>
              <w:t>2020</w:t>
            </w:r>
          </w:p>
        </w:tc>
        <w:tc>
          <w:tcPr>
            <w:tcW w:w="2268" w:type="dxa"/>
          </w:tcPr>
          <w:p w:rsidR="00C90B05" w:rsidRDefault="00C90B05" w:rsidP="007800A3">
            <w:r>
              <w:t>71-80</w:t>
            </w:r>
          </w:p>
        </w:tc>
      </w:tr>
      <w:tr w:rsidR="00C90B05" w:rsidTr="00D56A48">
        <w:trPr>
          <w:jc w:val="center"/>
        </w:trPr>
        <w:tc>
          <w:tcPr>
            <w:tcW w:w="2093" w:type="dxa"/>
          </w:tcPr>
          <w:p w:rsidR="00C90B05" w:rsidRDefault="00C90B05" w:rsidP="007800A3">
            <w:r>
              <w:t>2021</w:t>
            </w:r>
          </w:p>
        </w:tc>
        <w:tc>
          <w:tcPr>
            <w:tcW w:w="2268" w:type="dxa"/>
          </w:tcPr>
          <w:p w:rsidR="00C90B05" w:rsidRDefault="00C90B05" w:rsidP="007800A3">
            <w:r>
              <w:t>81-90</w:t>
            </w:r>
          </w:p>
        </w:tc>
      </w:tr>
      <w:tr w:rsidR="00C90B05" w:rsidTr="00D56A48">
        <w:trPr>
          <w:jc w:val="center"/>
        </w:trPr>
        <w:tc>
          <w:tcPr>
            <w:tcW w:w="2093" w:type="dxa"/>
          </w:tcPr>
          <w:p w:rsidR="00C90B05" w:rsidRDefault="00C90B05" w:rsidP="007800A3">
            <w:r>
              <w:t>2022</w:t>
            </w:r>
          </w:p>
        </w:tc>
        <w:tc>
          <w:tcPr>
            <w:tcW w:w="2268" w:type="dxa"/>
          </w:tcPr>
          <w:p w:rsidR="00C90B05" w:rsidRDefault="00C90B05" w:rsidP="007800A3">
            <w:r>
              <w:t>90-100</w:t>
            </w:r>
          </w:p>
        </w:tc>
      </w:tr>
      <w:tr w:rsidR="00C90B05" w:rsidTr="00D56A48">
        <w:trPr>
          <w:jc w:val="center"/>
        </w:trPr>
        <w:tc>
          <w:tcPr>
            <w:tcW w:w="2093" w:type="dxa"/>
          </w:tcPr>
          <w:p w:rsidR="00C90B05" w:rsidRDefault="00C90B05" w:rsidP="007800A3">
            <w:r>
              <w:t>2023</w:t>
            </w:r>
          </w:p>
        </w:tc>
        <w:tc>
          <w:tcPr>
            <w:tcW w:w="2268" w:type="dxa"/>
          </w:tcPr>
          <w:p w:rsidR="00C90B05" w:rsidRDefault="00C90B05" w:rsidP="007800A3">
            <w:r>
              <w:t>101-110</w:t>
            </w:r>
          </w:p>
        </w:tc>
      </w:tr>
      <w:tr w:rsidR="00C90B05" w:rsidTr="00D56A48">
        <w:trPr>
          <w:jc w:val="center"/>
        </w:trPr>
        <w:tc>
          <w:tcPr>
            <w:tcW w:w="2093" w:type="dxa"/>
          </w:tcPr>
          <w:p w:rsidR="00C90B05" w:rsidRDefault="00C90B05" w:rsidP="007800A3">
            <w:r>
              <w:t>2024</w:t>
            </w:r>
          </w:p>
        </w:tc>
        <w:tc>
          <w:tcPr>
            <w:tcW w:w="2268" w:type="dxa"/>
          </w:tcPr>
          <w:p w:rsidR="00C90B05" w:rsidRDefault="00C90B05" w:rsidP="007800A3">
            <w:r>
              <w:t>111-120</w:t>
            </w:r>
          </w:p>
        </w:tc>
      </w:tr>
      <w:tr w:rsidR="00C90B05" w:rsidTr="00D56A48">
        <w:trPr>
          <w:jc w:val="center"/>
        </w:trPr>
        <w:tc>
          <w:tcPr>
            <w:tcW w:w="2093" w:type="dxa"/>
          </w:tcPr>
          <w:p w:rsidR="00C90B05" w:rsidRDefault="00C90B05" w:rsidP="007800A3">
            <w:r>
              <w:t>2025</w:t>
            </w:r>
          </w:p>
        </w:tc>
        <w:tc>
          <w:tcPr>
            <w:tcW w:w="2268" w:type="dxa"/>
          </w:tcPr>
          <w:p w:rsidR="00C90B05" w:rsidRDefault="00C90B05" w:rsidP="007800A3">
            <w:r>
              <w:t>121-130</w:t>
            </w:r>
          </w:p>
        </w:tc>
      </w:tr>
    </w:tbl>
    <w:p w:rsidR="00C90B05" w:rsidRDefault="00C90B05" w:rsidP="00C90B05"/>
    <w:p w:rsidR="00A937E0" w:rsidRDefault="00C90B05" w:rsidP="00C90B05">
      <w:r w:rsidRPr="00B82E9C">
        <w:rPr>
          <w:b/>
        </w:rPr>
        <w:t>Site Naming Example:</w:t>
      </w:r>
      <w:r>
        <w:t xml:space="preserve"> </w:t>
      </w:r>
    </w:p>
    <w:p w:rsidR="00C90B05" w:rsidRDefault="00204DBB" w:rsidP="00A937E0">
      <w:pPr>
        <w:ind w:firstLine="360"/>
      </w:pPr>
      <w:r>
        <w:t>Off grid site names are associated with the closest NFI point therefore t</w:t>
      </w:r>
      <w:r w:rsidR="00C90B05">
        <w:t xml:space="preserve">he first terrestrial </w:t>
      </w:r>
      <w:r w:rsidR="004524BC">
        <w:t xml:space="preserve">off grid </w:t>
      </w:r>
      <w:r w:rsidR="00C90B05">
        <w:t xml:space="preserve">site closest to the core site 790 visited in 2014, will be named: </w:t>
      </w:r>
      <w:r w:rsidR="00C90B05" w:rsidRPr="00B82E9C">
        <w:rPr>
          <w:b/>
        </w:rPr>
        <w:t>OG-ABMI-790-11</w:t>
      </w:r>
      <w:r w:rsidR="00C90B05">
        <w:t xml:space="preserve">. The second terrestrial site closest to the core site 790 visited in 2014 will be named: </w:t>
      </w:r>
      <w:r w:rsidR="00C90B05" w:rsidRPr="00B82E9C">
        <w:rPr>
          <w:b/>
        </w:rPr>
        <w:t>OG-ABMI-790-12</w:t>
      </w:r>
      <w:r w:rsidR="009E0787">
        <w:rPr>
          <w:b/>
        </w:rPr>
        <w:t xml:space="preserve"> </w:t>
      </w:r>
      <w:r w:rsidR="00F32A6F">
        <w:t>f</w:t>
      </w:r>
      <w:r w:rsidR="00C90B05">
        <w:t xml:space="preserve">ollowing the same logic applied by the previous naming scheme. However if another site near core site 790 is visited in 2015, it will then be named: </w:t>
      </w:r>
      <w:r w:rsidR="00C90B05" w:rsidRPr="00B82E9C">
        <w:rPr>
          <w:b/>
        </w:rPr>
        <w:t>OG-ABMI-790-21</w:t>
      </w:r>
      <w:r w:rsidR="00C90B05">
        <w:t xml:space="preserve">, according to the new sequence of dash-variables associated with 2015. </w:t>
      </w:r>
    </w:p>
    <w:p w:rsidR="00F912C2" w:rsidRPr="00F912C2" w:rsidRDefault="00F912C2" w:rsidP="00F912C2"/>
    <w:p w:rsidR="008F2DB8" w:rsidRDefault="008F2DB8" w:rsidP="008F2DB8">
      <w:pPr>
        <w:pStyle w:val="Heading3"/>
        <w:ind w:firstLine="360"/>
        <w:rPr>
          <w:sz w:val="28"/>
          <w:szCs w:val="28"/>
        </w:rPr>
      </w:pPr>
      <w:bookmarkStart w:id="23" w:name="_Toc435185275"/>
      <w:r w:rsidRPr="00087CF9">
        <w:rPr>
          <w:sz w:val="28"/>
          <w:szCs w:val="28"/>
        </w:rPr>
        <w:lastRenderedPageBreak/>
        <w:t xml:space="preserve">Procedure of </w:t>
      </w:r>
      <w:r w:rsidR="00030D1C">
        <w:rPr>
          <w:sz w:val="28"/>
          <w:szCs w:val="28"/>
        </w:rPr>
        <w:t xml:space="preserve">Naming </w:t>
      </w:r>
      <w:r>
        <w:rPr>
          <w:sz w:val="28"/>
          <w:szCs w:val="28"/>
        </w:rPr>
        <w:t>Off Grid</w:t>
      </w:r>
      <w:r w:rsidRPr="00087CF9">
        <w:rPr>
          <w:sz w:val="28"/>
          <w:szCs w:val="28"/>
        </w:rPr>
        <w:t xml:space="preserve"> Sites</w:t>
      </w:r>
      <w:r w:rsidR="0052735C">
        <w:rPr>
          <w:sz w:val="28"/>
          <w:szCs w:val="28"/>
        </w:rPr>
        <w:t>:</w:t>
      </w:r>
      <w:bookmarkEnd w:id="23"/>
    </w:p>
    <w:p w:rsidR="007E3700" w:rsidRPr="007E3700" w:rsidRDefault="007E3700" w:rsidP="007E3700">
      <w:pPr>
        <w:jc w:val="center"/>
      </w:pPr>
      <w:r>
        <w:rPr>
          <w:noProof/>
          <w:lang w:eastAsia="en-CA"/>
        </w:rPr>
        <w:drawing>
          <wp:inline distT="0" distB="0" distL="0" distR="0" wp14:anchorId="15FC6E74" wp14:editId="10260DB8">
            <wp:extent cx="5340096" cy="767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lapierossi:Desktop:Off-grid Site Naming - New Pag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40096" cy="7676696"/>
                    </a:xfrm>
                    <a:prstGeom prst="rect">
                      <a:avLst/>
                    </a:prstGeom>
                    <a:noFill/>
                    <a:ln>
                      <a:noFill/>
                    </a:ln>
                    <a:extLst>
                      <a:ext uri="{53640926-AAD7-44D8-BBD7-CCE9431645EC}">
                        <a14:shadowObscured xmlns:a14="http://schemas.microsoft.com/office/drawing/2010/main"/>
                      </a:ext>
                    </a:extLst>
                  </pic:spPr>
                </pic:pic>
              </a:graphicData>
            </a:graphic>
          </wp:inline>
        </w:drawing>
      </w:r>
    </w:p>
    <w:p w:rsidR="007E3700" w:rsidRPr="00073D65" w:rsidRDefault="007E3700" w:rsidP="00C90B05">
      <w:pPr>
        <w:pStyle w:val="Heading3"/>
        <w:rPr>
          <w:sz w:val="24"/>
          <w:szCs w:val="24"/>
        </w:rPr>
      </w:pPr>
      <w:bookmarkStart w:id="24" w:name="_Toc435185276"/>
      <w:r w:rsidRPr="00073D65">
        <w:rPr>
          <w:sz w:val="24"/>
          <w:szCs w:val="24"/>
        </w:rPr>
        <w:lastRenderedPageBreak/>
        <w:t>Division of Responsibility</w:t>
      </w:r>
      <w:bookmarkEnd w:id="24"/>
    </w:p>
    <w:p w:rsidR="001D51A7" w:rsidRDefault="001D51A7" w:rsidP="001D51A7"/>
    <w:p w:rsidR="001D51A7" w:rsidRDefault="001D51A7" w:rsidP="001D51A7">
      <w:r>
        <w:t>The Operations Team has representation from the Monitoring Centre, Science Centre, Information Centre and program directives. This team is responsible for deciding how many off grid sites will be completed, what types of disturbances to target, and where in the province they will occur.</w:t>
      </w:r>
    </w:p>
    <w:p w:rsidR="00B72749" w:rsidRDefault="00B72749" w:rsidP="007E3700"/>
    <w:p w:rsidR="007E3700" w:rsidRDefault="007E3700" w:rsidP="007E3700">
      <w:r>
        <w:t xml:space="preserve">The </w:t>
      </w:r>
      <w:r w:rsidRPr="007622AF">
        <w:rPr>
          <w:b/>
        </w:rPr>
        <w:t>Monitoring Center</w:t>
      </w:r>
      <w:r>
        <w:t xml:space="preserve"> </w:t>
      </w:r>
      <w:r w:rsidR="001478F9">
        <w:t>is</w:t>
      </w:r>
      <w:r>
        <w:t xml:space="preserve"> responsible for: </w:t>
      </w:r>
    </w:p>
    <w:p w:rsidR="007E3700" w:rsidRDefault="007E3700" w:rsidP="00204DBB">
      <w:pPr>
        <w:pStyle w:val="ListParagraph"/>
        <w:numPr>
          <w:ilvl w:val="0"/>
          <w:numId w:val="5"/>
        </w:numPr>
        <w:spacing w:after="0"/>
      </w:pPr>
      <w:r>
        <w:t xml:space="preserve">Selecting a range of tentative sites </w:t>
      </w:r>
      <w:r w:rsidR="001478F9">
        <w:t>based on the criteria provided by the Science Centre</w:t>
      </w:r>
    </w:p>
    <w:p w:rsidR="007E3700" w:rsidRDefault="007E3700" w:rsidP="00204DBB">
      <w:pPr>
        <w:pStyle w:val="ListParagraph"/>
        <w:numPr>
          <w:ilvl w:val="0"/>
          <w:numId w:val="5"/>
        </w:numPr>
        <w:spacing w:after="0"/>
      </w:pPr>
      <w:r>
        <w:t>Negotiating access to the sites in collaboration with the Access team</w:t>
      </w:r>
    </w:p>
    <w:p w:rsidR="007E3700" w:rsidRDefault="007E3700" w:rsidP="00204DBB">
      <w:pPr>
        <w:pStyle w:val="ListParagraph"/>
        <w:numPr>
          <w:ilvl w:val="0"/>
          <w:numId w:val="5"/>
        </w:numPr>
        <w:spacing w:after="0"/>
      </w:pPr>
      <w:r>
        <w:t>Providing the Information Coordinator a “best” list of to-be-visited sites during the field season (including list of possible back-up sites)*</w:t>
      </w:r>
    </w:p>
    <w:p w:rsidR="007E3700" w:rsidRDefault="007E3700" w:rsidP="00204DBB">
      <w:pPr>
        <w:pStyle w:val="ListParagraph"/>
        <w:numPr>
          <w:ilvl w:val="0"/>
          <w:numId w:val="5"/>
        </w:numPr>
        <w:spacing w:after="0"/>
      </w:pPr>
      <w:r>
        <w:t>Managing access-related information</w:t>
      </w:r>
    </w:p>
    <w:p w:rsidR="007E3700" w:rsidRDefault="007E3700" w:rsidP="00204DBB">
      <w:pPr>
        <w:pStyle w:val="ListParagraph"/>
        <w:numPr>
          <w:ilvl w:val="0"/>
          <w:numId w:val="5"/>
        </w:numPr>
        <w:spacing w:after="0"/>
      </w:pPr>
      <w:r>
        <w:t xml:space="preserve">Updating off-grid site information on Site Summary Workbench of any changes that may occur during the field season </w:t>
      </w:r>
    </w:p>
    <w:p w:rsidR="007E3700" w:rsidRPr="001478F9" w:rsidRDefault="007E3700" w:rsidP="007E3700">
      <w:pPr>
        <w:pStyle w:val="ListParagraph"/>
        <w:numPr>
          <w:ilvl w:val="0"/>
          <w:numId w:val="5"/>
        </w:numPr>
        <w:spacing w:after="0"/>
      </w:pPr>
      <w:r>
        <w:t xml:space="preserve">Having the off-grid site information on the Site Summary Workbench corrected and completed by </w:t>
      </w:r>
      <w:r w:rsidRPr="00F27F35">
        <w:rPr>
          <w:b/>
        </w:rPr>
        <w:t>beginning of September</w:t>
      </w:r>
    </w:p>
    <w:p w:rsidR="001478F9" w:rsidRDefault="001478F9" w:rsidP="001478F9">
      <w:pPr>
        <w:pStyle w:val="ListParagraph"/>
        <w:spacing w:after="0"/>
      </w:pPr>
    </w:p>
    <w:p w:rsidR="007E3700" w:rsidRDefault="007E3700" w:rsidP="001478F9">
      <w:r>
        <w:t xml:space="preserve">* Although access negotiations may be happening well within the field season, the Monitoring Center has committed to provide the “best” site list to the IC by </w:t>
      </w:r>
      <w:r>
        <w:rPr>
          <w:b/>
        </w:rPr>
        <w:t>middle of March</w:t>
      </w:r>
      <w:r>
        <w:t xml:space="preserve">. This is to ensure all sites with high probability of being visited will receive a permanent name and be recorded on the Site Summary Workbench (SSW) well in advance of the field season start. </w:t>
      </w:r>
    </w:p>
    <w:p w:rsidR="007E3700" w:rsidRDefault="007E3700">
      <w:r>
        <w:t xml:space="preserve">The Monitoring Center has also agreed that sites entered into the Site Summary Workbench will not be deleted if access was ultimately not granted or site not visited, instead clear explanations for the lack of data associated to these sites will be recorded in the SSW for future reference. </w:t>
      </w:r>
    </w:p>
    <w:p w:rsidR="007E3700" w:rsidRDefault="007E3700">
      <w:r>
        <w:t xml:space="preserve">The </w:t>
      </w:r>
      <w:r w:rsidRPr="007622AF">
        <w:rPr>
          <w:b/>
        </w:rPr>
        <w:t>Information Coordinator</w:t>
      </w:r>
      <w:r>
        <w:t xml:space="preserve"> </w:t>
      </w:r>
      <w:r w:rsidR="001478F9">
        <w:t>is</w:t>
      </w:r>
      <w:r>
        <w:t xml:space="preserve"> responsible for: </w:t>
      </w:r>
    </w:p>
    <w:p w:rsidR="007E3700" w:rsidRDefault="00740544" w:rsidP="00204DBB">
      <w:pPr>
        <w:pStyle w:val="ListParagraph"/>
        <w:numPr>
          <w:ilvl w:val="0"/>
          <w:numId w:val="6"/>
        </w:numPr>
        <w:spacing w:after="0"/>
      </w:pPr>
      <w:r>
        <w:t>P</w:t>
      </w:r>
      <w:r w:rsidR="007E3700">
        <w:t>roviding “permanent”/”official” off-grid names to all the sites included in the M</w:t>
      </w:r>
      <w:r>
        <w:t xml:space="preserve">onitoring </w:t>
      </w:r>
      <w:r w:rsidR="007E3700">
        <w:t>C</w:t>
      </w:r>
      <w:r>
        <w:t>entre</w:t>
      </w:r>
      <w:r w:rsidR="007E3700">
        <w:t xml:space="preserve"> list</w:t>
      </w:r>
      <w:r w:rsidRPr="00740544">
        <w:t xml:space="preserve"> </w:t>
      </w:r>
      <w:r>
        <w:t xml:space="preserve">with the help from a GIS </w:t>
      </w:r>
      <w:r w:rsidR="0052735C">
        <w:t>T</w:t>
      </w:r>
      <w:r>
        <w:t>echnician and by using the public core site layer</w:t>
      </w:r>
    </w:p>
    <w:p w:rsidR="007E3700" w:rsidRDefault="007E3700" w:rsidP="00204DBB">
      <w:pPr>
        <w:pStyle w:val="ListParagraph"/>
        <w:numPr>
          <w:ilvl w:val="0"/>
          <w:numId w:val="6"/>
        </w:numPr>
        <w:spacing w:after="0"/>
      </w:pPr>
      <w:r>
        <w:t>Managing the site naming schema to avoid naming duplications</w:t>
      </w:r>
    </w:p>
    <w:p w:rsidR="007E3700" w:rsidRDefault="007E3700" w:rsidP="00204DBB">
      <w:pPr>
        <w:pStyle w:val="ListParagraph"/>
        <w:numPr>
          <w:ilvl w:val="0"/>
          <w:numId w:val="6"/>
        </w:numPr>
        <w:spacing w:after="0"/>
      </w:pPr>
      <w:r>
        <w:t>Entering the final site list in the SSW</w:t>
      </w:r>
    </w:p>
    <w:p w:rsidR="00786064" w:rsidRDefault="00786064" w:rsidP="00786064">
      <w:pPr>
        <w:pStyle w:val="ListParagraph"/>
        <w:numPr>
          <w:ilvl w:val="0"/>
          <w:numId w:val="6"/>
        </w:numPr>
        <w:spacing w:after="0"/>
      </w:pPr>
      <w:r>
        <w:t>Providing the Database Manager with the list of sites to add to the tablet</w:t>
      </w:r>
    </w:p>
    <w:p w:rsidR="007E3700" w:rsidRDefault="007E3700" w:rsidP="00204DBB">
      <w:pPr>
        <w:pStyle w:val="ListParagraph"/>
        <w:numPr>
          <w:ilvl w:val="0"/>
          <w:numId w:val="6"/>
        </w:numPr>
        <w:spacing w:after="0"/>
      </w:pPr>
      <w:r>
        <w:t>Verifying the list of off-grid sites is correct and complete at the end of the field season</w:t>
      </w:r>
    </w:p>
    <w:p w:rsidR="007E3700" w:rsidRDefault="007E3700" w:rsidP="00204DBB">
      <w:pPr>
        <w:pStyle w:val="ListParagraph"/>
        <w:numPr>
          <w:ilvl w:val="0"/>
          <w:numId w:val="6"/>
        </w:numPr>
        <w:spacing w:after="0"/>
      </w:pPr>
      <w:r>
        <w:t xml:space="preserve">Providing the final list of sites to </w:t>
      </w:r>
      <w:r w:rsidR="001478F9">
        <w:t xml:space="preserve">the Geospatial Centre </w:t>
      </w:r>
      <w:r>
        <w:t>for the generation of maps</w:t>
      </w:r>
    </w:p>
    <w:p w:rsidR="007E3700" w:rsidRDefault="007E3700" w:rsidP="00204DBB">
      <w:pPr>
        <w:pStyle w:val="ListParagraph"/>
        <w:numPr>
          <w:ilvl w:val="0"/>
          <w:numId w:val="6"/>
        </w:numPr>
        <w:spacing w:after="0"/>
      </w:pPr>
      <w:r>
        <w:t>Enter the site names and information in the database</w:t>
      </w:r>
    </w:p>
    <w:p w:rsidR="007E3700" w:rsidRDefault="007E3700" w:rsidP="001478F9"/>
    <w:p w:rsidR="007E3700" w:rsidRDefault="007E3700">
      <w:r>
        <w:lastRenderedPageBreak/>
        <w:t xml:space="preserve">In addition the Information Coordinator will also manage and store additional data associated with off-grid sites in the SSW back-end database. These will be stored in the database, but will not be visible online. The data being stored in association with these sites will include: </w:t>
      </w:r>
    </w:p>
    <w:p w:rsidR="007E3700" w:rsidRDefault="007E3700" w:rsidP="00204DBB">
      <w:pPr>
        <w:pStyle w:val="ListParagraph"/>
        <w:numPr>
          <w:ilvl w:val="0"/>
          <w:numId w:val="7"/>
        </w:numPr>
        <w:spacing w:after="0"/>
      </w:pPr>
      <w:r>
        <w:t>Original Naming Code</w:t>
      </w:r>
      <w:r w:rsidRPr="007622AF">
        <w:rPr>
          <w:color w:val="E36C0A" w:themeColor="accent6" w:themeShade="BF"/>
        </w:rPr>
        <w:t>*</w:t>
      </w:r>
      <w:r w:rsidRPr="007622AF">
        <w:rPr>
          <w:rFonts w:ascii="Wingdings" w:hAnsi="Wingdings"/>
          <w:color w:val="76923C" w:themeColor="accent3" w:themeShade="BF"/>
          <w:vertAlign w:val="superscript"/>
        </w:rPr>
        <w:t></w:t>
      </w:r>
    </w:p>
    <w:p w:rsidR="007E3700" w:rsidRDefault="007E3700" w:rsidP="00204DBB">
      <w:pPr>
        <w:pStyle w:val="ListParagraph"/>
        <w:numPr>
          <w:ilvl w:val="0"/>
          <w:numId w:val="7"/>
        </w:numPr>
        <w:spacing w:after="0"/>
      </w:pPr>
      <w:r>
        <w:t>Alternative Naming Code</w:t>
      </w:r>
    </w:p>
    <w:p w:rsidR="007E3700" w:rsidRDefault="007E3700" w:rsidP="00204DBB">
      <w:pPr>
        <w:pStyle w:val="ListParagraph"/>
        <w:numPr>
          <w:ilvl w:val="0"/>
          <w:numId w:val="7"/>
        </w:numPr>
        <w:spacing w:after="0"/>
      </w:pPr>
      <w:r>
        <w:t>ABMI “permanent” Naming Code</w:t>
      </w:r>
      <w:r w:rsidRPr="007622AF">
        <w:rPr>
          <w:color w:val="E36C0A" w:themeColor="accent6" w:themeShade="BF"/>
        </w:rPr>
        <w:t>*</w:t>
      </w:r>
      <w:r w:rsidRPr="007622AF">
        <w:rPr>
          <w:rFonts w:ascii="Wingdings" w:hAnsi="Wingdings"/>
          <w:color w:val="000000"/>
          <w:vertAlign w:val="superscript"/>
        </w:rPr>
        <w:t></w:t>
      </w:r>
    </w:p>
    <w:p w:rsidR="007E3700" w:rsidRDefault="007E3700" w:rsidP="00204DBB">
      <w:pPr>
        <w:pStyle w:val="ListParagraph"/>
        <w:numPr>
          <w:ilvl w:val="0"/>
          <w:numId w:val="7"/>
        </w:numPr>
        <w:spacing w:after="0"/>
      </w:pPr>
      <w:r>
        <w:t>Nearest Core Site</w:t>
      </w:r>
      <w:r w:rsidRPr="007622AF">
        <w:rPr>
          <w:color w:val="E36C0A" w:themeColor="accent6" w:themeShade="BF"/>
        </w:rPr>
        <w:t>*</w:t>
      </w:r>
    </w:p>
    <w:p w:rsidR="007E3700" w:rsidRDefault="007E3700" w:rsidP="00204DBB">
      <w:pPr>
        <w:pStyle w:val="ListParagraph"/>
        <w:numPr>
          <w:ilvl w:val="0"/>
          <w:numId w:val="7"/>
        </w:numPr>
        <w:spacing w:after="0"/>
      </w:pPr>
      <w:r>
        <w:t>Latitude</w:t>
      </w:r>
      <w:r w:rsidRPr="007622AF">
        <w:rPr>
          <w:color w:val="E36C0A" w:themeColor="accent6" w:themeShade="BF"/>
        </w:rPr>
        <w:t>*</w:t>
      </w:r>
      <w:r w:rsidRPr="007622AF">
        <w:rPr>
          <w:rFonts w:ascii="Wingdings" w:hAnsi="Wingdings"/>
          <w:color w:val="000000"/>
          <w:vertAlign w:val="superscript"/>
        </w:rPr>
        <w:t></w:t>
      </w:r>
      <w:r w:rsidRPr="007622AF">
        <w:rPr>
          <w:rFonts w:ascii="Wingdings" w:hAnsi="Wingdings"/>
          <w:color w:val="76923C" w:themeColor="accent3" w:themeShade="BF"/>
          <w:vertAlign w:val="superscript"/>
        </w:rPr>
        <w:t></w:t>
      </w:r>
    </w:p>
    <w:p w:rsidR="007E3700" w:rsidRDefault="007E3700" w:rsidP="00204DBB">
      <w:pPr>
        <w:pStyle w:val="ListParagraph"/>
        <w:numPr>
          <w:ilvl w:val="0"/>
          <w:numId w:val="7"/>
        </w:numPr>
        <w:spacing w:after="0"/>
      </w:pPr>
      <w:r>
        <w:t>Longitude</w:t>
      </w:r>
      <w:r w:rsidRPr="007622AF">
        <w:rPr>
          <w:color w:val="E36C0A" w:themeColor="accent6" w:themeShade="BF"/>
        </w:rPr>
        <w:t>*</w:t>
      </w:r>
      <w:r w:rsidRPr="007622AF">
        <w:rPr>
          <w:rFonts w:ascii="Wingdings" w:hAnsi="Wingdings"/>
          <w:color w:val="000000"/>
          <w:vertAlign w:val="superscript"/>
        </w:rPr>
        <w:t></w:t>
      </w:r>
      <w:r w:rsidRPr="007622AF">
        <w:rPr>
          <w:rFonts w:ascii="Wingdings" w:hAnsi="Wingdings"/>
          <w:color w:val="76923C" w:themeColor="accent3" w:themeShade="BF"/>
          <w:vertAlign w:val="superscript"/>
        </w:rPr>
        <w:t></w:t>
      </w:r>
    </w:p>
    <w:p w:rsidR="007E3700" w:rsidRDefault="007E3700" w:rsidP="00204DBB">
      <w:pPr>
        <w:pStyle w:val="ListParagraph"/>
        <w:numPr>
          <w:ilvl w:val="0"/>
          <w:numId w:val="7"/>
        </w:numPr>
        <w:spacing w:after="0"/>
      </w:pPr>
      <w:r>
        <w:t>Year*</w:t>
      </w:r>
    </w:p>
    <w:p w:rsidR="007E3700" w:rsidRDefault="007E3700" w:rsidP="00204DBB">
      <w:pPr>
        <w:pStyle w:val="ListParagraph"/>
        <w:numPr>
          <w:ilvl w:val="0"/>
          <w:numId w:val="7"/>
        </w:numPr>
        <w:spacing w:after="0"/>
      </w:pPr>
      <w:r>
        <w:t>Data Supplier (Owner)</w:t>
      </w:r>
      <w:r w:rsidRPr="007622AF">
        <w:rPr>
          <w:color w:val="E36C0A" w:themeColor="accent6" w:themeShade="BF"/>
        </w:rPr>
        <w:t>*</w:t>
      </w:r>
    </w:p>
    <w:p w:rsidR="007E3700" w:rsidRDefault="007E3700" w:rsidP="00204DBB">
      <w:pPr>
        <w:pStyle w:val="ListParagraph"/>
        <w:numPr>
          <w:ilvl w:val="0"/>
          <w:numId w:val="7"/>
        </w:numPr>
        <w:spacing w:after="0"/>
      </w:pPr>
      <w:r>
        <w:t>Natural Region</w:t>
      </w:r>
      <w:r w:rsidRPr="007622AF">
        <w:rPr>
          <w:rFonts w:ascii="Wingdings" w:hAnsi="Wingdings"/>
          <w:color w:val="76923C" w:themeColor="accent3" w:themeShade="BF"/>
          <w:vertAlign w:val="superscript"/>
        </w:rPr>
        <w:t></w:t>
      </w:r>
    </w:p>
    <w:p w:rsidR="007E3700" w:rsidRDefault="007E3700" w:rsidP="00204DBB">
      <w:pPr>
        <w:pStyle w:val="ListParagraph"/>
        <w:numPr>
          <w:ilvl w:val="0"/>
          <w:numId w:val="7"/>
        </w:numPr>
        <w:spacing w:after="0"/>
      </w:pPr>
      <w:r>
        <w:t>Comments</w:t>
      </w:r>
      <w:r w:rsidRPr="007622AF">
        <w:rPr>
          <w:rFonts w:ascii="Wingdings" w:hAnsi="Wingdings"/>
          <w:color w:val="76923C" w:themeColor="accent3" w:themeShade="BF"/>
          <w:vertAlign w:val="superscript"/>
        </w:rPr>
        <w:t></w:t>
      </w:r>
      <w:r w:rsidRPr="007622AF">
        <w:rPr>
          <w:color w:val="76923C" w:themeColor="accent3" w:themeShade="BF"/>
        </w:rPr>
        <w:t xml:space="preserve"> </w:t>
      </w:r>
    </w:p>
    <w:p w:rsidR="007E3700" w:rsidRPr="00BF493D" w:rsidRDefault="007E3700" w:rsidP="00204DBB">
      <w:pPr>
        <w:pStyle w:val="ListParagraph"/>
        <w:numPr>
          <w:ilvl w:val="0"/>
          <w:numId w:val="7"/>
        </w:numPr>
        <w:spacing w:after="0"/>
      </w:pPr>
      <w:r>
        <w:t>Reason for Selection</w:t>
      </w:r>
      <w:r w:rsidRPr="00BF493D">
        <w:rPr>
          <w:color w:val="F79646" w:themeColor="accent6"/>
        </w:rPr>
        <w:t>*</w:t>
      </w:r>
      <w:r w:rsidRPr="007622AF">
        <w:rPr>
          <w:rFonts w:ascii="Wingdings" w:hAnsi="Wingdings"/>
          <w:color w:val="76923C" w:themeColor="accent3" w:themeShade="BF"/>
          <w:vertAlign w:val="superscript"/>
        </w:rPr>
        <w:t></w:t>
      </w:r>
      <w:r>
        <w:rPr>
          <w:rFonts w:ascii="Wingdings" w:hAnsi="Wingdings"/>
          <w:color w:val="76923C" w:themeColor="accent3" w:themeShade="BF"/>
          <w:vertAlign w:val="superscript"/>
        </w:rPr>
        <w:t></w:t>
      </w:r>
    </w:p>
    <w:p w:rsidR="007E3700" w:rsidRDefault="007E3700" w:rsidP="00204DBB">
      <w:pPr>
        <w:spacing w:after="0"/>
      </w:pPr>
      <w:r w:rsidRPr="007622AF">
        <w:rPr>
          <w:color w:val="E36C0A" w:themeColor="accent6" w:themeShade="BF"/>
        </w:rPr>
        <w:t>*</w:t>
      </w:r>
      <w:r>
        <w:rPr>
          <w:color w:val="E36C0A" w:themeColor="accent6" w:themeShade="BF"/>
        </w:rPr>
        <w:t xml:space="preserve">   </w:t>
      </w:r>
      <w:r>
        <w:t>Denotes a required field</w:t>
      </w:r>
    </w:p>
    <w:p w:rsidR="007E3700" w:rsidRPr="00BF493D" w:rsidRDefault="007E3700" w:rsidP="00204DBB">
      <w:pPr>
        <w:spacing w:after="0"/>
        <w:rPr>
          <w:color w:val="76923C" w:themeColor="accent3" w:themeShade="BF"/>
        </w:rPr>
      </w:pPr>
      <w:r w:rsidRPr="007622AF">
        <w:rPr>
          <w:rFonts w:ascii="Wingdings" w:hAnsi="Wingdings"/>
          <w:color w:val="76923C" w:themeColor="accent3" w:themeShade="BF"/>
          <w:vertAlign w:val="superscript"/>
        </w:rPr>
        <w:t></w:t>
      </w:r>
      <w:r>
        <w:rPr>
          <w:rFonts w:ascii="Wingdings" w:hAnsi="Wingdings"/>
          <w:color w:val="76923C" w:themeColor="accent3" w:themeShade="BF"/>
          <w:vertAlign w:val="superscript"/>
        </w:rPr>
        <w:t></w:t>
      </w:r>
      <w:r w:rsidRPr="00BF493D">
        <w:rPr>
          <w:color w:val="76923C" w:themeColor="accent3" w:themeShade="BF"/>
        </w:rPr>
        <w:t>Denotes data provided by the MC</w:t>
      </w:r>
    </w:p>
    <w:p w:rsidR="007E3700" w:rsidRDefault="007E3700" w:rsidP="00204DBB">
      <w:pPr>
        <w:spacing w:after="0"/>
      </w:pPr>
      <w:r w:rsidRPr="007622AF">
        <w:rPr>
          <w:rFonts w:ascii="Wingdings" w:hAnsi="Wingdings"/>
          <w:color w:val="000000"/>
          <w:vertAlign w:val="superscript"/>
        </w:rPr>
        <w:t></w:t>
      </w:r>
      <w:r>
        <w:rPr>
          <w:rFonts w:ascii="Wingdings" w:hAnsi="Wingdings"/>
          <w:color w:val="000000"/>
          <w:vertAlign w:val="superscript"/>
        </w:rPr>
        <w:t></w:t>
      </w:r>
      <w:r>
        <w:t>Denotes unique fields</w:t>
      </w:r>
    </w:p>
    <w:p w:rsidR="007E3700" w:rsidRDefault="007E3700" w:rsidP="00204DBB">
      <w:pPr>
        <w:spacing w:after="0"/>
      </w:pPr>
      <w:r>
        <w:rPr>
          <w:rFonts w:ascii="Wingdings" w:hAnsi="Wingdings"/>
          <w:color w:val="76923C" w:themeColor="accent3" w:themeShade="BF"/>
          <w:vertAlign w:val="superscript"/>
        </w:rPr>
        <w:t></w:t>
      </w:r>
      <w:r>
        <w:rPr>
          <w:rFonts w:ascii="Wingdings" w:hAnsi="Wingdings"/>
          <w:color w:val="76923C" w:themeColor="accent3" w:themeShade="BF"/>
          <w:vertAlign w:val="superscript"/>
        </w:rPr>
        <w:t></w:t>
      </w:r>
      <w:r>
        <w:t xml:space="preserve">“Reason for selection” is going to be a categorical field, but discussions on the number and types of categories needed are beyond the scope of this agreement and will need to be discussed at a separate time. For the 2014 season this field will not be available and reasons for sites selection will be recorded as free-text in the comments field. </w:t>
      </w:r>
    </w:p>
    <w:p w:rsidR="007E3700" w:rsidRDefault="007E3700" w:rsidP="007E3700">
      <w:pPr>
        <w:rPr>
          <w:b/>
        </w:rPr>
      </w:pPr>
    </w:p>
    <w:p w:rsidR="003C7D95" w:rsidRPr="003C7D95" w:rsidRDefault="003C7D95" w:rsidP="003C7D95"/>
    <w:p w:rsidR="00653355" w:rsidRPr="00653355" w:rsidRDefault="00653355" w:rsidP="00653355"/>
    <w:sectPr w:rsidR="00653355" w:rsidRPr="006533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CD3" w:rsidRDefault="00485CD3" w:rsidP="00653355">
      <w:pPr>
        <w:spacing w:after="0" w:line="240" w:lineRule="auto"/>
      </w:pPr>
      <w:r>
        <w:separator/>
      </w:r>
    </w:p>
  </w:endnote>
  <w:endnote w:type="continuationSeparator" w:id="0">
    <w:p w:rsidR="00485CD3" w:rsidRDefault="00485CD3" w:rsidP="0065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CD3" w:rsidRDefault="00485CD3" w:rsidP="00653355">
      <w:pPr>
        <w:spacing w:after="0" w:line="240" w:lineRule="auto"/>
      </w:pPr>
      <w:r>
        <w:separator/>
      </w:r>
    </w:p>
  </w:footnote>
  <w:footnote w:type="continuationSeparator" w:id="0">
    <w:p w:rsidR="00485CD3" w:rsidRDefault="00485CD3" w:rsidP="00653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731"/>
    <w:multiLevelType w:val="hybridMultilevel"/>
    <w:tmpl w:val="BEDC9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77138"/>
    <w:multiLevelType w:val="hybridMultilevel"/>
    <w:tmpl w:val="912C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A5F07"/>
    <w:multiLevelType w:val="hybridMultilevel"/>
    <w:tmpl w:val="A8B6C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17E08"/>
    <w:multiLevelType w:val="hybridMultilevel"/>
    <w:tmpl w:val="5EECDB7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767B32"/>
    <w:multiLevelType w:val="hybridMultilevel"/>
    <w:tmpl w:val="E23CB8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907571"/>
    <w:multiLevelType w:val="hybridMultilevel"/>
    <w:tmpl w:val="E23CB8CE"/>
    <w:lvl w:ilvl="0" w:tplc="1009000F">
      <w:start w:val="1"/>
      <w:numFmt w:val="decimal"/>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6" w15:restartNumberingAfterBreak="0">
    <w:nsid w:val="416F0745"/>
    <w:multiLevelType w:val="hybridMultilevel"/>
    <w:tmpl w:val="7414AAF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D480C75"/>
    <w:multiLevelType w:val="hybridMultilevel"/>
    <w:tmpl w:val="8340A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7B8637A"/>
    <w:multiLevelType w:val="hybridMultilevel"/>
    <w:tmpl w:val="1EF278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A134FE0"/>
    <w:multiLevelType w:val="hybridMultilevel"/>
    <w:tmpl w:val="408EFBA4"/>
    <w:lvl w:ilvl="0" w:tplc="04090001">
      <w:start w:val="1"/>
      <w:numFmt w:val="bullet"/>
      <w:lvlText w:val=""/>
      <w:lvlJc w:val="left"/>
      <w:pPr>
        <w:tabs>
          <w:tab w:val="num" w:pos="360"/>
        </w:tabs>
        <w:ind w:left="360" w:hanging="360"/>
      </w:pPr>
      <w:rPr>
        <w:rFonts w:ascii="Symbol" w:hAnsi="Symbol" w:hint="default"/>
      </w:rPr>
    </w:lvl>
    <w:lvl w:ilvl="1" w:tplc="10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02365F8"/>
    <w:multiLevelType w:val="hybridMultilevel"/>
    <w:tmpl w:val="70DA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11CB7"/>
    <w:multiLevelType w:val="hybridMultilevel"/>
    <w:tmpl w:val="5EECDB7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C192C02"/>
    <w:multiLevelType w:val="hybridMultilevel"/>
    <w:tmpl w:val="2AA087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8"/>
  </w:num>
  <w:num w:numId="4">
    <w:abstractNumId w:val="4"/>
  </w:num>
  <w:num w:numId="5">
    <w:abstractNumId w:val="1"/>
  </w:num>
  <w:num w:numId="6">
    <w:abstractNumId w:val="10"/>
  </w:num>
  <w:num w:numId="7">
    <w:abstractNumId w:val="2"/>
  </w:num>
  <w:num w:numId="8">
    <w:abstractNumId w:val="6"/>
  </w:num>
  <w:num w:numId="9">
    <w:abstractNumId w:val="5"/>
  </w:num>
  <w:num w:numId="10">
    <w:abstractNumId w:val="9"/>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49D3"/>
    <w:rsid w:val="000205C9"/>
    <w:rsid w:val="00030D1C"/>
    <w:rsid w:val="00073D65"/>
    <w:rsid w:val="00087CF9"/>
    <w:rsid w:val="0009608D"/>
    <w:rsid w:val="0013340A"/>
    <w:rsid w:val="001478F9"/>
    <w:rsid w:val="00161B34"/>
    <w:rsid w:val="0017056F"/>
    <w:rsid w:val="00196AFA"/>
    <w:rsid w:val="001A2FD4"/>
    <w:rsid w:val="001C6C99"/>
    <w:rsid w:val="001D51A7"/>
    <w:rsid w:val="00204DBB"/>
    <w:rsid w:val="002642A0"/>
    <w:rsid w:val="002A3831"/>
    <w:rsid w:val="002B24D6"/>
    <w:rsid w:val="002B65AD"/>
    <w:rsid w:val="002C0374"/>
    <w:rsid w:val="002D7AAC"/>
    <w:rsid w:val="002E0779"/>
    <w:rsid w:val="002E7325"/>
    <w:rsid w:val="002F7B26"/>
    <w:rsid w:val="00303C85"/>
    <w:rsid w:val="00320C5D"/>
    <w:rsid w:val="0034465D"/>
    <w:rsid w:val="003B7CC8"/>
    <w:rsid w:val="003C7D95"/>
    <w:rsid w:val="004418F4"/>
    <w:rsid w:val="004524BC"/>
    <w:rsid w:val="00485CD3"/>
    <w:rsid w:val="004A14BF"/>
    <w:rsid w:val="004A1801"/>
    <w:rsid w:val="004C070D"/>
    <w:rsid w:val="004C10C5"/>
    <w:rsid w:val="004C6B6F"/>
    <w:rsid w:val="004D5DE7"/>
    <w:rsid w:val="0052735C"/>
    <w:rsid w:val="005B25FA"/>
    <w:rsid w:val="005C654F"/>
    <w:rsid w:val="005C7B5C"/>
    <w:rsid w:val="005F5404"/>
    <w:rsid w:val="00605B80"/>
    <w:rsid w:val="006210D4"/>
    <w:rsid w:val="006277FB"/>
    <w:rsid w:val="006343F9"/>
    <w:rsid w:val="00634C02"/>
    <w:rsid w:val="00644CC2"/>
    <w:rsid w:val="00653355"/>
    <w:rsid w:val="006857C8"/>
    <w:rsid w:val="0070661A"/>
    <w:rsid w:val="007203F8"/>
    <w:rsid w:val="007255C2"/>
    <w:rsid w:val="00740544"/>
    <w:rsid w:val="007549D3"/>
    <w:rsid w:val="007579FB"/>
    <w:rsid w:val="00767A23"/>
    <w:rsid w:val="007800A3"/>
    <w:rsid w:val="00786064"/>
    <w:rsid w:val="007A1784"/>
    <w:rsid w:val="007A2F95"/>
    <w:rsid w:val="007C5D32"/>
    <w:rsid w:val="007D2862"/>
    <w:rsid w:val="007E3700"/>
    <w:rsid w:val="007F0864"/>
    <w:rsid w:val="00832C98"/>
    <w:rsid w:val="00845AA8"/>
    <w:rsid w:val="0085711F"/>
    <w:rsid w:val="00864503"/>
    <w:rsid w:val="008A0A00"/>
    <w:rsid w:val="008C3C8A"/>
    <w:rsid w:val="008F2DB8"/>
    <w:rsid w:val="0091421A"/>
    <w:rsid w:val="00977C60"/>
    <w:rsid w:val="00982729"/>
    <w:rsid w:val="0098443D"/>
    <w:rsid w:val="009926ED"/>
    <w:rsid w:val="0099776B"/>
    <w:rsid w:val="009B62A8"/>
    <w:rsid w:val="009C700C"/>
    <w:rsid w:val="009E0787"/>
    <w:rsid w:val="009E45DD"/>
    <w:rsid w:val="00A022E9"/>
    <w:rsid w:val="00A1790D"/>
    <w:rsid w:val="00A606D4"/>
    <w:rsid w:val="00A671C5"/>
    <w:rsid w:val="00A937E0"/>
    <w:rsid w:val="00A938A7"/>
    <w:rsid w:val="00AA7B6C"/>
    <w:rsid w:val="00AC570F"/>
    <w:rsid w:val="00AD4F6B"/>
    <w:rsid w:val="00B339F5"/>
    <w:rsid w:val="00B344F8"/>
    <w:rsid w:val="00B72749"/>
    <w:rsid w:val="00B81990"/>
    <w:rsid w:val="00B94F7E"/>
    <w:rsid w:val="00BB4489"/>
    <w:rsid w:val="00BC4316"/>
    <w:rsid w:val="00BD1752"/>
    <w:rsid w:val="00C027FB"/>
    <w:rsid w:val="00C02936"/>
    <w:rsid w:val="00C651B5"/>
    <w:rsid w:val="00C90B05"/>
    <w:rsid w:val="00C913BF"/>
    <w:rsid w:val="00C95E31"/>
    <w:rsid w:val="00C9605C"/>
    <w:rsid w:val="00CA68A6"/>
    <w:rsid w:val="00CB70CD"/>
    <w:rsid w:val="00D31A69"/>
    <w:rsid w:val="00D56A48"/>
    <w:rsid w:val="00D731A9"/>
    <w:rsid w:val="00D97B1F"/>
    <w:rsid w:val="00DA534B"/>
    <w:rsid w:val="00DE45E8"/>
    <w:rsid w:val="00E04400"/>
    <w:rsid w:val="00E24189"/>
    <w:rsid w:val="00E36EB5"/>
    <w:rsid w:val="00E623AB"/>
    <w:rsid w:val="00E6392C"/>
    <w:rsid w:val="00E74571"/>
    <w:rsid w:val="00E76B83"/>
    <w:rsid w:val="00EA394D"/>
    <w:rsid w:val="00EC0A9D"/>
    <w:rsid w:val="00EE1B5E"/>
    <w:rsid w:val="00EF2777"/>
    <w:rsid w:val="00F11CA8"/>
    <w:rsid w:val="00F230CB"/>
    <w:rsid w:val="00F27250"/>
    <w:rsid w:val="00F316A4"/>
    <w:rsid w:val="00F32A6F"/>
    <w:rsid w:val="00F912C2"/>
    <w:rsid w:val="00FA272A"/>
    <w:rsid w:val="00FC762B"/>
    <w:rsid w:val="00FE7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7C6643F-08E9-416F-8CB6-F0259991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9D3"/>
  </w:style>
  <w:style w:type="paragraph" w:styleId="Heading1">
    <w:name w:val="heading 1"/>
    <w:basedOn w:val="Normal"/>
    <w:next w:val="Normal"/>
    <w:link w:val="Heading1Char"/>
    <w:uiPriority w:val="9"/>
    <w:qFormat/>
    <w:rsid w:val="0075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9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9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7C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9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49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9D3"/>
    <w:rPr>
      <w:rFonts w:asciiTheme="majorHAnsi" w:eastAsiaTheme="majorEastAsia" w:hAnsiTheme="majorHAnsi" w:cstheme="majorBidi"/>
      <w:b/>
      <w:bCs/>
      <w:color w:val="4F81BD" w:themeColor="accent1"/>
    </w:rPr>
  </w:style>
  <w:style w:type="table" w:styleId="TableGrid">
    <w:name w:val="Table Grid"/>
    <w:basedOn w:val="TableNormal"/>
    <w:uiPriority w:val="59"/>
    <w:rsid w:val="0075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49D3"/>
    <w:pPr>
      <w:outlineLvl w:val="9"/>
    </w:pPr>
    <w:rPr>
      <w:lang w:val="en-US" w:eastAsia="ja-JP"/>
    </w:rPr>
  </w:style>
  <w:style w:type="paragraph" w:styleId="TOC2">
    <w:name w:val="toc 2"/>
    <w:basedOn w:val="Normal"/>
    <w:next w:val="Normal"/>
    <w:autoRedefine/>
    <w:uiPriority w:val="39"/>
    <w:unhideWhenUsed/>
    <w:rsid w:val="007549D3"/>
    <w:pPr>
      <w:spacing w:after="100"/>
      <w:ind w:left="220"/>
    </w:pPr>
  </w:style>
  <w:style w:type="paragraph" w:styleId="TOC1">
    <w:name w:val="toc 1"/>
    <w:basedOn w:val="Normal"/>
    <w:next w:val="Normal"/>
    <w:autoRedefine/>
    <w:uiPriority w:val="39"/>
    <w:unhideWhenUsed/>
    <w:rsid w:val="007549D3"/>
    <w:pPr>
      <w:spacing w:after="100"/>
    </w:pPr>
  </w:style>
  <w:style w:type="paragraph" w:styleId="TOC3">
    <w:name w:val="toc 3"/>
    <w:basedOn w:val="Normal"/>
    <w:next w:val="Normal"/>
    <w:autoRedefine/>
    <w:uiPriority w:val="39"/>
    <w:unhideWhenUsed/>
    <w:rsid w:val="007549D3"/>
    <w:pPr>
      <w:spacing w:after="100"/>
      <w:ind w:left="440"/>
    </w:pPr>
  </w:style>
  <w:style w:type="character" w:styleId="Hyperlink">
    <w:name w:val="Hyperlink"/>
    <w:basedOn w:val="DefaultParagraphFont"/>
    <w:uiPriority w:val="99"/>
    <w:unhideWhenUsed/>
    <w:rsid w:val="007549D3"/>
    <w:rPr>
      <w:color w:val="0000FF" w:themeColor="hyperlink"/>
      <w:u w:val="single"/>
    </w:rPr>
  </w:style>
  <w:style w:type="paragraph" w:styleId="BalloonText">
    <w:name w:val="Balloon Text"/>
    <w:basedOn w:val="Normal"/>
    <w:link w:val="BalloonTextChar"/>
    <w:uiPriority w:val="99"/>
    <w:semiHidden/>
    <w:unhideWhenUsed/>
    <w:rsid w:val="0075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D3"/>
    <w:rPr>
      <w:rFonts w:ascii="Tahoma" w:hAnsi="Tahoma" w:cs="Tahoma"/>
      <w:sz w:val="16"/>
      <w:szCs w:val="16"/>
    </w:rPr>
  </w:style>
  <w:style w:type="paragraph" w:styleId="Header">
    <w:name w:val="header"/>
    <w:basedOn w:val="Normal"/>
    <w:link w:val="HeaderChar"/>
    <w:uiPriority w:val="99"/>
    <w:unhideWhenUsed/>
    <w:rsid w:val="00653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355"/>
  </w:style>
  <w:style w:type="paragraph" w:styleId="Footer">
    <w:name w:val="footer"/>
    <w:basedOn w:val="Normal"/>
    <w:link w:val="FooterChar"/>
    <w:uiPriority w:val="99"/>
    <w:unhideWhenUsed/>
    <w:rsid w:val="00653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355"/>
  </w:style>
  <w:style w:type="paragraph" w:styleId="ListParagraph">
    <w:name w:val="List Paragraph"/>
    <w:basedOn w:val="Normal"/>
    <w:uiPriority w:val="34"/>
    <w:qFormat/>
    <w:rsid w:val="00653355"/>
    <w:pPr>
      <w:ind w:left="720"/>
      <w:contextualSpacing/>
    </w:pPr>
  </w:style>
  <w:style w:type="character" w:customStyle="1" w:styleId="Heading4Char">
    <w:name w:val="Heading 4 Char"/>
    <w:basedOn w:val="DefaultParagraphFont"/>
    <w:link w:val="Heading4"/>
    <w:uiPriority w:val="9"/>
    <w:rsid w:val="00087CF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D5DE7"/>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CommentReference">
    <w:name w:val="annotation reference"/>
    <w:basedOn w:val="DefaultParagraphFont"/>
    <w:uiPriority w:val="99"/>
    <w:semiHidden/>
    <w:unhideWhenUsed/>
    <w:rsid w:val="002642A0"/>
    <w:rPr>
      <w:sz w:val="16"/>
      <w:szCs w:val="16"/>
    </w:rPr>
  </w:style>
  <w:style w:type="paragraph" w:styleId="CommentText">
    <w:name w:val="annotation text"/>
    <w:basedOn w:val="Normal"/>
    <w:link w:val="CommentTextChar"/>
    <w:uiPriority w:val="99"/>
    <w:semiHidden/>
    <w:unhideWhenUsed/>
    <w:rsid w:val="002642A0"/>
    <w:pPr>
      <w:spacing w:line="240" w:lineRule="auto"/>
    </w:pPr>
    <w:rPr>
      <w:sz w:val="20"/>
      <w:szCs w:val="20"/>
    </w:rPr>
  </w:style>
  <w:style w:type="character" w:customStyle="1" w:styleId="CommentTextChar">
    <w:name w:val="Comment Text Char"/>
    <w:basedOn w:val="DefaultParagraphFont"/>
    <w:link w:val="CommentText"/>
    <w:uiPriority w:val="99"/>
    <w:semiHidden/>
    <w:rsid w:val="002642A0"/>
    <w:rPr>
      <w:sz w:val="20"/>
      <w:szCs w:val="20"/>
    </w:rPr>
  </w:style>
  <w:style w:type="paragraph" w:styleId="CommentSubject">
    <w:name w:val="annotation subject"/>
    <w:basedOn w:val="CommentText"/>
    <w:next w:val="CommentText"/>
    <w:link w:val="CommentSubjectChar"/>
    <w:uiPriority w:val="99"/>
    <w:semiHidden/>
    <w:unhideWhenUsed/>
    <w:rsid w:val="002642A0"/>
    <w:rPr>
      <w:b/>
      <w:bCs/>
    </w:rPr>
  </w:style>
  <w:style w:type="character" w:customStyle="1" w:styleId="CommentSubjectChar">
    <w:name w:val="Comment Subject Char"/>
    <w:basedOn w:val="CommentTextChar"/>
    <w:link w:val="CommentSubject"/>
    <w:uiPriority w:val="99"/>
    <w:semiHidden/>
    <w:rsid w:val="002642A0"/>
    <w:rPr>
      <w:b/>
      <w:bCs/>
      <w:sz w:val="20"/>
      <w:szCs w:val="20"/>
    </w:rPr>
  </w:style>
  <w:style w:type="paragraph" w:styleId="Revision">
    <w:name w:val="Revision"/>
    <w:hidden/>
    <w:uiPriority w:val="99"/>
    <w:semiHidden/>
    <w:rsid w:val="00DA53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6080">
      <w:bodyDiv w:val="1"/>
      <w:marLeft w:val="0"/>
      <w:marRight w:val="0"/>
      <w:marTop w:val="0"/>
      <w:marBottom w:val="0"/>
      <w:divBdr>
        <w:top w:val="none" w:sz="0" w:space="0" w:color="auto"/>
        <w:left w:val="none" w:sz="0" w:space="0" w:color="auto"/>
        <w:bottom w:val="none" w:sz="0" w:space="0" w:color="auto"/>
        <w:right w:val="none" w:sz="0" w:space="0" w:color="auto"/>
      </w:divBdr>
    </w:div>
    <w:div w:id="1596403660">
      <w:bodyDiv w:val="1"/>
      <w:marLeft w:val="0"/>
      <w:marRight w:val="0"/>
      <w:marTop w:val="0"/>
      <w:marBottom w:val="0"/>
      <w:divBdr>
        <w:top w:val="none" w:sz="0" w:space="0" w:color="auto"/>
        <w:left w:val="none" w:sz="0" w:space="0" w:color="auto"/>
        <w:bottom w:val="none" w:sz="0" w:space="0" w:color="auto"/>
        <w:right w:val="none" w:sz="0" w:space="0" w:color="auto"/>
      </w:divBdr>
    </w:div>
    <w:div w:id="16727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FF52F-2C71-479A-A285-0987C3D3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Alberta Innovates - Technology Futures</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 Deslauriers</dc:creator>
  <cp:lastModifiedBy>Corrina Copp</cp:lastModifiedBy>
  <cp:revision>3</cp:revision>
  <dcterms:created xsi:type="dcterms:W3CDTF">2016-01-06T19:15:00Z</dcterms:created>
  <dcterms:modified xsi:type="dcterms:W3CDTF">2018-03-14T16:44:00Z</dcterms:modified>
</cp:coreProperties>
</file>