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BC593" w14:textId="5564E3B1" w:rsidR="0099178D" w:rsidRDefault="00890E14" w:rsidP="00E44556">
      <w:pPr>
        <w:pStyle w:val="1"/>
      </w:pPr>
      <w:r>
        <w:rPr>
          <w:rFonts w:hint="eastAsia"/>
        </w:rPr>
        <w:t>組織雙元</w:t>
      </w:r>
      <w:r w:rsidR="009D7F11">
        <w:rPr>
          <w:rFonts w:hint="eastAsia"/>
        </w:rPr>
        <w:t>性</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pPr>
        <w:rPr>
          <w:rFonts w:hint="eastAsia"/>
        </w:rPr>
      </w:pPr>
      <w:r>
        <w:rPr>
          <w:rFonts w:hint="eastAsia"/>
        </w:rPr>
        <w:t>【探索具有脆弱性</w:t>
      </w:r>
      <w:r w:rsidR="00752074">
        <w:t>The fragility of exploration</w:t>
      </w:r>
      <w:r>
        <w:rPr>
          <w:rFonts w:hint="eastAsia"/>
        </w:rPr>
        <w:t>】</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pPr>
        <w:rPr>
          <w:rFonts w:hint="eastAsia"/>
        </w:rPr>
      </w:pPr>
      <w:r>
        <w:rPr>
          <w:rFonts w:hint="eastAsia"/>
        </w:rPr>
        <w:t>【探索的時間較長與不確定性】</w:t>
      </w:r>
      <w:r>
        <w:rPr>
          <w:rFonts w:hint="eastAsia"/>
        </w:rPr>
        <w:t>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Pr>
        <w:rPr>
          <w:rFonts w:hint="eastAsia"/>
        </w:rPr>
      </w:pPr>
    </w:p>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 xml:space="preserve">What is </w:t>
      </w:r>
      <w:r w:rsidR="00AF5F17">
        <w:lastRenderedPageBreak/>
        <w:t>good for one part of the organization is not always good for another part.</w:t>
      </w:r>
    </w:p>
    <w:p w14:paraId="0DF472CF" w14:textId="77777777" w:rsidR="004B4BB6" w:rsidRDefault="004B4BB6" w:rsidP="00AF5F17"/>
    <w:p w14:paraId="7167A46A" w14:textId="77777777" w:rsidR="004B4BB6" w:rsidRDefault="004B4BB6" w:rsidP="00AF5F17">
      <w:pPr>
        <w:rPr>
          <w:rFonts w:hint="eastAsia"/>
        </w:rPr>
      </w:pPr>
    </w:p>
    <w:p w14:paraId="674A286E" w14:textId="77777777" w:rsidR="007C2B4C" w:rsidRDefault="007C2B4C" w:rsidP="00987955">
      <w:pPr>
        <w:rPr>
          <w:rFonts w:hint="eastAsia"/>
        </w:rPr>
      </w:pPr>
    </w:p>
    <w:p w14:paraId="3728FDEC" w14:textId="3E0D651A" w:rsidR="00AF58C9" w:rsidRDefault="00AF58C9" w:rsidP="00A4632D">
      <w:r>
        <w:rPr>
          <w:rFonts w:hint="eastAsia"/>
        </w:rPr>
        <w:t>【定義利用】</w:t>
      </w:r>
      <w:r>
        <w:rPr>
          <w:rFonts w:hint="eastAsia"/>
        </w:rPr>
        <w:t>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Pr>
        <w:rPr>
          <w:rFonts w:hint="eastAsia"/>
        </w:rPr>
      </w:pPr>
    </w:p>
    <w:p w14:paraId="25602D24" w14:textId="1C8A63E3" w:rsidR="00FC045F" w:rsidRDefault="008E005D" w:rsidP="008E005D">
      <w:r>
        <w:rPr>
          <w:rFonts w:hint="eastAsia"/>
        </w:rPr>
        <w:t>【均衡兩者很重要】</w:t>
      </w:r>
      <w:r>
        <w:rPr>
          <w:rFonts w:hint="eastAsia"/>
        </w:rPr>
        <w:t>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pPr>
        <w:rPr>
          <w:rFonts w:hint="eastAsia"/>
        </w:rPr>
      </w:pPr>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w:t>
      </w:r>
      <w:r>
        <w:rPr>
          <w:rFonts w:hint="eastAsia"/>
        </w:rPr>
        <w:lastRenderedPageBreak/>
        <w:t>習</w:t>
      </w:r>
      <w:r w:rsidR="00D423C3">
        <w:rPr>
          <w:rFonts w:hint="eastAsia"/>
        </w:rPr>
        <w:t>:</w:t>
      </w:r>
      <w:r w:rsidRPr="006F3F0C">
        <w:rPr>
          <w:rFonts w:hint="eastAsia"/>
          <w:color w:val="EE0000"/>
        </w:rPr>
        <w:t>組織的知識和信念透過各種形式的指導、灌輸和示範傳播給個人</w:t>
      </w:r>
      <w:r>
        <w:rPr>
          <w:rFonts w:hint="eastAsia"/>
        </w:rPr>
        <w:t>。</w:t>
      </w:r>
      <w:r>
        <w:t>2. Mutual learning in knowledge development</w:t>
      </w:r>
      <w:r w:rsidR="006F3F0C">
        <w:rPr>
          <w:rFonts w:hint="eastAsia"/>
        </w:rPr>
        <w:t>:</w:t>
      </w:r>
      <w:r>
        <w:t>The knowledge and beliefs of the organization are transmitted to individuals through various forms of guidance, indoctrination and demonstration.</w:t>
      </w:r>
    </w:p>
    <w:p w14:paraId="1C060504" w14:textId="42F55B6E" w:rsidR="001444AE" w:rsidRDefault="001444AE" w:rsidP="000C3712">
      <w:r>
        <w:rPr>
          <w:rFonts w:hint="eastAsia"/>
        </w:rPr>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pPr>
        <w:rPr>
          <w:rFonts w:hint="eastAsia"/>
        </w:rPr>
      </w:pPr>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w:t>
      </w:r>
      <w:r>
        <w:rPr>
          <w:rFonts w:hint="eastAsia"/>
        </w:rPr>
        <w:t>學習、分析、模仿、再生和技術變革是任何旨在提升組織績效和增強競爭優勢的努力的重要組成部分。</w:t>
      </w:r>
    </w:p>
    <w:p w14:paraId="5A80DA77" w14:textId="67E00001" w:rsidR="00715DDF" w:rsidRDefault="00715DDF" w:rsidP="00715DDF">
      <w:r>
        <w:lastRenderedPageBreak/>
        <w:t>4. Small Models and Ancient Wisdom</w:t>
      </w:r>
      <w:r w:rsidR="00FA12A5">
        <w:rPr>
          <w:rFonts w:hint="eastAsia"/>
        </w:rPr>
        <w:t xml:space="preserve">  </w:t>
      </w:r>
      <w:r>
        <w:t>Learning,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t>每一項都涉及適應，以及探索與利用之間的微妙權衡。</w:t>
      </w:r>
      <w:r>
        <w:t>Each involves 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These features of the adaptation environment lead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w:t>
      </w:r>
      <w:r w:rsidR="00EB05B2">
        <w:rPr>
          <w:rFonts w:hint="eastAsia"/>
        </w:rPr>
        <w:t>適應性</w:t>
      </w:r>
      <w:r w:rsidR="00EB05B2">
        <w:rPr>
          <w:rFonts w:hint="eastAsia"/>
        </w:rPr>
        <w:t>會在相互學習的情況下降低組織學習的效果。</w:t>
      </w:r>
      <w:r w:rsidR="00EB05B2">
        <w:t>As we have seen, it reduces the effectiveness of organizational learning in the context of mutual learning.</w:t>
      </w:r>
    </w:p>
    <w:p w14:paraId="6BF311DF" w14:textId="49BE8224" w:rsidR="00164F88" w:rsidRDefault="00CE615D" w:rsidP="00CE615D">
      <w:pPr>
        <w:pStyle w:val="2"/>
      </w:pPr>
      <w:r w:rsidRPr="00CE615D">
        <w:lastRenderedPageBreak/>
        <w:t>Unpacking Organizational Ambidexterity: Dimensions, Contingencies, and Synergistic Effect</w:t>
      </w:r>
      <w:r>
        <w:rPr>
          <w:rFonts w:hint="eastAsia"/>
        </w:rPr>
        <w:t>2009</w:t>
      </w:r>
      <w:r w:rsidR="00C552E3">
        <w:rPr>
          <w:rFonts w:hint="eastAsia"/>
        </w:rPr>
        <w:t xml:space="preserve">   123123123</w:t>
      </w:r>
    </w:p>
    <w:p w14:paraId="6218B772" w14:textId="78653081" w:rsidR="00A12790" w:rsidRPr="00A12790" w:rsidRDefault="00AC3C9B" w:rsidP="00C552E3">
      <w:pPr>
        <w:pStyle w:val="2"/>
        <w:rPr>
          <w:rFonts w:hint="eastAsia"/>
        </w:rPr>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1D152EAA" w14:textId="6E4A4025" w:rsidR="007C3719" w:rsidRDefault="007C3719" w:rsidP="004F0FB0">
      <w:pPr>
        <w:pStyle w:val="1"/>
      </w:pPr>
      <w:r>
        <w:rPr>
          <w:rFonts w:hint="eastAsia"/>
        </w:rPr>
        <w:t>可供性實現</w:t>
      </w:r>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必須清楚地區分可供性本身（目標導向行動的可能性）、可供性的實現（實際採取的行動）以及這些行動的結果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，從從事集體任務的本地工作組，到構成現代組織的龐大的多層級層級結構。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每個行動者不僅有許多目</w:t>
      </w:r>
      <w:r w:rsidR="00002F28">
        <w:rPr>
          <w:rFonts w:hint="eastAsia"/>
        </w:rPr>
        <w:lastRenderedPageBreak/>
        <w:t>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行為主體關係中都存在著多種可供性，我們稱之為可供性束</w:t>
      </w:r>
      <w:r w:rsidR="00F2783D">
        <w:rPr>
          <w:rFonts w:hint="eastAsia"/>
        </w:rPr>
        <w:t>(</w:t>
      </w:r>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Third, not only do multiple agents use a complex object, but there are multiple affordances in any object-agent relationship, which we call affordance bundles ( Strong et al., 2014 ).</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r w:rsidRPr="001A6B31">
        <w:rPr>
          <w:rFonts w:hint="eastAsia"/>
          <w:color w:val="EE0000"/>
        </w:rPr>
        <w:t>可供性源自於使用者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入將可供性視為技術特徵的語言和論證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】：區分可供性與其實現。</w:t>
      </w:r>
      <w:r>
        <w:t>Principle 2: Distinguish affordances from their implementation.</w:t>
      </w:r>
    </w:p>
    <w:p w14:paraId="1A4B84B7" w14:textId="1075AC2A" w:rsidR="00D53B6B" w:rsidRDefault="00D53B6B" w:rsidP="00D53B6B">
      <w:r>
        <w:rPr>
          <w:rFonts w:hint="eastAsia"/>
        </w:rPr>
        <w:t>可供性是指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r w:rsidRPr="00D258CD">
        <w:rPr>
          <w:rFonts w:hint="eastAsia"/>
          <w:color w:val="EE0000"/>
        </w:rPr>
        <w:t>可供性是實現目標的可能性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 xml:space="preserve">Realization, as the action itself, is concrete and is concerned with structure rather than function. Structure is not concerned with the purpose of the action, but with the actual configuration of behaviors that constitute the </w:t>
      </w:r>
      <w:r w:rsidRPr="0024635D">
        <w:lastRenderedPageBreak/>
        <w:t>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r>
        <w:rPr>
          <w:rFonts w:hint="eastAsia"/>
        </w:rPr>
        <w:t>可供性</w:t>
      </w:r>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t>直接具體結果</w:t>
      </w:r>
      <w:r w:rsidR="005C4BA8">
        <w:rPr>
          <w:rFonts w:hint="eastAsia"/>
        </w:rPr>
        <w:t>=</w:t>
      </w:r>
      <w:r>
        <w:rPr>
          <w:rFonts w:hint="eastAsia"/>
        </w:rPr>
        <w:t>是可供性</w:t>
      </w:r>
      <w:r w:rsidRPr="00D836E3">
        <w:rPr>
          <w:rFonts w:hint="eastAsia"/>
          <w:color w:val="156082" w:themeColor="accent1"/>
        </w:rPr>
        <w:t>實現後達到的狀態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，即提供解釋力的相關機制，而解釋力正是使用可供性理論的核心貢獻。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】：為可供性選擇合適的粒度等級。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r>
        <w:rPr>
          <w:rFonts w:hint="eastAsia"/>
        </w:rPr>
        <w:t>gibson</w:t>
      </w:r>
      <w:r>
        <w:rPr>
          <w:rFonts w:hint="eastAsia"/>
        </w:rPr>
        <w:t>舉例說，蘋果在某個層面上賦予人類進食的可能性，但這是</w:t>
      </w:r>
      <w:r w:rsidRPr="001055C5">
        <w:rPr>
          <w:rFonts w:hint="eastAsia"/>
          <w:color w:val="EE0000"/>
        </w:rPr>
        <w:t>由咬、咀嚼和吞嚥</w:t>
      </w:r>
      <w:r>
        <w:rPr>
          <w:rFonts w:hint="eastAsia"/>
        </w:rPr>
        <w:t>等</w:t>
      </w:r>
      <w:r w:rsidRPr="001055C5">
        <w:rPr>
          <w:rFonts w:hint="eastAsia"/>
          <w:color w:val="EE0000"/>
        </w:rPr>
        <w:t>較低層次的可供性構成的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 xml:space="preserve">Likewise, individuals using electronic mail systems have the possibility not only to communicate, but also to compose </w:t>
      </w:r>
      <w:r w:rsidR="00317134">
        <w:lastRenderedPageBreak/>
        <w:t>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r w:rsidR="00573B82" w:rsidRPr="00B25A34">
        <w:rPr>
          <w:rFonts w:hint="eastAsia"/>
          <w:highlight w:val="yellow"/>
        </w:rPr>
        <w:t>可供性可以分解為較低層次的可供性一樣，可供性也可以聚合為較高層次、通常更抽象的可供性</w:t>
      </w:r>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】：辨識所有顯著的功能可供性及其交互作用。</w:t>
      </w:r>
      <w:r>
        <w:t>Principle 5: Identify all significant affordances and their interactions.</w:t>
      </w:r>
    </w:p>
    <w:p w14:paraId="4A7D3207" w14:textId="2ED58AB9" w:rsidR="007A0CC3" w:rsidRDefault="007A0CC3" w:rsidP="008920AE">
      <w:r>
        <w:rPr>
          <w:rFonts w:hint="eastAsia"/>
        </w:rPr>
        <w:t>除了嵌套在任何功能可供性中的功能可供性之外，還有許多其他功能可供性，它們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r w:rsidR="008920AE" w:rsidRPr="00D36B97">
        <w:rPr>
          <w:rFonts w:hint="eastAsia"/>
          <w:color w:val="EE0000"/>
        </w:rPr>
        <w:t>可供性並非獨立存在，而是相互作用的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通常，較複雜的功能可供性（例如監控）依賴於更基本的功能可供性（例如資料輸入）的成功實現，從而產生一個功能可供性依賴網路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【可供性相互依存也可能相互干擾】功能可供性可能支援其他功能可供性，也可能幹擾其他功能可供性，進而引發許多有趣的研究問題。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辨識影響功能可供性實現的</w:t>
      </w:r>
      <w:r w:rsidR="00685137" w:rsidRPr="00AF0589">
        <w:rPr>
          <w:rFonts w:hint="eastAsia"/>
          <w:color w:val="EE0000"/>
        </w:rPr>
        <w:t>社會力量</w:t>
      </w:r>
      <w:r w:rsidR="00685137">
        <w:rPr>
          <w:rFonts w:hint="eastAsia"/>
        </w:rPr>
        <w:t>。</w:t>
      </w:r>
      <w:r w:rsidR="00685137">
        <w:lastRenderedPageBreak/>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r w:rsidRPr="008A5D8F">
        <w:rPr>
          <w:rFonts w:hint="eastAsia"/>
          <w:color w:val="EE0000"/>
        </w:rPr>
        <w:t>可供性並非憑空實現，而是在社會情境中實現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因此，行為體所在群體所產生的社會力量也會影響任何功能可供性如何實現、實現得如何，甚至能否實現。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個體功能可供性是由一個行為體獨立於其他行為體而實現的</w:t>
      </w:r>
      <w:r>
        <w:rPr>
          <w:rFonts w:hint="eastAsia"/>
        </w:rPr>
        <w:t>；共享功能可供性是由</w:t>
      </w:r>
      <w:r w:rsidRPr="00675CE3">
        <w:rPr>
          <w:rFonts w:hint="eastAsia"/>
          <w:color w:val="EE0000"/>
        </w:rPr>
        <w:t>許多人以相似的方式實現的</w:t>
      </w:r>
      <w:r>
        <w:rPr>
          <w:rFonts w:hint="eastAsia"/>
        </w:rPr>
        <w:t>；而</w:t>
      </w:r>
      <w:r w:rsidRPr="00675CE3">
        <w:rPr>
          <w:rFonts w:hint="eastAsia"/>
          <w:color w:val="EE0000"/>
          <w:highlight w:val="yellow"/>
        </w:rPr>
        <w:t>集體功能可供性則涉及許多人為實現共同目標而採取不同的行動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透過可供性理論，我們終於找到了一種方法，能夠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有意識地表達與這些可供性相關的預期結果，有助於分析使用者是否有效地實現了這些可供性。</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識別可供性組合及其依賴關係，有助於</w:t>
      </w:r>
      <w:r w:rsidR="009D79E1" w:rsidRPr="00C50B6E">
        <w:rPr>
          <w:rFonts w:hint="eastAsia"/>
          <w:color w:val="EE0000"/>
        </w:rPr>
        <w:t>解釋相互依賴關係如何阻礙預期效益的實現，或突顯可能幹擾實現的外部因素</w:t>
      </w:r>
      <w:r w:rsidR="009D79E1">
        <w:rPr>
          <w:rFonts w:hint="eastAsia"/>
        </w:rPr>
        <w:t>。</w:t>
      </w:r>
      <w:r w:rsidR="009D79E1">
        <w:t xml:space="preserve">Identifying combinations of affordances and their dependencies can help explain how interdependencies may impede the realization of intended </w:t>
      </w:r>
      <w:r w:rsidR="009D79E1">
        <w:lastRenderedPageBreak/>
        <w:t>benefits or highlight external factors that may interfere with realization.</w:t>
      </w:r>
    </w:p>
    <w:p w14:paraId="727D151C" w14:textId="14BFFB39" w:rsidR="00091B3C" w:rsidRDefault="00091B3C" w:rsidP="00091B3C">
      <w:r>
        <w:rPr>
          <w:rFonts w:hint="eastAsia"/>
        </w:rPr>
        <w:t>同樣，發現未被識別的可供性或許可以解釋意外和非預期的結果。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整體而言，如果運用得當，可供性理論可以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我們發現可供性相關文獻存在三個面向的空白：</w:t>
      </w:r>
      <w:r>
        <w:rPr>
          <w:rFonts w:hint="eastAsia"/>
        </w:rPr>
        <w:t xml:space="preserve">(1) </w:t>
      </w:r>
      <w:r>
        <w:rPr>
          <w:rFonts w:hint="eastAsia"/>
        </w:rPr>
        <w:t>可供性潛力實現過程的理論；</w:t>
      </w:r>
      <w:r>
        <w:rPr>
          <w:rFonts w:hint="eastAsia"/>
        </w:rPr>
        <w:t xml:space="preserve">(2) </w:t>
      </w:r>
      <w:r>
        <w:rPr>
          <w:rFonts w:hint="eastAsia"/>
        </w:rPr>
        <w:t>組織情境中的可供性；以及</w:t>
      </w:r>
      <w:r>
        <w:rPr>
          <w:rFonts w:hint="eastAsia"/>
        </w:rPr>
        <w:t xml:space="preserve"> (3) </w:t>
      </w:r>
      <w:r>
        <w:rPr>
          <w:rFonts w:hint="eastAsia"/>
        </w:rPr>
        <w:t>相互關聯的可供性組合的理論。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我們的可供性實現</w:t>
      </w:r>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lastRenderedPageBreak/>
        <w:t>在建構此表並將結果與文獻進行比較的過程中，我們遇到了三個理論問題：可供性文獻尚未發展出針對以下方面的理論：</w:t>
      </w:r>
      <w:r>
        <w:rPr>
          <w:rFonts w:hint="eastAsia"/>
        </w:rPr>
        <w:t xml:space="preserve">(1) </w:t>
      </w:r>
      <w:r>
        <w:rPr>
          <w:rFonts w:hint="eastAsia"/>
        </w:rPr>
        <w:t>實現可供性潛力的過程；</w:t>
      </w:r>
      <w:r>
        <w:rPr>
          <w:rFonts w:hint="eastAsia"/>
        </w:rPr>
        <w:t xml:space="preserve">(2) </w:t>
      </w:r>
      <w:r>
        <w:rPr>
          <w:rFonts w:hint="eastAsia"/>
        </w:rPr>
        <w:t>組織情境中的可供性；以及</w:t>
      </w:r>
      <w:r>
        <w:rPr>
          <w:rFonts w:hint="eastAsia"/>
        </w:rPr>
        <w:t xml:space="preserve"> (3) </w:t>
      </w:r>
      <w:r>
        <w:rPr>
          <w:rFonts w:hint="eastAsia"/>
        </w:rPr>
        <w:t>以相互關聯的可供性束形式出現的可供性。</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t>【可供性的延伸定義】</w:t>
      </w:r>
      <w:r w:rsidR="00CD02C6">
        <w:rPr>
          <w:rFonts w:hint="eastAsia"/>
        </w:rPr>
        <w:t>我們資料中與可供性相關的概念（如表</w:t>
      </w:r>
      <w:r w:rsidR="00CD02C6">
        <w:rPr>
          <w:rFonts w:hint="eastAsia"/>
        </w:rPr>
        <w:t>1</w:t>
      </w:r>
      <w:r w:rsidR="00CD02C6">
        <w:rPr>
          <w:rFonts w:hint="eastAsia"/>
        </w:rPr>
        <w:t>所示）促使我們擴展了可供性的定義，以適應組織中可供性的本質；即，我們</w:t>
      </w:r>
      <w:r w:rsidR="00CD02C6" w:rsidRPr="005A6B3A">
        <w:rPr>
          <w:rFonts w:hint="eastAsia"/>
          <w:color w:val="EE0000"/>
        </w:rPr>
        <w:t>將可供性定義為「與實現直接具體結果相關的行為潛力，並源自於某個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r w:rsidR="001F5FDD">
        <w:rPr>
          <w:rFonts w:hint="eastAsia"/>
        </w:rPr>
        <w:t>可供性</w:t>
      </w:r>
      <w:r w:rsidR="001F5FDD">
        <w:rPr>
          <w:rFonts w:hint="eastAsia"/>
        </w:rPr>
        <w:t>-</w:t>
      </w:r>
      <w:r w:rsidR="001F5FDD">
        <w:rPr>
          <w:rFonts w:hint="eastAsia"/>
        </w:rPr>
        <w:t>實現理論在我們的資料中，實現可供性概念中捕捉到的潛力非常重要。</w:t>
      </w:r>
      <w:r w:rsidR="001F5FDD">
        <w:t>Strong et al. / Affordance-Realization TheoryIn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實現定義為「行動者利用一個或多個可供性，透過使用技術來實現直接具體結果，從而支持組織目標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lastRenderedPageBreak/>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7">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r w:rsidRPr="00DE6C0F">
        <w:rPr>
          <w:rFonts w:hint="eastAsia"/>
        </w:rPr>
        <w:t>可供性實現的過程。這個過程是迭代的，因為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調整產生可供性的要素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w:t>
      </w:r>
      <w:r>
        <w:rPr>
          <w:rFonts w:hint="eastAsia"/>
        </w:rPr>
        <w:lastRenderedPageBreak/>
        <w:t>們擴展的可供性定義涵蓋了</w:t>
      </w:r>
      <w:r w:rsidRPr="006C295F">
        <w:rPr>
          <w:rFonts w:hint="eastAsia"/>
          <w:color w:val="EE0000"/>
        </w:rPr>
        <w:t>多個層面的可供性</w:t>
      </w:r>
      <w:r>
        <w:rPr>
          <w:rFonts w:hint="eastAsia"/>
        </w:rPr>
        <w:t>（如第</w:t>
      </w:r>
      <w:r>
        <w:rPr>
          <w:rFonts w:hint="eastAsia"/>
        </w:rPr>
        <w:t xml:space="preserve"> 5.3 </w:t>
      </w:r>
      <w:r>
        <w:rPr>
          <w:rFonts w:hint="eastAsia"/>
        </w:rPr>
        <w:t>節所述）。</w:t>
      </w:r>
      <w:r w:rsidR="00C3117A">
        <w:rPr>
          <w:rFonts w:hint="eastAsia"/>
        </w:rPr>
        <w:t>f</w:t>
      </w:r>
      <w:r w:rsidR="00C3117A">
        <w:t>irst, because direct concrete outcomes can be defined at any level (e.g., individual, group, or organizational), our expanded definition of affordances encompasses affordances at multiple levels (as discussed in Section 5.3 ).</w:t>
      </w:r>
    </w:p>
    <w:p w14:paraId="246C5988" w14:textId="1E4BC890" w:rsidR="00C90379" w:rsidRPr="00C3117A" w:rsidRDefault="00C90379" w:rsidP="00C90379">
      <w:pPr>
        <w:rPr>
          <w:color w:val="EE0000"/>
        </w:rPr>
      </w:pPr>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r>
        <w:rPr>
          <w:rFonts w:hint="eastAsia"/>
        </w:rPr>
        <w:t>【</w:t>
      </w:r>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8">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 xml:space="preserve">Figure 2 shows how </w:t>
      </w:r>
      <w:r>
        <w:lastRenderedPageBreak/>
        <w:t>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r>
        <w:rPr>
          <w:rFonts w:hint="eastAsia"/>
        </w:rPr>
        <w:t>【</w:t>
      </w:r>
      <w:r w:rsidR="00C431C8" w:rsidRPr="00C431C8">
        <w:rPr>
          <w:rFonts w:hint="eastAsia"/>
        </w:rPr>
        <w:t xml:space="preserve">5.2. </w:t>
      </w:r>
      <w:r w:rsidR="00C431C8" w:rsidRPr="00C431C8">
        <w:rPr>
          <w:rFonts w:hint="eastAsia"/>
        </w:rPr>
        <w:t>可供性的實現過程</w:t>
      </w:r>
      <w:r w:rsidR="00270CDA" w:rsidRPr="00270CDA">
        <w:t>The Process of Actualizing Affordances</w:t>
      </w:r>
      <w:r w:rsidR="00305706">
        <w:rPr>
          <w:rFonts w:hint="eastAsia"/>
        </w:rPr>
        <w:t>】</w:t>
      </w:r>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者在實現可供性時有潛力有效地做到這一點，但他們處於一個學習過程中，可能會遇到許多障礙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r>
        <w:rPr>
          <w:rFonts w:hint="eastAsia"/>
        </w:rPr>
        <w:t>可供性</w:t>
      </w:r>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 xml:space="preserve">Realization, as a high-level category in our data, Strong et al./Affordance-Realization Theoryinvolves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w:t>
      </w:r>
      <w:r>
        <w:lastRenderedPageBreak/>
        <w:t>journey (i.e., the organizational change process).</w:t>
      </w:r>
    </w:p>
    <w:p w14:paraId="4A3351B4" w14:textId="77777777" w:rsidR="00BF2AC8" w:rsidRDefault="00BF2AC8" w:rsidP="00CF49D0"/>
    <w:p w14:paraId="777DD784" w14:textId="30E45D8F" w:rsidR="00BF2AC8" w:rsidRDefault="00BF2AC8" w:rsidP="00A71BFC">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r>
        <w:rPr>
          <w:rFonts w:hint="eastAsia"/>
        </w:rPr>
        <w:t>】</w:t>
      </w:r>
      <w:r w:rsidR="003C5776">
        <w:rPr>
          <w:rFonts w:hint="eastAsia"/>
        </w:rPr>
        <w:t>實現可供性我們資料中的一個關鍵主題是，實現可供性的過程是一個個人旅程（即，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目標和可供性的角度進行思考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 xml:space="preserve">They also think about the actions that must be taken (e.g., for the physician, “I must enter the patient’s information into the EHR”) and whether those actions will produce desirable outcomes that will help achieve their goals </w:t>
      </w:r>
      <w:r>
        <w:lastRenderedPageBreak/>
        <w:t>(e.g.,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認為，其他人的共存必然會影響環境，進而影響可供性。</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尤其是管理者，可以透過改變工作環境進行幹預</w:t>
      </w:r>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lastRenderedPageBreak/>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r>
        <w:rPr>
          <w:rFonts w:hint="eastAsia"/>
        </w:rPr>
        <w:t>【一致性</w:t>
      </w:r>
      <w:r>
        <w:rPr>
          <w:rFonts w:hint="eastAsia"/>
        </w:rPr>
        <w:t>:</w:t>
      </w:r>
      <w:r>
        <w:rPr>
          <w:rFonts w:hint="eastAsia"/>
        </w:rPr>
        <w:t>相互強化】一致性意味著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】此外，我們關於直接具體成果的概念，以及個人層面的實現過程及其在組織情境中的直接具體成果在組織層面的湧現，為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識別可供性組合及其依賴關係，有助於</w:t>
      </w:r>
      <w:r w:rsidR="007C3719" w:rsidRPr="00A05931">
        <w:rPr>
          <w:rFonts w:hint="eastAsia"/>
          <w:color w:val="156082" w:themeColor="accent1"/>
        </w:rPr>
        <w:t>解釋相互依賴關係如何阻礙預期效益的實現，或突顯可能幹擾實現的外部因素</w:t>
      </w:r>
      <w:r w:rsidR="007C3719">
        <w:rPr>
          <w:rFonts w:hint="eastAsia"/>
        </w:rPr>
        <w:t>。</w:t>
      </w:r>
    </w:p>
    <w:p w14:paraId="7124735F" w14:textId="2B0CD449" w:rsidR="007C3719" w:rsidRDefault="007C3719" w:rsidP="00344C89">
      <w:r>
        <w:t xml:space="preserve">Identifying combinations of affordances and their dependencies can help </w:t>
      </w:r>
      <w:r>
        <w:lastRenderedPageBreak/>
        <w:t>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進行幹預以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lastRenderedPageBreak/>
        <w:t>可供性</w:t>
      </w:r>
    </w:p>
    <w:p w14:paraId="7C22E0F6" w14:textId="249313FD" w:rsidR="00D363E3" w:rsidRDefault="00D363E3" w:rsidP="00E54710">
      <w:pPr>
        <w:pStyle w:val="2"/>
      </w:pPr>
      <w:r w:rsidRPr="00D363E3">
        <w:t>TECHNOLOGY AFFORDANCES William W. Gaver Rank Xerox Cambridge EuroPARC</w:t>
      </w:r>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r w:rsidR="00890DBD">
        <w:rPr>
          <w:rFonts w:hint="eastAsia"/>
        </w:rPr>
        <w:t>【</w:t>
      </w:r>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pp.127–128</w:t>
      </w:r>
      <w:r w:rsidR="009C59A4" w:rsidRPr="00C6402B">
        <w:t>）</w:t>
      </w:r>
      <w:r w:rsidR="009C59A4" w:rsidRPr="00C6402B">
        <w:rPr>
          <w:rFonts w:hint="eastAsia"/>
        </w:rPr>
        <w:t>。</w:t>
      </w:r>
      <w:r w:rsidR="009C59A4">
        <w:rPr>
          <w:rFonts w:hint="eastAsia"/>
        </w:rPr>
        <w:t>這一段</w:t>
      </w:r>
      <w:r w:rsidR="00890DBD">
        <w:rPr>
          <w:rFonts w:hint="eastAsia"/>
        </w:rPr>
        <w:t>】</w:t>
      </w:r>
    </w:p>
    <w:p w14:paraId="2E7CA34A" w14:textId="77777777" w:rsidR="00F84D67" w:rsidRDefault="00F84D67" w:rsidP="00E76102"/>
    <w:p w14:paraId="62EE367D" w14:textId="651909A6" w:rsidR="00F84D67" w:rsidRDefault="00F84D67" w:rsidP="00E76102">
      <w:r w:rsidRPr="00F84D67">
        <w:t>物體的可供性，例如攀爬的可供性，是指物體和行為者的特徵。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w:t>
      </w:r>
      <w:r w:rsidRPr="00243783">
        <w:lastRenderedPageBreak/>
        <w:t>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matches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r w:rsidR="006649D0" w:rsidRPr="0072014C">
        <w:rPr>
          <w:color w:val="156082" w:themeColor="accent1"/>
        </w:rPr>
        <w:t>可供性作為與行動系統相關的環境屬性的觀念，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r w:rsidR="00CE00BB" w:rsidRPr="000B5048">
        <w:rPr>
          <w:rFonts w:hint="eastAsia"/>
        </w:rPr>
        <w:t>可供性的定義</w:t>
      </w:r>
      <w:r w:rsidR="00CE00BB" w:rsidRPr="000B5048">
        <w:t>從根本上說，可供</w:t>
      </w:r>
      <w:r w:rsidR="00967ABB" w:rsidRPr="000B5048">
        <w:rPr>
          <w:rFonts w:hint="eastAsia"/>
        </w:rPr>
        <w:t>性</w:t>
      </w:r>
      <w:r w:rsidR="00CE00BB" w:rsidRPr="000B5048">
        <w:t>是世界的屬性，使得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w:t>
      </w:r>
      <w:r w:rsidR="00CE00BB" w:rsidRPr="004E200B">
        <w:rPr>
          <w:color w:val="EE0000"/>
        </w:rPr>
        <w:lastRenderedPageBreak/>
        <w:t>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r w:rsidR="00434D77">
        <w:rPr>
          <w:rFonts w:hint="eastAsia"/>
        </w:rPr>
        <w:t>可供性</w:t>
      </w:r>
      <w:r w:rsidR="00A765D7" w:rsidRPr="00A765D7">
        <w:t>是根據人類與世界互動而定義的世界特性。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r w:rsidRPr="00AB1198">
        <w:rPr>
          <w:color w:val="EE0000"/>
        </w:rPr>
        <w:t>可供性本身（</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例如，一杯水即便我不口渴，仍提供「可飲用」的可供性</w:t>
      </w:r>
      <w:r w:rsidR="00F60A06" w:rsidRPr="00F60A06">
        <w:t>；一顆球即使沒人看見，也提供「可投擲」的可供性；一個坑洞即使被灌木遮蔽，依然具有「可跌落」的可供性。可供性是否被察覺無礙於其存在，但正因為它們本質上關乎重要的環境屬性，所以「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r w:rsidRPr="00404E35">
        <w:rPr>
          <w:b/>
          <w:bCs/>
          <w:color w:val="EE0000"/>
        </w:rPr>
        <w:t>可供性不是「被看見才存在」的東西，而是「即使沒被感知，也真實存在」的潛在行動機會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Culture, Experience to attributes and Learning of the The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文化、經驗及學習的屬性以及可供性（</w:t>
      </w:r>
      <w:r w:rsidR="00EF7DBA" w:rsidRPr="00EF7DBA">
        <w:t>affordance</w:t>
      </w:r>
      <w:r w:rsidR="00EF7DBA" w:rsidRPr="00EF7DBA">
        <w:t>）的實際認知，無疑會受到觀察者的文化、社會背景、經驗和意圖的部分影響。像吉布森（</w:t>
      </w:r>
      <w:r w:rsidR="00EF7DBA" w:rsidRPr="00EF7DBA">
        <w:t>Gibson</w:t>
      </w:r>
      <w:r w:rsidR="00EF7DBA" w:rsidRPr="00EF7DBA">
        <w:t>）一樣，我並不認為這些因素是這一概念的核心，而是將文化、經驗等視為突顯某些可供性的信息。</w:t>
      </w:r>
    </w:p>
    <w:p w14:paraId="5A8DBF14" w14:textId="77777777" w:rsidR="00485ECF" w:rsidRDefault="00485ECF" w:rsidP="00E76102"/>
    <w:p w14:paraId="0BB559B5" w14:textId="5F939848" w:rsidR="00485ECF" w:rsidRDefault="00DC2474" w:rsidP="00E76102">
      <w:r w:rsidRPr="00DC2474">
        <w:lastRenderedPageBreak/>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r w:rsidR="00485ECF" w:rsidRPr="00485ECF">
        <w:t>可供性及其相關資訊」與「實際感知」區分開來，讓我們能夠將可供性視為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r w:rsidR="007E58B1" w:rsidRPr="00D00036">
        <w:rPr>
          <w:highlight w:val="yellow"/>
        </w:rPr>
        <w:t>可供性的概念指涉的是一種相當特殊的屬性組合。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 xml:space="preserve">And again, perceptual information may be misleading about the affordances of buttons; in this case the ability to move or edit buttons is not supported </w:t>
      </w:r>
      <w:r w:rsidRPr="0074491B">
        <w:lastRenderedPageBreak/>
        <w:t>perceptually.</w:t>
      </w:r>
      <w:r w:rsidR="000A6869" w:rsidRPr="000A6869">
        <w:t xml:space="preserve"> </w:t>
      </w:r>
      <w:r w:rsidR="000A6869" w:rsidRPr="000A6869">
        <w:t>然而，再次提醒：關於按鈕的可供性，感知所提供的資訊有時可能具有誤導性；例如此處，感知上並不支援「移動」或「編輯」按鈕的能力。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r>
        <w:rPr>
          <w:rFonts w:hint="eastAsia"/>
        </w:rPr>
        <w:t>可供性探索</w:t>
      </w:r>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「可供性」不應只從靜態的感知中理解，某些行動可能需要透過實際的互動、探索甚至試錯才能顯現，也就是「探索性感知（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r w:rsidR="000A7569" w:rsidRPr="000A7569">
        <w:t>可供性的概念可以被擴展，以明確地納入「探索」的過程。例如，圖四所示的旋轉式門把表面上似乎提供了「可握住」的可供性，但單靠被動觀察大概無法辨認其是否具有「可轉動」或「用來開門」的可供性。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），隨機或探索性地向下按壓會提供觸覺資訊，揭示出其「可轉動」的可供性</w:t>
      </w:r>
      <w:r w:rsidR="000A7569" w:rsidRPr="000A7569">
        <w:t>。當門把被完全轉動（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複雜可供性是被探索的</w:t>
      </w:r>
    </w:p>
    <w:p w14:paraId="7C1032F2" w14:textId="77777777" w:rsidR="003F7C4B" w:rsidRDefault="00593278" w:rsidP="00E76102">
      <w:pPr>
        <w:rPr>
          <w:color w:val="EE0000"/>
        </w:rPr>
      </w:pPr>
      <w:r w:rsidRPr="00593278">
        <w:rPr>
          <w:color w:val="EE0000"/>
        </w:rPr>
        <w:t>一般來說，複雜物體的可供性通常依據它們揭示的活動信息的連續性來進行分組。</w:t>
      </w:r>
      <w:r w:rsidRPr="009B0DAF">
        <w:rPr>
          <w:color w:val="EE0000"/>
          <w:highlight w:val="yellow"/>
        </w:rPr>
        <w:t>可供性並不是被動感知的，而是被探索的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reconception of metaphor which emphasizes its role </w:t>
      </w:r>
      <w:r w:rsidRPr="00A02B39">
        <w:lastRenderedPageBreak/>
        <w:t>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將其視為一種設計工具，可用來從一個領域引入一致的可供性至另一個領域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，再據此產生對可供性的預期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幾乎將可供性的研究重心放在視覺可見的部分。然而，可供性也可以透過其他感官來察覺</w:t>
      </w:r>
      <w:r w:rsidRPr="00656D00">
        <w:t>。例如旋轉式門把的案例就指出，觸覺資訊是可供性極為豐富的來源。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我們也能透過「聽覺」感知某些可供性。</w:t>
      </w:r>
      <w:r w:rsidR="00D108C4" w:rsidRPr="00D108C4">
        <w:t>門閂發出的聲音便可能揭示出「可開啟」這項可供性，即便該動作無法從視覺直接觀察得知。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r w:rsidRPr="0067423B">
        <w:t>可供性這個概念的魅力，在於它能直接切入感知與行動的關聯因素，並使介面設計更易學、易用。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作為一種分析科技的方式，可供性能幫助我們探索物件內在的心理主張與設計背後的理據。更廣義而言，若能在設計過程中明確考慮可供性，有助於提出提</w:t>
      </w:r>
      <w:r w:rsidRPr="003B4B13">
        <w:lastRenderedPageBreak/>
        <w:t>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r w:rsidRPr="00300B69">
              <w:t xml:space="preserve">Situativity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w:t>
            </w:r>
            <w:r w:rsidRPr="00300B69">
              <w:lastRenderedPageBreak/>
              <w:t>用</w:t>
            </w:r>
          </w:p>
        </w:tc>
        <w:tc>
          <w:tcPr>
            <w:tcW w:w="0" w:type="auto"/>
            <w:vAlign w:val="center"/>
            <w:hideMark/>
          </w:tcPr>
          <w:p w14:paraId="495F6A6D" w14:textId="77777777" w:rsidR="00300B69" w:rsidRPr="00300B69" w:rsidRDefault="00300B69" w:rsidP="00300B69">
            <w:r w:rsidRPr="00300B69">
              <w:lastRenderedPageBreak/>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利用情境理論定義可供性為「在某些條件下能達成有效行動的前提條件」，以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r w:rsidRPr="00BF5BCB">
        <w:t>可供性與能力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感知可供性</w:t>
      </w:r>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區分「直接感知」與「辨識」，強調有些可供性需透過分類與象徵處理獲得。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的可供性理論提供一套更能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r w:rsidRPr="005A210C">
        <w:t>可供性指的是環境中某物的屬性與具備特定能力的行動者之間的互動活動之關聯；而能力則是行動者的屬性與環境中具有可供性的事物之間的互動活動的關聯。可供性與能力之間的相對性是基本的原則。沒有其中一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對某個行動者而言，可供性可以理解為其所調節對應之環境條件的存在。這種廣義的可供性觀點包含了被辨識出來的可供性，以及被直接感知的可供性。</w:t>
      </w:r>
    </w:p>
    <w:p w14:paraId="697BAF98" w14:textId="6981A575" w:rsidR="0062135A" w:rsidRDefault="00756E2D" w:rsidP="004B59C3">
      <w:pPr>
        <w:pStyle w:val="a9"/>
        <w:numPr>
          <w:ilvl w:val="0"/>
          <w:numId w:val="7"/>
        </w:numPr>
      </w:pPr>
      <w:r>
        <w:rPr>
          <w:rFonts w:hint="eastAsia"/>
        </w:rPr>
        <w:lastRenderedPageBreak/>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在任何一個行動者與其他系統互動的過程中，使該互動成為可能的條件包含來自行動者的一些特性，及來自另一系統的一些特性。「可供性」這個詞指的是，環境中促成特定互動類型所具有的屬性。</w:t>
      </w:r>
    </w:p>
    <w:p w14:paraId="5082059E" w14:textId="508FA007" w:rsidR="00765FAE" w:rsidRDefault="00CA639A" w:rsidP="00CA639A">
      <w:r>
        <w:t>In Gibson's view, people and animals are attuned</w:t>
      </w:r>
      <w:r>
        <w:rPr>
          <w:rFonts w:hint="eastAsia"/>
        </w:rPr>
        <w:t xml:space="preserve"> </w:t>
      </w:r>
      <w:r>
        <w:t xml:space="preserve"> to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r w:rsidRPr="001404A6">
        <w:rPr>
          <w:rFonts w:hint="eastAsia"/>
          <w:highlight w:val="yellow"/>
        </w:rPr>
        <w:t>Greeni</w:t>
      </w:r>
      <w:r w:rsidRPr="001404A6">
        <w:rPr>
          <w:rFonts w:hint="eastAsia"/>
          <w:highlight w:val="yellow"/>
        </w:rPr>
        <w:t>對可供性的定義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「可供性」一詞指的是環境中促成某種互動的任何因素。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r>
        <w:rPr>
          <w:rFonts w:hint="eastAsia"/>
          <w:color w:val="EE0000"/>
        </w:rPr>
        <w:t>可供性與能力的概念</w:t>
      </w:r>
    </w:p>
    <w:p w14:paraId="162881D0" w14:textId="0FC145E8" w:rsidR="000E589F" w:rsidRPr="00DC62DF" w:rsidRDefault="000E589F" w:rsidP="000E589F">
      <w:r w:rsidRPr="00DC62DF">
        <w:t>I prefer the term ability, although Shaw et al. (1982) preferred</w:t>
      </w:r>
      <w:r w:rsidRPr="00DC62DF">
        <w:rPr>
          <w:rFonts w:hint="eastAsia"/>
        </w:rPr>
        <w:t xml:space="preserve"> </w:t>
      </w:r>
      <w:r w:rsidRPr="00DC62DF">
        <w:t xml:space="preserve"> to coin the term effectivity for that concept. I believe my use of</w:t>
      </w:r>
      <w:r w:rsidRPr="00DC62DF">
        <w:rPr>
          <w:rFonts w:hint="eastAsia"/>
        </w:rPr>
        <w:t xml:space="preserve"> </w:t>
      </w:r>
      <w:r w:rsidRPr="00DC62DF">
        <w:t xml:space="preserve"> the term ability is also synonymous with Snow's (1992) use of</w:t>
      </w:r>
      <w:r w:rsidRPr="00DC62DF">
        <w:rPr>
          <w:rFonts w:hint="eastAsia"/>
        </w:rPr>
        <w:t xml:space="preserve"> </w:t>
      </w:r>
      <w:r w:rsidRPr="00DC62DF">
        <w:t xml:space="preserve"> the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Affordances and abilities (or effectivities or aptitudes) are, in</w:t>
      </w:r>
      <w:r w:rsidR="007A673C">
        <w:rPr>
          <w:rFonts w:hint="eastAsia"/>
        </w:rPr>
        <w:t xml:space="preserve"> </w:t>
      </w:r>
      <w:r>
        <w:t xml:space="preserve"> this view, inherently relational. An affordance relates attributes</w:t>
      </w:r>
      <w:r w:rsidR="007A673C">
        <w:rPr>
          <w:rFonts w:hint="eastAsia"/>
        </w:rPr>
        <w:t xml:space="preserve"> </w:t>
      </w:r>
      <w:r>
        <w:t>of something in the environment to an interactive activity by an</w:t>
      </w:r>
      <w:r w:rsidR="007A673C">
        <w:rPr>
          <w:rFonts w:hint="eastAsia"/>
        </w:rPr>
        <w:t xml:space="preserve"> </w:t>
      </w:r>
      <w:r>
        <w:t xml:space="preserve"> agent who has some ability, and an ability relates attributes of</w:t>
      </w:r>
      <w:r w:rsidR="007A673C">
        <w:rPr>
          <w:rFonts w:hint="eastAsia"/>
        </w:rPr>
        <w:t xml:space="preserve"> </w:t>
      </w:r>
      <w:r>
        <w:t xml:space="preserve"> an agent to an interactive activity with something in the environment that has some affordance. The relativity of affordances</w:t>
      </w:r>
      <w:r w:rsidR="007A673C">
        <w:rPr>
          <w:rFonts w:hint="eastAsia"/>
        </w:rPr>
        <w:t xml:space="preserve"> </w:t>
      </w:r>
      <w:r>
        <w:t xml:space="preserve">and abilities is fundamental. Neither an affordance nor an ability is specifiable in the </w:t>
      </w:r>
      <w:r>
        <w:lastRenderedPageBreak/>
        <w:t>absence of specifying the other. It does</w:t>
      </w:r>
      <w:r w:rsidR="00437FF3">
        <w:rPr>
          <w:rFonts w:hint="eastAsia"/>
        </w:rPr>
        <w:t xml:space="preserve"> </w:t>
      </w:r>
      <w:r>
        <w:t>not go far enough to say that an ability depends on the context of environmental characteristics, or that an affordance depends on the context of an agent's characteristics. The concepts are codefining,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r w:rsidRPr="008F1456">
        <w:rPr>
          <w:rFonts w:hint="eastAsia"/>
          <w:color w:val="EE0000"/>
        </w:rPr>
        <w:t>可供性和能力（或有效性或能力）本質上是相互關聯的</w:t>
      </w:r>
      <w:r w:rsidRPr="0063232F">
        <w:rPr>
          <w:rFonts w:hint="eastAsia"/>
        </w:rPr>
        <w:t>。</w:t>
      </w:r>
      <w:r w:rsidRPr="008F1456">
        <w:rPr>
          <w:rFonts w:hint="eastAsia"/>
          <w:color w:val="EE0000"/>
          <w:highlight w:val="yellow"/>
        </w:rPr>
        <w:t>可供性將環境中某物的屬性與具有某種能力的代理的交互活動聯繫起來</w:t>
      </w:r>
      <w:r w:rsidRPr="0063232F">
        <w:rPr>
          <w:rFonts w:hint="eastAsia"/>
        </w:rPr>
        <w:t>，而</w:t>
      </w:r>
      <w:r w:rsidRPr="008F1456">
        <w:rPr>
          <w:rFonts w:hint="eastAsia"/>
          <w:color w:val="EE0000"/>
        </w:rPr>
        <w:t>能力將代理的屬性與環境中具有某種可供性的東西的交互活動聯繫起來</w:t>
      </w:r>
      <w:r w:rsidRPr="0063232F">
        <w:rPr>
          <w:rFonts w:hint="eastAsia"/>
        </w:rPr>
        <w:t>。可供性與能力的相對性至關重要。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說可供性依賴主體特徵的情境，是遠遠不夠的。這兩個概念相互關聯，如果缺少了另一方，它們就無法自洽，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正如吉布森關於可供性的概念在研究中得到了發展，當將其視為一種分級屬性，而不是存在或不存在的屬性時，它似乎最有成效。沃倫和黃（</w:t>
      </w:r>
      <w:r w:rsidRPr="005367A2">
        <w:rPr>
          <w:rFonts w:hint="eastAsia"/>
        </w:rPr>
        <w:t>1987</w:t>
      </w:r>
      <w:r w:rsidRPr="005367A2">
        <w:rPr>
          <w:rFonts w:hint="eastAsia"/>
        </w:rPr>
        <w:t>）提出了一個非常簡單的例子，涉及一個開口的可供性，它允許一個人從隔板的一側走到另一側。孔徑提供的可供性與其寬度有關，而人穿過孔徑的能力則取決於人的寬度。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【慣例的約束】可供性被慣例影響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Constraints of this kind are obviously conditional. They only</w:t>
      </w:r>
      <w:r w:rsidR="005A19AE">
        <w:rPr>
          <w:rFonts w:hint="eastAsia"/>
        </w:rPr>
        <w:t xml:space="preserve"> </w:t>
      </w:r>
      <w:r>
        <w:t xml:space="preserve"> hold when participants in the conversation are attuned to a</w:t>
      </w:r>
      <w:r w:rsidR="005A19AE">
        <w:rPr>
          <w:rFonts w:hint="eastAsia"/>
        </w:rPr>
        <w:t xml:space="preserve"> </w:t>
      </w:r>
      <w:r>
        <w:t xml:space="preserve"> shared set of constraints. </w:t>
      </w:r>
      <w:r>
        <w:lastRenderedPageBreak/>
        <w:t>Many constraints also depend on the</w:t>
      </w:r>
      <w:r w:rsidR="005A19AE">
        <w:rPr>
          <w:rFonts w:hint="eastAsia"/>
        </w:rPr>
        <w:t xml:space="preserve"> </w:t>
      </w:r>
      <w:r>
        <w:t xml:space="preserve"> conversational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在我看來，吉布森的意圖顯然是，可供性是人與之互動的任何事物的屬性，但要成為我們稱之為可供性的屬性類別，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從這個角度來看，可供性是活動的先決條件，我認為，當它們被視為約束條件時，這一點更加清晰。</w:t>
      </w:r>
      <w:r>
        <w:rPr>
          <w:rFonts w:hint="eastAsia"/>
        </w:rPr>
        <w:t>在某種情況下，一個為某些活動提供可供性的系統的存在並不意味著該活動會發生，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例如，如果一個人正在進行上課的活動，那麼進入教室的行為就是該活動的功能性組成部分。這將使該人注意到環境中可能為其進入教室提供可供性的各個方面，例如從走廊進入教室的門口。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在我提出的可供性概念的廣義中，將對可供性的直接感知視為一個定義特徵是不恰當的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r>
        <w:rPr>
          <w:rFonts w:hint="eastAsia"/>
        </w:rPr>
        <w:t>neisser(1992)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r>
        <w:t>oretical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，而奈瑟</w:t>
      </w:r>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r>
        <w:rPr>
          <w:rFonts w:hint="eastAsia"/>
          <w:color w:val="EE0000"/>
        </w:rPr>
        <w:t>gibson</w:t>
      </w:r>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的「可供性」（</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r w:rsidRPr="00351C48">
        <w:t>—</w:t>
      </w:r>
      <w:r w:rsidRPr="00351C48">
        <w:t>工具」關係興趣日增，但面臨「過度建構主義」問題，即過於強調社會建構，而忽略了技術本身的物質特性。</w:t>
      </w:r>
    </w:p>
    <w:p w14:paraId="3D0951A1" w14:textId="004E2D9E" w:rsidR="00BF64CC" w:rsidRPr="00BF64CC" w:rsidRDefault="001944A4" w:rsidP="00BF64CC">
      <w:r w:rsidRPr="001944A4">
        <w:t xml:space="preserve">Hutchby </w:t>
      </w:r>
      <w:r w:rsidRPr="001944A4">
        <w:t>主張：應回到對技術媒介「能力與限制」的探討，可供性概念正提供這樣的橋梁。</w:t>
      </w:r>
    </w:p>
    <w:p w14:paraId="3C6BA686" w14:textId="15E13686" w:rsidR="00D30ABB" w:rsidRPr="00D30ABB" w:rsidRDefault="00D30ABB" w:rsidP="00D30ABB">
      <w:r w:rsidRPr="00D30ABB">
        <w:t>討論</w:t>
      </w:r>
      <w:r w:rsidRPr="00D30ABB">
        <w:t xml:space="preserve"> Gibson </w:t>
      </w:r>
      <w:r w:rsidRPr="00D30ABB">
        <w:t>的原始可供性理論，指出可供性是行動者與環境間的關係，具有「被直接感知的行動機會」特性。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Hutchby </w:t>
      </w:r>
      <w:r w:rsidRPr="00A22FF8">
        <w:t>提議</w:t>
      </w:r>
      <w:r w:rsidRPr="00664EE9">
        <w:rPr>
          <w:color w:val="EE0000"/>
          <w:highlight w:val="yellow"/>
        </w:rPr>
        <w:t>將可供性運用於對科技互動過程的分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r w:rsidRPr="00746E0C">
        <w:t>可供性提供了兼具「物質性」與「社會互動性」的分析工具，可作為中介概念來連結技術條件與社會行動之間的關係。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Sociologists need to see that social processes and the ‘properties’ of technological artefacts are inter related and intertwined, and need to analyse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they all begin from the viewpoint that precisely what the characteristics of technologies are, as well as their relationship with social structures, are both socially constructed:the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r>
        <w:rPr>
          <w:rFonts w:hint="eastAsia"/>
        </w:rPr>
        <w:t>hatchy</w:t>
      </w:r>
      <w:r>
        <w:rPr>
          <w:rFonts w:hint="eastAsia"/>
        </w:rPr>
        <w:t>認為可供性是】</w:t>
      </w:r>
    </w:p>
    <w:p w14:paraId="1FD73BE8" w14:textId="3D7F54BA" w:rsidR="00746E0C" w:rsidRDefault="008F5317" w:rsidP="00A22FF8">
      <w:r w:rsidRPr="008F5317">
        <w:t>This involves seeing technologies neither in terms of their ‘interpretive textual’ properties nor of their ‘essential technical’ properties, but in terms of their affordances (Gibson 1979).I will argue that affordances are func tional and relational aspects which frame,while not determining,the possibilities for agentic action in relation to an object.In this way,technologies can be understood as artefacts which may be both shaped by and shaping of the practices humans use in interaction with, around and through them</w:t>
      </w:r>
      <w:r w:rsidR="00FD78E3" w:rsidRPr="00FD78E3">
        <w:rPr>
          <w:rFonts w:hint="eastAsia"/>
        </w:rPr>
        <w:t>這既不是從技術的「解釋性文本」屬性，也不是從技術的「本質技術」屬性的角度來看待技術，而是從其可</w:t>
      </w:r>
      <w:r w:rsidR="00FD78E3" w:rsidRPr="00FD78E3">
        <w:rPr>
          <w:rFonts w:hint="eastAsia"/>
        </w:rPr>
        <w:lastRenderedPageBreak/>
        <w:t>供性（</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r w:rsidR="00FD78E3" w:rsidRPr="00D00036">
        <w:rPr>
          <w:rFonts w:hint="eastAsia"/>
          <w:color w:val="EE0000"/>
          <w:highlight w:val="yellow"/>
        </w:rPr>
        <w:t>可供性是功能性和關係性的方面，它們構成了（但並非決定了）與物件相關的代理行為的可能性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This ‘third way’ between the (con structivist)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But I do want to argue that a new empirical perspective is possible on the nature of the relationship between technological artefacts and human practices. That perspective needs to be grounded in a conception of the constraining,as well as enabling,materiality of the technology as a worldly object.</w:t>
      </w:r>
      <w:r w:rsidRPr="005F3525">
        <w:rPr>
          <w:rFonts w:hint="eastAsia"/>
        </w:rPr>
        <w:t>這種視角需要建立在這樣一種觀念之上：技術作為一種世俗客體，既具有限制性，又具有賦能性。</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Likewise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(Hutchby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r w:rsidR="007125E6" w:rsidRPr="005F3525">
        <w:rPr>
          <w:rFonts w:hint="eastAsia"/>
        </w:rPr>
        <w:t>Hutchby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原因在於，不同的技術擁有不同的可供性，而這些可供性限制了它們可能被「書寫」或「閱讀」的方式。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r w:rsidRPr="00CB5930">
        <w:t>.Affordances may thus differ from species to species and from context to context. However, they cannot be seen as freely variable. While a tree offers an enormous range of affordances for a vast variety of species, there are things a river can afford which the tree cannot,and vice versa.</w:t>
      </w:r>
      <w:r w:rsidR="0080327E" w:rsidRPr="0080327E">
        <w:rPr>
          <w:rFonts w:hint="eastAsia"/>
        </w:rPr>
        <w:t>因此，</w:t>
      </w:r>
      <w:r w:rsidR="0080327E" w:rsidRPr="00962A52">
        <w:rPr>
          <w:rFonts w:hint="eastAsia"/>
          <w:color w:val="EE0000"/>
        </w:rPr>
        <w:t>可供性可能因物種和環境而異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樹木為各種各樣的物種提供了種類繁多的可供性，而河流可以提供而樹木無法提供的東西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,‘the affordance of something is assumed not to change as the need of the observer changes.The edibility of a substance for an animal does not depend on the hunger of the animal.The walk-on-ability of a surface exists whether or not the animal walks on it’(ibid.)</w:t>
      </w:r>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Secondly, the view developed within cognitive psychology that the brain must play an intermediary role in perception by interpreting the images transmitted via light sources to the retina.Against this view, Gibson (1979) argued that the affordances of objects could be ‘directly perceived’: for instance, it may be that a fleeing lizard perceives the shape in front of it directly in terms of its affordance as a ‘place to hide’(while an observing human may equally characterise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認為，物體的可供性可以被「直接感知」：例如，一隻逃跑的蜥蜴可能直接將其前方的形狀感知為「藏身之處」（而觀察者也可能將其描述為「一塊石頭」）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r>
        <w:rPr>
          <w:rFonts w:hint="eastAsia"/>
        </w:rPr>
        <w:t>gibson</w:t>
      </w:r>
      <w:r>
        <w:rPr>
          <w:rFonts w:hint="eastAsia"/>
        </w:rPr>
        <w:t>可供性忽略的四個重點</w:t>
      </w:r>
      <w:r w:rsidR="00504272">
        <w:rPr>
          <w:rFonts w:hint="eastAsia"/>
        </w:rPr>
        <w:t>】</w:t>
      </w:r>
      <w:r w:rsidRPr="007459C1">
        <w:rPr>
          <w:rFonts w:hint="eastAsia"/>
        </w:rPr>
        <w:t>我想指出吉布森對可供性解釋中有時會忽略的四個重點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首先，雖然吉布森的著作強調了自然物體的可供性，以及感知空間的生態學，但</w:t>
      </w:r>
      <w:r w:rsidR="005C1ABF" w:rsidRPr="005C70E2">
        <w:rPr>
          <w:rFonts w:hint="eastAsia"/>
          <w:color w:val="EE0000"/>
        </w:rPr>
        <w:t>可供性當然有很多種類型：自然環境的可供性；人工製品的可供性；環境中其他物種的可供性</w:t>
      </w:r>
      <w:r w:rsidR="005C1ABF">
        <w:rPr>
          <w:rFonts w:hint="eastAsia"/>
        </w:rPr>
        <w:t>；或</w:t>
      </w:r>
      <w:r w:rsidR="005C1ABF" w:rsidRPr="00876A06">
        <w:rPr>
          <w:rFonts w:hint="eastAsia"/>
          <w:color w:val="EE0000"/>
        </w:rPr>
        <w:t>我們自身物種的其他成員的可供性</w:t>
      </w:r>
      <w:r w:rsidR="005C1ABF">
        <w:rPr>
          <w:rFonts w:hint="eastAsia"/>
        </w:rPr>
        <w:t>；等等。這些</w:t>
      </w:r>
      <w:r w:rsidR="005C1ABF" w:rsidRPr="00C82CD4">
        <w:rPr>
          <w:rFonts w:hint="eastAsia"/>
          <w:color w:val="EE0000"/>
        </w:rPr>
        <w:t>不同的來源</w:t>
      </w:r>
      <w:r w:rsidR="006C51ED" w:rsidRPr="00C82CD4">
        <w:rPr>
          <w:rFonts w:hint="eastAsia"/>
          <w:color w:val="EE0000"/>
        </w:rPr>
        <w:t>的可供性</w:t>
      </w:r>
      <w:r w:rsidR="005C1ABF" w:rsidRPr="00C82CD4">
        <w:rPr>
          <w:rFonts w:hint="eastAsia"/>
          <w:color w:val="EE0000"/>
        </w:rPr>
        <w:t>可能在任何特定的行動場合相互關聯或複合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r>
        <w:rPr>
          <w:rFonts w:hint="eastAsia"/>
        </w:rPr>
        <w:t>可供性不只功能性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r w:rsidR="00346902">
        <w:rPr>
          <w:rFonts w:hint="eastAsia"/>
        </w:rPr>
        <w:t>gibson</w:t>
      </w:r>
      <w:r w:rsidR="00346902">
        <w:rPr>
          <w:rFonts w:hint="eastAsia"/>
        </w:rPr>
        <w:t>其實有提到</w:t>
      </w:r>
      <w:r w:rsidR="00530432">
        <w:rPr>
          <w:rFonts w:hint="eastAsia"/>
        </w:rPr>
        <w:t>】</w:t>
      </w:r>
    </w:p>
    <w:p w14:paraId="3C23B3E9" w14:textId="5DC99081" w:rsidR="009D4352" w:rsidRDefault="009D4352" w:rsidP="00E76102">
      <w:r w:rsidRPr="009D4352">
        <w:rPr>
          <w:rFonts w:hint="eastAsia"/>
        </w:rPr>
        <w:lastRenderedPageBreak/>
        <w:t>可供性不僅是功能性的，而且是物體在世界中物質存在的關係性方面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r w:rsidR="002B30B8" w:rsidRPr="000857B7">
        <w:rPr>
          <w:rFonts w:hint="eastAsia"/>
          <w:color w:val="EE0000"/>
        </w:rPr>
        <w:t>可供性可以塑造出與某個行動相關的可能性條件：也許可以用一個方法來實現，但用另一種方法則不行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一個物體的可供性可能因物種而異。水面不具備獅子或鱷魚能夠在上面行走的可供性，但昆蟲水黽卻具備</w:t>
      </w:r>
      <w:r w:rsidR="002B30B8" w:rsidRPr="002B30B8">
        <w:rPr>
          <w:rFonts w:hint="eastAsia"/>
        </w:rPr>
        <w:t>。</w:t>
      </w:r>
    </w:p>
    <w:p w14:paraId="006BDF31" w14:textId="72A14E2A" w:rsidR="00C80161" w:rsidRDefault="00634CC5" w:rsidP="00E76102">
      <w:pPr>
        <w:rPr>
          <w:color w:val="EE0000"/>
        </w:rPr>
      </w:pPr>
      <w:r w:rsidRPr="00634CC5">
        <w:t>To Gibson's (1982:409) comment: "The walkability of a surface exists whether or not animals walk on it", we can add: the walkability of a surface is revealed when animals walk on it.</w:t>
      </w:r>
      <w:r w:rsidR="00815D0F">
        <w:t>G</w:t>
      </w:r>
      <w:r w:rsidR="00815D0F">
        <w:rPr>
          <w:rFonts w:hint="eastAsia"/>
        </w:rPr>
        <w:t>reeno</w:t>
      </w:r>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可供性不總是直接感知，而是需要透過學習</w:t>
      </w:r>
    </w:p>
    <w:p w14:paraId="19602B4E" w14:textId="13C26897" w:rsidR="001F2F04" w:rsidRDefault="001F2F04" w:rsidP="00E76102">
      <w:r>
        <w:rPr>
          <w:rFonts w:hint="eastAsia"/>
        </w:rPr>
        <w:t>舉相機教準的例子，若打開了相機膠捲就會傷害底片，</w:t>
      </w:r>
      <w:r w:rsidRPr="005E37ED">
        <w:rPr>
          <w:rFonts w:hint="eastAsia"/>
          <w:color w:val="EE0000"/>
        </w:rPr>
        <w:t>孩子可能會了解到社會和技術規則都限制了相機門的可供性</w:t>
      </w:r>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r>
        <w:rPr>
          <w:rFonts w:hint="eastAsia"/>
        </w:rPr>
        <w:t>可供性是可以被設計出來的</w:t>
      </w:r>
    </w:p>
    <w:p w14:paraId="0AB54301" w14:textId="77777777" w:rsidR="002F10EF" w:rsidRDefault="00B51B08" w:rsidP="00E76102">
      <w:r w:rsidRPr="002F10EF">
        <w:rPr>
          <w:color w:val="EE0000"/>
          <w:highlight w:val="yellow"/>
        </w:rPr>
        <w:t>Affordances can also be designed into the artefact.</w:t>
      </w:r>
      <w:r w:rsidR="00183999" w:rsidRPr="00183999">
        <w:rPr>
          <w:rFonts w:hint="eastAsia"/>
        </w:rPr>
        <w:t>可供性也可以被設計到人工製品中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人工製品（即人造物品）的可供性並不一定源於其物質性的自然特徵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r>
        <w:rPr>
          <w:rFonts w:hint="eastAsia"/>
        </w:rPr>
        <w:t>【結論中提及：</w:t>
      </w:r>
      <w:r w:rsidR="000C5E09" w:rsidRPr="000C5E09">
        <w:t>My aim has been to argue for an acceptance that our interpretations and uses of technological artefacts,while important,contingent and variable,are constrained in analysable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可分析的方式受到特定產品所具備的各種可供性（</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多樣來源的可供性（</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Hutchby </w:t>
      </w:r>
      <w:r w:rsidRPr="000077B4">
        <w:t>指出還包括：人工物件、他人、物種之間的可供性，這些在具體行動中是交錯且可組合的。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r w:rsidRPr="000077B4">
        <w:t xml:space="preserve">Hutchby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r w:rsidRPr="000077B4">
        <w:rPr>
          <w:b/>
          <w:bCs/>
        </w:rPr>
        <w:t>可供性的學習性與規範性（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r w:rsidRPr="000077B4">
        <w:rPr>
          <w:b/>
          <w:bCs/>
        </w:rPr>
        <w:t>可供性可被設計（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FabriSelect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r w:rsidRPr="000A778D">
        <w:rPr>
          <w:b/>
          <w:bCs/>
        </w:rPr>
        <w:t>可供性定義與特性相關句子：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“the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可供性非主觀或客觀本質：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r w:rsidRPr="000A778D">
        <w:t>可供性存在於「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媒介可供性（媒體實踐）：</w:t>
      </w:r>
    </w:p>
    <w:p w14:paraId="56EAA9D2" w14:textId="77777777" w:rsidR="000A778D" w:rsidRPr="000A778D" w:rsidRDefault="000A778D" w:rsidP="000A778D">
      <w:r w:rsidRPr="000A778D">
        <w:t xml:space="preserve">“the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r w:rsidRPr="000E24FD">
        <w:t>—</w:t>
      </w:r>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0" w:name="_Hlk199166865"/>
      <w:r w:rsidRPr="00E54710">
        <w:t>Norman</w:t>
      </w:r>
      <w:bookmarkEnd w:id="0"/>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1" w:name="_Hlk199166853"/>
      <w:r w:rsidRPr="004C5719">
        <w:rPr>
          <w:color w:val="0070C0"/>
        </w:rPr>
        <w:t>To Gibson, affordances are relationships. They exist naturally: they do not have to be visible, known, or desirable.</w:t>
      </w:r>
    </w:p>
    <w:bookmarkEnd w:id="1"/>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而言，可供性是一種關係。它們自然存在，不必是可見的、已知的，或具吸引力的。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When you first see something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雖然所有在可觸及距離內的螢幕都可以觸碰，但只有部分螢幕能夠檢測觸碰並作出反應。因此，</w:t>
      </w:r>
      <w:bookmarkStart w:id="2" w:name="_Hlk199168092"/>
      <w:r w:rsidRPr="00E45CD9">
        <w:t>如果顯示器沒有觸控敏感螢幕，螢幕仍然可以觸碰，但對電腦系統沒有任何影響</w:t>
      </w:r>
      <w:bookmarkEnd w:id="2"/>
      <w:r w:rsidRPr="00E45CD9">
        <w:t>。儘管這種可觸碰性對於讓使用相同螢幕的人指出感興趣的區域有實用價值，但這種可觸碰性主要是為了讓清潔螢幕的公司高興：他們可以賣出大量的紙巾和清潔劑。但這種可觸碰性對於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在這種情況下，設計師有時會說當他們在螢幕上放置一個圖示、游標或其他目標時，就向系統添加了一種「可供性」。</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這是對可供性概念的誤用。可供性本身是獨立存在的，並不依賴螢幕上可見的內容。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那些畫面顯示的東西並不是可供性；它們只是</w:t>
      </w:r>
      <w:r w:rsidRPr="00D848EC">
        <w:rPr>
          <w:b/>
          <w:bCs/>
          <w:color w:val="EE0000"/>
        </w:rPr>
        <w:t>宣示可供性的視覺回饋</w:t>
      </w:r>
      <w:r w:rsidRPr="00D848EC">
        <w:rPr>
          <w:b/>
          <w:bCs/>
        </w:rPr>
        <w:t>，是「可感知的可供性」。</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r w:rsidRPr="00D848EC">
        <w:rPr>
          <w:b/>
          <w:bCs/>
          <w:color w:val="EE0000"/>
        </w:rPr>
        <w:t>可供性、回饋、與可感知的可供性</w:t>
      </w:r>
      <w:r w:rsidRPr="00D848EC">
        <w:rPr>
          <w:b/>
          <w:bCs/>
        </w:rPr>
        <w:t>可以彼此獨立地進行設計與調整。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3" w:name="_Hlk199168126"/>
      <w:r w:rsidRPr="00D848EC">
        <w:rPr>
          <w:b/>
          <w:bCs/>
        </w:rPr>
        <w:t>即使系統實際上不支援某項功能，可感知的可供性有時仍然具有實用價值。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3"/>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4"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感知的可供性有時即使在系統不支援實際可供性的情況下也會是有用的</w:t>
      </w:r>
    </w:p>
    <w:p w14:paraId="3F4F75AD" w14:textId="420DE997" w:rsidR="00D12BEA" w:rsidRDefault="00D12BEA" w:rsidP="00BD30E9">
      <w:pPr>
        <w:widowControl/>
        <w:rPr>
          <w:b/>
          <w:bCs/>
        </w:rPr>
      </w:pPr>
      <w:r>
        <w:rPr>
          <w:rFonts w:hint="eastAsia"/>
          <w:b/>
          <w:bCs/>
        </w:rPr>
        <w:t>例如</w:t>
      </w:r>
      <w:r w:rsidRPr="0007663B">
        <w:rPr>
          <w:rFonts w:hint="eastAsia"/>
          <w:b/>
          <w:bCs/>
          <w:color w:val="EE0000"/>
        </w:rPr>
        <w:t>不能說有</w:t>
      </w:r>
      <w:r w:rsidRPr="0007663B">
        <w:rPr>
          <w:rFonts w:hint="eastAsia"/>
          <w:b/>
          <w:bCs/>
          <w:color w:val="EE0000"/>
        </w:rPr>
        <w:t>icon</w:t>
      </w:r>
      <w:r w:rsidRPr="0007663B">
        <w:rPr>
          <w:rFonts w:hint="eastAsia"/>
          <w:b/>
          <w:bCs/>
          <w:color w:val="EE0000"/>
        </w:rPr>
        <w:t>介面的</w:t>
      </w:r>
      <w:bookmarkEnd w:id="4"/>
      <w:r w:rsidRPr="0007663B">
        <w:rPr>
          <w:rFonts w:hint="eastAsia"/>
          <w:b/>
          <w:bCs/>
          <w:color w:val="EE0000"/>
        </w:rPr>
        <w:t>設計就是有可供性，因為使用者可以在其他沒有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5"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當你學會在擁有適當的光標形狀時才點擊，你就是</w:t>
      </w:r>
      <w:r w:rsidR="00FD0323" w:rsidRPr="00374A79">
        <w:rPr>
          <w:b/>
          <w:bCs/>
          <w:color w:val="EE0000"/>
        </w:rPr>
        <w:t>在遵循一種文化約束。</w:t>
      </w:r>
    </w:p>
    <w:bookmarkEnd w:id="5"/>
    <w:p w14:paraId="3F358673" w14:textId="77777777" w:rsidR="00364F31" w:rsidRDefault="00DC0FB8" w:rsidP="00BD30E9">
      <w:pPr>
        <w:widowControl/>
        <w:rPr>
          <w:b/>
          <w:bCs/>
        </w:rPr>
      </w:pPr>
      <w:r w:rsidRPr="00DC0FB8">
        <w:rPr>
          <w:b/>
          <w:bCs/>
        </w:rPr>
        <w:t>Far too often I hear graphic designers claim that they have added an affordance to the screen design when they have done nothing of the sort. Usually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，把圖示、游標、按鈕等視為「可供性本身」，其實它們是「可感知的可供性」或「視覺提示」。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6"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6"/>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物理限制與實際可供性密切相關：例如，不可能將光標移到螢幕外面：這是一種物理限制。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r w:rsidR="00A838A8" w:rsidRPr="00A838A8">
        <w:rPr>
          <w:b/>
          <w:bCs/>
        </w:rPr>
        <w:t>限制光標僅在其位置有意義的螢幕位置上存在是一種物理限制。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我個人認為，我們過度依賴抽象的表徵與行動是一種錯誤；若能回到以實體物件控制系統，例如使用真正的旋鈕、滑桿、按鈕等更簡單具體的方式，對人們會更加有益。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請不要混淆可供性與感知可供性，也不要將可供性與慣例混為一談。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r w:rsidRPr="004A78B9">
        <w:rPr>
          <w:b/>
          <w:bCs/>
          <w:color w:val="EE0000"/>
        </w:rPr>
        <w:t>可供性反映的是行動者與物件之間的可能關係，它們是世界本身的屬性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設計師可以創造新的真實與感知可供性，但卻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真實可供性（</w:t>
      </w:r>
      <w:r w:rsidRPr="000D6291">
        <w:rPr>
          <w:b/>
          <w:bCs/>
        </w:rPr>
        <w:t>real affordance</w:t>
      </w:r>
      <w:r w:rsidRPr="000D6291">
        <w:rPr>
          <w:b/>
          <w:bCs/>
        </w:rPr>
        <w:t>）：客觀存在於物與行動者之間，無需感知也存在。</w:t>
      </w:r>
    </w:p>
    <w:p w14:paraId="5F281790" w14:textId="77777777" w:rsidR="000D6291" w:rsidRPr="000D6291" w:rsidRDefault="000D6291" w:rsidP="000D6291">
      <w:pPr>
        <w:widowControl/>
        <w:numPr>
          <w:ilvl w:val="0"/>
          <w:numId w:val="6"/>
        </w:numPr>
        <w:rPr>
          <w:b/>
          <w:bCs/>
        </w:rPr>
      </w:pPr>
      <w:r w:rsidRPr="000D6291">
        <w:rPr>
          <w:b/>
          <w:bCs/>
        </w:rPr>
        <w:t>感知可供性（</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設計應強調「讓可供性變得可見」，讓行動更直觀。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當前設計多在虛擬環境中，物理可供性減少，需更依賴慣例與限制。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r w:rsidRPr="001E3DCA">
        <w:rPr>
          <w:b/>
          <w:bCs/>
        </w:rPr>
        <w:t>可供性理論的延伸與重釋（心理學與哲學）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的可供性概念引入工業設計與人機互動領域，並區分「真實的可供性」與「感知的可供性（</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主張可供性應被理解為一種「動態的關係」，並提出動態系統與現象學觀點，批判傳統靜態定義。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的思想，強調兒童發展、教育與行動導向的知覺。重新詮釋可供性為「體驗中的實用結構」。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二、科技可供性與人機互動（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將可供性正式應用於數位科技與人機互動，提出「可見可供性（</w:t>
      </w:r>
      <w:r w:rsidRPr="001E3DCA">
        <w:rPr>
          <w:highlight w:val="yellow"/>
        </w:rPr>
        <w:t>perceptible affordances</w:t>
      </w:r>
      <w:r w:rsidRPr="001E3DCA">
        <w:rPr>
          <w:highlight w:val="yellow"/>
        </w:rPr>
        <w:t>）」與「隱含可供性（</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對可供性過度簡化，回歸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探討資訊科技中的可供性與行動性之關係，主張設計應以使用者的實踐為中心，從</w:t>
      </w:r>
      <w:r w:rsidRPr="001E3DCA">
        <w:t xml:space="preserve"> embodied interaction </w:t>
      </w:r>
      <w:r w:rsidRPr="001E3DCA">
        <w:t>出發重新理解科技可供性。</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三、資訊系統與科技社會研究中之可供性應用</w:t>
      </w:r>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探討資訊科技的「可供性」如何重新形構組織行動，提出資訊科技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」（疊合）概念，描述人與科技如何共同構成行動實踐，科技可供性與限制共同塑造組織行為。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分析社群媒體的科技可供性如何同時促進與阻礙知識分享，展現可供性具有多重方向與脈絡依賴性。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r>
        <w:rPr>
          <w:rFonts w:hint="eastAsia"/>
        </w:rPr>
        <w:t>可供性</w:t>
      </w:r>
      <w:r w:rsidRPr="00D117CE">
        <w:t>指的是</w:t>
      </w:r>
      <w:r w:rsidRPr="00D23989">
        <w:rPr>
          <w:color w:val="EE0000"/>
        </w:rPr>
        <w:t>環境中對某一特定生物可供的行動機會</w:t>
      </w:r>
      <w:r w:rsidRPr="00D117CE">
        <w:t>，</w:t>
      </w:r>
      <w:r w:rsidR="00CF57F3">
        <w:rPr>
          <w:rFonts w:hint="eastAsia"/>
        </w:rPr>
        <w:t>可供性</w:t>
      </w:r>
      <w:r w:rsidR="00CF57F3" w:rsidRPr="00944118">
        <w:t>不同於價值和意義，是主觀的、現象的和心理的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關於環境的可供性的一個重要事實是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媒介、物質、表面、物體、地點和其他動物對於特定動物具有可供性。它們提供了利益或傷害，生命或死亡。這就是為什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例如太高的椅子對小孩來說不具備可供性，因為他做不上去，但對成人來說卻具備</w:t>
      </w:r>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An important fact about the affordances of the environment is that they are in a sense objective, real, and physical, unlike values and meanings, which are often supposed to be subjective, phenomenal, and mental. But,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關於環境的可供性的一個重要事實是，它在某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供性既不是客觀屬性也不是主觀屬性；或者如果你願意，它是兩者兼具。可供性跨越了主觀與客觀的二分法，幫助我們理解其不足之處。它同時是環境的一個事實，也是行為的一個事實。它既是物理的，也是心理的，但又不是兩者。可供性同時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媒介、物質、表面、物體、地點和其他動物對於特定動物具有可供性。它們提供了利益或傷害，生命或死亡。這就是為什麼它們需要被感知。</w:t>
      </w:r>
      <w:bookmarkStart w:id="7" w:name="_Hlk199171000"/>
      <w:r w:rsidRPr="00864168">
        <w:rPr>
          <w:color w:val="002060"/>
          <w:highlight w:val="yellow"/>
        </w:rPr>
        <w:t>環境的可能性和動物的生活方式是不可分割地結合在一起的</w:t>
      </w:r>
      <w:bookmarkEnd w:id="7"/>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在一定程度上，人類動物可以改變環境的可供性，但仍然是其情境的產物</w:t>
      </w:r>
      <w:r w:rsidRPr="00644404">
        <w:t>。刺激中包含有關物體物理特性的資訊，並且推測有關環境特性的資訊也存在。聲稱我們必須區分事物的變數才能學習其意義的學說是值得懷疑的。可供性是與觀察者相關的特性。它們既不是物理的，也不是現象的。環境光中存在資訊以具體化可供性的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r w:rsidR="0003792B" w:rsidRPr="0003792B">
        <w:t>—</w:t>
      </w:r>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
      <w:r>
        <w:rPr>
          <w:rFonts w:hint="eastAsia"/>
        </w:rPr>
        <w:t>回顧時</w:t>
      </w:r>
      <w:r w:rsidRPr="00536E7A">
        <w:t>往往伴隨認知、情緒與想法的交織</w:t>
      </w:r>
      <w:r>
        <w:rPr>
          <w:rFonts w:hint="eastAsia"/>
        </w:rPr>
        <w:t>，而這種回顧是一種持續的過程</w:t>
      </w:r>
      <w:commentRangeEnd w:id="8"/>
      <w:r>
        <w:rPr>
          <w:rStyle w:val="ae"/>
        </w:rPr>
        <w:commentReference w:id="8"/>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9"/>
      <w:r>
        <w:rPr>
          <w:rFonts w:hint="eastAsia"/>
        </w:rPr>
        <w:t>回顧時</w:t>
      </w:r>
      <w:r w:rsidRPr="00536E7A">
        <w:t>往往伴隨認知、情緒與想法的交織</w:t>
      </w:r>
      <w:r>
        <w:rPr>
          <w:rFonts w:hint="eastAsia"/>
        </w:rPr>
        <w:t>，而這種回顧是一種持續的過程</w:t>
      </w:r>
      <w:commentRangeEnd w:id="9"/>
      <w:r>
        <w:rPr>
          <w:rStyle w:val="ae"/>
        </w:rPr>
        <w:commentReference w:id="9"/>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10"/>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10"/>
      <w:r>
        <w:rPr>
          <w:rStyle w:val="ae"/>
        </w:rPr>
        <w:commentReference w:id="10"/>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11"/>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11"/>
      <w:r>
        <w:rPr>
          <w:rStyle w:val="ae"/>
        </w:rPr>
        <w:commentReference w:id="11"/>
      </w:r>
      <w:r>
        <w:rPr>
          <w:rFonts w:hint="eastAsia"/>
        </w:rPr>
        <w:t>。</w:t>
      </w:r>
      <w:r w:rsidRPr="004F0D54">
        <w:t>特別是在面對高度不確定或突發情境時，</w:t>
      </w:r>
      <w:commentRangeStart w:id="12"/>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12"/>
      <w:r>
        <w:rPr>
          <w:rStyle w:val="ae"/>
        </w:rPr>
        <w:commentReference w:id="12"/>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13"/>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13"/>
      <w:r w:rsidRPr="00A63C43">
        <w:rPr>
          <w:rStyle w:val="ae"/>
        </w:rPr>
        <w:commentReference w:id="13"/>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也正重新理解其所處環境，並藉此逐步形構對現實的認知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，而是來自不同資源間的</w:t>
      </w:r>
      <w:r>
        <w:rPr>
          <w:rFonts w:hint="eastAsia"/>
        </w:rPr>
        <w:t>整合、</w:t>
      </w:r>
      <w:r w:rsidRPr="0055300C">
        <w:t>互動，即所謂的</w:t>
      </w:r>
      <w:commentRangeStart w:id="14"/>
      <w:r w:rsidRPr="0047702A">
        <w:t>共生性制定行動</w:t>
      </w:r>
      <w:commentRangeEnd w:id="14"/>
      <w:r w:rsidRPr="0047702A">
        <w:rPr>
          <w:rStyle w:val="ae"/>
        </w:rPr>
        <w:commentReference w:id="14"/>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15" w:name="_Toc198908375"/>
      <w:r>
        <w:rPr>
          <w:rFonts w:hint="eastAsia"/>
        </w:rPr>
        <w:t xml:space="preserve">2.1.2 </w:t>
      </w:r>
      <w:r>
        <w:rPr>
          <w:rFonts w:hint="eastAsia"/>
        </w:rPr>
        <w:t>制定的動態循環過程</w:t>
      </w:r>
      <w:bookmarkEnd w:id="15"/>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持續建構認知、實踐行動並重塑所處環境，進而展開下一輪的認知與行動過程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16"/>
      <w:r w:rsidRPr="003630D2">
        <w:t>反應又進一步改變</w:t>
      </w:r>
      <w:r>
        <w:rPr>
          <w:rFonts w:hint="eastAsia"/>
        </w:rPr>
        <w:t>環境情境</w:t>
      </w:r>
      <w:commentRangeEnd w:id="16"/>
      <w:r>
        <w:rPr>
          <w:rStyle w:val="ae"/>
        </w:rPr>
        <w:commentReference w:id="16"/>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17"/>
      <w:r w:rsidRPr="005E297B">
        <w:t>環境不是客觀給定，而是行動與結構之間互動後</w:t>
      </w:r>
      <w:r w:rsidRPr="005E297B">
        <w:lastRenderedPageBreak/>
        <w:t>共同建構的產物</w:t>
      </w:r>
      <w:commentRangeEnd w:id="17"/>
      <w:r>
        <w:rPr>
          <w:rStyle w:val="ae"/>
        </w:rPr>
        <w:commentReference w:id="17"/>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18"/>
      <w:r w:rsidRPr="004A47A4">
        <w:t>Orlikowski</w:t>
      </w:r>
      <w:commentRangeEnd w:id="18"/>
      <w:r>
        <w:rPr>
          <w:rStyle w:val="ae"/>
        </w:rPr>
        <w:commentReference w:id="18"/>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19"/>
      <w:r w:rsidRPr="00F45239">
        <w:t>（</w:t>
      </w:r>
      <w:r w:rsidRPr="00F45239">
        <w:t>Gioia &amp; Chittipeddi, 1991</w:t>
      </w:r>
      <w:r w:rsidRPr="00F45239">
        <w:t>）</w:t>
      </w:r>
      <w:commentRangeEnd w:id="19"/>
      <w:r>
        <w:rPr>
          <w:rStyle w:val="ae"/>
        </w:rPr>
        <w:commentReference w:id="19"/>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20"/>
      <w:r w:rsidRPr="00B63179">
        <w:t>Giddens, 1984</w:t>
      </w:r>
      <w:r w:rsidRPr="00B63179">
        <w:t>）</w:t>
      </w:r>
      <w:commentRangeEnd w:id="20"/>
      <w:r>
        <w:rPr>
          <w:rStyle w:val="ae"/>
        </w:rPr>
        <w:commentReference w:id="20"/>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21"/>
      <w:r w:rsidRPr="00A877C0">
        <w:t>（</w:t>
      </w:r>
      <w:r w:rsidRPr="00A877C0">
        <w:t>Weick &amp; Putnam, 2006</w:t>
      </w:r>
      <w:r w:rsidRPr="00A877C0">
        <w:t>）</w:t>
      </w:r>
      <w:commentRangeEnd w:id="21"/>
      <w:r>
        <w:rPr>
          <w:rStyle w:val="ae"/>
        </w:rPr>
        <w:commentReference w:id="21"/>
      </w:r>
      <w:r w:rsidRPr="00A877C0">
        <w:t>。</w:t>
      </w:r>
    </w:p>
    <w:p w14:paraId="6808B86F" w14:textId="77777777" w:rsidR="00857061" w:rsidRPr="008E5C2D" w:rsidRDefault="00857061" w:rsidP="00857061">
      <w:pPr>
        <w:pStyle w:val="15"/>
        <w:ind w:firstLine="480"/>
      </w:pPr>
      <w:r w:rsidRPr="005133FB">
        <w:t>在創業領域中，林家五等人亦提出「創業家的釋意歷程」模型，說明創業家的行動並非預設結果，而是根據其身份認同、環境詮釋與個人脈絡所產生的認知逐步轉化而來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22"/>
      <w:r w:rsidRPr="00B3713C">
        <w:rPr>
          <w:color w:val="EE0000"/>
        </w:rPr>
        <w:t>創造出他們所面對的部分環境</w:t>
      </w:r>
      <w:commentRangeEnd w:id="22"/>
      <w:r w:rsidRPr="00B3713C">
        <w:rPr>
          <w:rStyle w:val="ae"/>
          <w:color w:val="EE0000"/>
        </w:rPr>
        <w:commentReference w:id="22"/>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23" w:name="_Hlk198905272"/>
      <w:r w:rsidRPr="00626AF7">
        <w:t>Enactment is coupled with the contextual environmen</w:t>
      </w:r>
      <w:bookmarkEnd w:id="23"/>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r w:rsidRPr="002D5F7A">
        <w:rPr>
          <w:strike/>
          <w:highlight w:val="cyan"/>
        </w:rPr>
        <w:t>Reed, 1997; Pawlowski &amp; Robey, 2004</w:t>
      </w:r>
      <w:r w:rsidRPr="002D5F7A">
        <w:rPr>
          <w:strike/>
          <w:highlight w:val="cyan"/>
        </w:rPr>
        <w:t>）</w:t>
      </w:r>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補充建議引用原句：</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r w:rsidRPr="00BC79E0">
        <w:rPr>
          <w:highlight w:val="yellow"/>
        </w:rPr>
        <w:t>（</w:t>
      </w:r>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技術制定凸顯了組織決策者與行動者在整合新資訊科技與原有組織與制度安排之間所面臨的掙扎與挑戰（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r w:rsidRPr="00B53368">
        <w:rPr>
          <w:highlight w:val="yellow"/>
        </w:rPr>
        <w:t>（</w:t>
      </w:r>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r w:rsidRPr="00C41082">
        <w:rPr>
          <w:highlight w:val="cyan"/>
        </w:rPr>
        <w:t>–</w:t>
      </w:r>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補充建議引用原句：</w:t>
      </w:r>
      <w:r w:rsidRPr="00C41082">
        <w:rPr>
          <w:strike/>
          <w:highlight w:val="cyan"/>
        </w:rPr>
        <w:t>“</w:t>
      </w:r>
      <w:bookmarkStart w:id="24"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24"/>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r w:rsidRPr="00405BE8">
        <w:t>釋意歷程</w:t>
      </w:r>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鄭伯壎</w:t>
      </w:r>
      <w:r w:rsidRPr="00405BE8">
        <w:t xml:space="preserve">Bor-shiuan Cheng </w:t>
      </w:r>
      <w:r w:rsidRPr="00405BE8">
        <w:t>國立台灣大學</w:t>
      </w:r>
      <w:r w:rsidRPr="00405BE8">
        <w:t xml:space="preserve"> National Taiwan Univsrsity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所提出的釋意</w:t>
      </w:r>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對五位創業家進行半結構式的深度訪談，並且以類別與主題分析進行主要論述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絡」的詮釋，對「個體內在脈絡的詮釋」以及對「詮釋」的詮釋（研究者以詮</w:t>
      </w:r>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所謂「個人性身份」包括，是誰的兒子（女兒），是誰的朋友，是誰的老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成分在內。對本研究的創業家來說，「個人性身份」包含「個性」、「出生</w:t>
      </w:r>
      <w:r w:rsidRPr="00405BE8">
        <w:t xml:space="preserve"> </w:t>
      </w:r>
      <w:r w:rsidRPr="00405BE8">
        <w:t>地區」、「同儕的角色」及「家庭中的排行」。而「社會性身份」，除了「老</w:t>
      </w:r>
      <w:r w:rsidRPr="00405BE8">
        <w:t xml:space="preserve"> </w:t>
      </w:r>
      <w:r w:rsidRPr="00405BE8">
        <w:t>闆」之外，最重要的就是「專業能力」的身份。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從認同到開創：創業家的動態釋意歷程</w:t>
      </w:r>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r w:rsidRPr="00405BE8">
        <w:t>個方向，分別為「支持性推移」、「產生行為推移」及「產生新論述的推移」。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命題一：創業家的自我身份認同是影響其</w:t>
      </w:r>
      <w:r w:rsidRPr="00405BE8">
        <w:lastRenderedPageBreak/>
        <w:t>釋意歷程的核心概念。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命題三：創業家對環境脈絡的詮釋可以區分為兩大類，「內在環境」與「外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命題七：創業家的管理行動主要受到創業家的身份認同與對環境脈絡的詮</w:t>
      </w:r>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r w:rsidRPr="00405BE8">
        <w:t>釋所影響。同時，也受到命題五中所討論的「詮釋推移」的影響。</w:t>
      </w:r>
    </w:p>
    <w:p w14:paraId="58111909" w14:textId="6E2B62BE" w:rsidR="00405BE8" w:rsidRDefault="00405BE8">
      <w:r w:rsidRPr="00405BE8">
        <w:t>一</w:t>
      </w:r>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論點是可以在創業家的釋意歷程中獲得支持的。該篇文章的主要論點為，「在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就第一點來說，「思考是對行動的檢驗」將可以視為創業家釋意過程裡，</w:t>
      </w:r>
      <w:r w:rsidRPr="00405BE8">
        <w:t xml:space="preserve"> </w:t>
      </w:r>
      <w:r w:rsidRPr="00405BE8">
        <w:t>「對行動的承諾性詮釋」。回到資料中，也可以在六位創業家的釋意歷程裡，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就第二點來說，「思考激起了行動」則是創業家釋意歷程中，「從詮釋到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就第三點來說，「思考強化了活動」應該是相當於「創業家一般化釋意歷</w:t>
      </w:r>
      <w:r w:rsidRPr="00405BE8">
        <w:t xml:space="preserve"> </w:t>
      </w:r>
      <w:r w:rsidRPr="00405BE8">
        <w:t>程模式」中，由「承諾性詮釋」到「行動」之間的連結。不過，就資料上來看，</w:t>
      </w:r>
      <w:r w:rsidRPr="00405BE8">
        <w:t xml:space="preserve"> </w:t>
      </w:r>
      <w:r w:rsidRPr="00405BE8">
        <w:t>本研究並沒有發現創業家釋意過程裡，有此種關係連結出現。但是，如果將釋</w:t>
      </w:r>
      <w:r w:rsidRPr="00405BE8">
        <w:t xml:space="preserve"> </w:t>
      </w:r>
      <w:r w:rsidRPr="00405BE8">
        <w:t>意過程視為一個雙迴圈的詮釋循環，則理論上此種連結關係應該是存在的。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9"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10"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11"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12"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13"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14"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16"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17"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18"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19"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20"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21"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22"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4B28B" w14:textId="77777777" w:rsidR="00911D8D" w:rsidRDefault="00911D8D" w:rsidP="00BB47A4">
      <w:pPr>
        <w:spacing w:after="0" w:line="240" w:lineRule="auto"/>
      </w:pPr>
      <w:r>
        <w:separator/>
      </w:r>
    </w:p>
  </w:endnote>
  <w:endnote w:type="continuationSeparator" w:id="0">
    <w:p w14:paraId="2BA882B4" w14:textId="77777777" w:rsidR="00911D8D" w:rsidRDefault="00911D8D"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360DC" w14:textId="77777777" w:rsidR="00911D8D" w:rsidRDefault="00911D8D" w:rsidP="00BB47A4">
      <w:pPr>
        <w:spacing w:after="0" w:line="240" w:lineRule="auto"/>
      </w:pPr>
      <w:r>
        <w:separator/>
      </w:r>
    </w:p>
  </w:footnote>
  <w:footnote w:type="continuationSeparator" w:id="0">
    <w:p w14:paraId="12AAD4FC" w14:textId="77777777" w:rsidR="00911D8D" w:rsidRDefault="00911D8D"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3"/>
  </w:num>
  <w:num w:numId="2" w16cid:durableId="144930246">
    <w:abstractNumId w:val="4"/>
  </w:num>
  <w:num w:numId="3" w16cid:durableId="693264680">
    <w:abstractNumId w:val="7"/>
  </w:num>
  <w:num w:numId="4" w16cid:durableId="994530222">
    <w:abstractNumId w:val="0"/>
  </w:num>
  <w:num w:numId="5" w16cid:durableId="876550489">
    <w:abstractNumId w:val="2"/>
  </w:num>
  <w:num w:numId="6" w16cid:durableId="577135211">
    <w:abstractNumId w:val="1"/>
  </w:num>
  <w:num w:numId="7" w16cid:durableId="1317492286">
    <w:abstractNumId w:val="5"/>
  </w:num>
  <w:num w:numId="8" w16cid:durableId="472410293">
    <w:abstractNumId w:val="8"/>
  </w:num>
  <w:num w:numId="9" w16cid:durableId="504325728">
    <w:abstractNumId w:val="6"/>
  </w:num>
  <w:num w:numId="10" w16cid:durableId="115750119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2F28"/>
    <w:rsid w:val="00004C1A"/>
    <w:rsid w:val="00005193"/>
    <w:rsid w:val="000077B4"/>
    <w:rsid w:val="00007A22"/>
    <w:rsid w:val="00011406"/>
    <w:rsid w:val="000139B8"/>
    <w:rsid w:val="00015610"/>
    <w:rsid w:val="00021490"/>
    <w:rsid w:val="000216EE"/>
    <w:rsid w:val="0002226D"/>
    <w:rsid w:val="00032536"/>
    <w:rsid w:val="00032EAB"/>
    <w:rsid w:val="00033389"/>
    <w:rsid w:val="0003792B"/>
    <w:rsid w:val="00037ECC"/>
    <w:rsid w:val="00050B9D"/>
    <w:rsid w:val="00052DB3"/>
    <w:rsid w:val="00057FBC"/>
    <w:rsid w:val="0006266B"/>
    <w:rsid w:val="000657A2"/>
    <w:rsid w:val="0007663B"/>
    <w:rsid w:val="00077681"/>
    <w:rsid w:val="00080602"/>
    <w:rsid w:val="00084D94"/>
    <w:rsid w:val="000857B7"/>
    <w:rsid w:val="00091B3C"/>
    <w:rsid w:val="00097BA1"/>
    <w:rsid w:val="000A4BAF"/>
    <w:rsid w:val="000A55F8"/>
    <w:rsid w:val="000A6869"/>
    <w:rsid w:val="000A7569"/>
    <w:rsid w:val="000A778D"/>
    <w:rsid w:val="000B0CEC"/>
    <w:rsid w:val="000B5048"/>
    <w:rsid w:val="000C28C0"/>
    <w:rsid w:val="000C3712"/>
    <w:rsid w:val="000C5E09"/>
    <w:rsid w:val="000D0510"/>
    <w:rsid w:val="000D3F11"/>
    <w:rsid w:val="000D6291"/>
    <w:rsid w:val="000E24FD"/>
    <w:rsid w:val="000E589F"/>
    <w:rsid w:val="000E5A48"/>
    <w:rsid w:val="001006CD"/>
    <w:rsid w:val="0010171B"/>
    <w:rsid w:val="00103408"/>
    <w:rsid w:val="001045BF"/>
    <w:rsid w:val="001055C5"/>
    <w:rsid w:val="00110171"/>
    <w:rsid w:val="00112291"/>
    <w:rsid w:val="00117606"/>
    <w:rsid w:val="00123811"/>
    <w:rsid w:val="00132F02"/>
    <w:rsid w:val="001404A6"/>
    <w:rsid w:val="001444AE"/>
    <w:rsid w:val="0014533A"/>
    <w:rsid w:val="00147A0E"/>
    <w:rsid w:val="00156538"/>
    <w:rsid w:val="00164F88"/>
    <w:rsid w:val="00174517"/>
    <w:rsid w:val="00182C74"/>
    <w:rsid w:val="00183999"/>
    <w:rsid w:val="00184035"/>
    <w:rsid w:val="001944A4"/>
    <w:rsid w:val="00195A32"/>
    <w:rsid w:val="001962EB"/>
    <w:rsid w:val="001966FE"/>
    <w:rsid w:val="001974A3"/>
    <w:rsid w:val="00197DFB"/>
    <w:rsid w:val="001A1457"/>
    <w:rsid w:val="001A2E75"/>
    <w:rsid w:val="001A360B"/>
    <w:rsid w:val="001A38C7"/>
    <w:rsid w:val="001A648A"/>
    <w:rsid w:val="001A6B31"/>
    <w:rsid w:val="001B2DF2"/>
    <w:rsid w:val="001B5AC9"/>
    <w:rsid w:val="001B626E"/>
    <w:rsid w:val="001C540B"/>
    <w:rsid w:val="001C58CE"/>
    <w:rsid w:val="001D29EC"/>
    <w:rsid w:val="001D2FB0"/>
    <w:rsid w:val="001E3DCA"/>
    <w:rsid w:val="001F209F"/>
    <w:rsid w:val="001F2C16"/>
    <w:rsid w:val="001F2F04"/>
    <w:rsid w:val="001F3F8C"/>
    <w:rsid w:val="001F5FDD"/>
    <w:rsid w:val="001F787B"/>
    <w:rsid w:val="002327E0"/>
    <w:rsid w:val="00243783"/>
    <w:rsid w:val="0024635D"/>
    <w:rsid w:val="00257863"/>
    <w:rsid w:val="002620E3"/>
    <w:rsid w:val="0026254B"/>
    <w:rsid w:val="002652E1"/>
    <w:rsid w:val="00265C4C"/>
    <w:rsid w:val="00265DEB"/>
    <w:rsid w:val="00267116"/>
    <w:rsid w:val="00270CDA"/>
    <w:rsid w:val="002820A1"/>
    <w:rsid w:val="00282568"/>
    <w:rsid w:val="00292AD4"/>
    <w:rsid w:val="00292C76"/>
    <w:rsid w:val="00292FFC"/>
    <w:rsid w:val="002B1CCE"/>
    <w:rsid w:val="002B1D6E"/>
    <w:rsid w:val="002B30B8"/>
    <w:rsid w:val="002B3D1D"/>
    <w:rsid w:val="002B7BC4"/>
    <w:rsid w:val="002D3BD7"/>
    <w:rsid w:val="002D5F7A"/>
    <w:rsid w:val="002F00DF"/>
    <w:rsid w:val="002F03A4"/>
    <w:rsid w:val="002F10EF"/>
    <w:rsid w:val="002F2463"/>
    <w:rsid w:val="002F2BF3"/>
    <w:rsid w:val="002F48AB"/>
    <w:rsid w:val="00300B69"/>
    <w:rsid w:val="00301A02"/>
    <w:rsid w:val="00305706"/>
    <w:rsid w:val="003065C2"/>
    <w:rsid w:val="003144C5"/>
    <w:rsid w:val="00316C34"/>
    <w:rsid w:val="00317134"/>
    <w:rsid w:val="00320102"/>
    <w:rsid w:val="0032146B"/>
    <w:rsid w:val="00327630"/>
    <w:rsid w:val="0034167B"/>
    <w:rsid w:val="00344720"/>
    <w:rsid w:val="00344C89"/>
    <w:rsid w:val="0034504F"/>
    <w:rsid w:val="00346902"/>
    <w:rsid w:val="00351C48"/>
    <w:rsid w:val="00353551"/>
    <w:rsid w:val="00356F8C"/>
    <w:rsid w:val="00357A04"/>
    <w:rsid w:val="00361D8F"/>
    <w:rsid w:val="00364F31"/>
    <w:rsid w:val="003710B9"/>
    <w:rsid w:val="00374A79"/>
    <w:rsid w:val="00384519"/>
    <w:rsid w:val="003A5FC8"/>
    <w:rsid w:val="003A7F73"/>
    <w:rsid w:val="003B4B13"/>
    <w:rsid w:val="003B5688"/>
    <w:rsid w:val="003C2FCD"/>
    <w:rsid w:val="003C5776"/>
    <w:rsid w:val="003D29B5"/>
    <w:rsid w:val="003D5CA7"/>
    <w:rsid w:val="003E29EF"/>
    <w:rsid w:val="003E4105"/>
    <w:rsid w:val="003E4B30"/>
    <w:rsid w:val="003E4F3F"/>
    <w:rsid w:val="003F7C4A"/>
    <w:rsid w:val="003F7C4B"/>
    <w:rsid w:val="00404319"/>
    <w:rsid w:val="00404E35"/>
    <w:rsid w:val="00405BE8"/>
    <w:rsid w:val="00412C31"/>
    <w:rsid w:val="004153B3"/>
    <w:rsid w:val="00415706"/>
    <w:rsid w:val="004158E5"/>
    <w:rsid w:val="00426B9F"/>
    <w:rsid w:val="0043219A"/>
    <w:rsid w:val="00433ED8"/>
    <w:rsid w:val="00434D77"/>
    <w:rsid w:val="00436CD3"/>
    <w:rsid w:val="00437FF3"/>
    <w:rsid w:val="00443311"/>
    <w:rsid w:val="004460D5"/>
    <w:rsid w:val="004547BE"/>
    <w:rsid w:val="00456809"/>
    <w:rsid w:val="00470AE3"/>
    <w:rsid w:val="00473993"/>
    <w:rsid w:val="00480AB4"/>
    <w:rsid w:val="00482E79"/>
    <w:rsid w:val="00485ECF"/>
    <w:rsid w:val="004908CD"/>
    <w:rsid w:val="004A473F"/>
    <w:rsid w:val="004A62D4"/>
    <w:rsid w:val="004A78B9"/>
    <w:rsid w:val="004B2423"/>
    <w:rsid w:val="004B4BB6"/>
    <w:rsid w:val="004B7746"/>
    <w:rsid w:val="004B7CC9"/>
    <w:rsid w:val="004C04B7"/>
    <w:rsid w:val="004C5719"/>
    <w:rsid w:val="004C5EF7"/>
    <w:rsid w:val="004D6075"/>
    <w:rsid w:val="004E0CAF"/>
    <w:rsid w:val="004E200B"/>
    <w:rsid w:val="004E6601"/>
    <w:rsid w:val="004F0FB0"/>
    <w:rsid w:val="004F2F4D"/>
    <w:rsid w:val="004F6A38"/>
    <w:rsid w:val="0050006F"/>
    <w:rsid w:val="00501FAB"/>
    <w:rsid w:val="00504272"/>
    <w:rsid w:val="00513B87"/>
    <w:rsid w:val="0051719D"/>
    <w:rsid w:val="00530405"/>
    <w:rsid w:val="00530432"/>
    <w:rsid w:val="005367A2"/>
    <w:rsid w:val="0054448C"/>
    <w:rsid w:val="00553513"/>
    <w:rsid w:val="005607BF"/>
    <w:rsid w:val="005646F6"/>
    <w:rsid w:val="00564909"/>
    <w:rsid w:val="00564D93"/>
    <w:rsid w:val="005673C0"/>
    <w:rsid w:val="00567C09"/>
    <w:rsid w:val="00573B82"/>
    <w:rsid w:val="00583AF2"/>
    <w:rsid w:val="00593278"/>
    <w:rsid w:val="0059713D"/>
    <w:rsid w:val="005A19AE"/>
    <w:rsid w:val="005A210C"/>
    <w:rsid w:val="005A6A7D"/>
    <w:rsid w:val="005A6B3A"/>
    <w:rsid w:val="005A72AC"/>
    <w:rsid w:val="005B54B1"/>
    <w:rsid w:val="005C1ABF"/>
    <w:rsid w:val="005C4BA8"/>
    <w:rsid w:val="005C70E2"/>
    <w:rsid w:val="005D2D4C"/>
    <w:rsid w:val="005D5B66"/>
    <w:rsid w:val="005D7C82"/>
    <w:rsid w:val="005E1327"/>
    <w:rsid w:val="005E2BC3"/>
    <w:rsid w:val="005E37ED"/>
    <w:rsid w:val="005E72F5"/>
    <w:rsid w:val="005F185A"/>
    <w:rsid w:val="005F20AE"/>
    <w:rsid w:val="005F3525"/>
    <w:rsid w:val="005F7264"/>
    <w:rsid w:val="00601076"/>
    <w:rsid w:val="006029A9"/>
    <w:rsid w:val="00604038"/>
    <w:rsid w:val="0060448C"/>
    <w:rsid w:val="00604E82"/>
    <w:rsid w:val="00615A83"/>
    <w:rsid w:val="00616E5A"/>
    <w:rsid w:val="0062117E"/>
    <w:rsid w:val="0062135A"/>
    <w:rsid w:val="006275BA"/>
    <w:rsid w:val="0063232F"/>
    <w:rsid w:val="006329E9"/>
    <w:rsid w:val="00634CC5"/>
    <w:rsid w:val="00644404"/>
    <w:rsid w:val="006453E0"/>
    <w:rsid w:val="00645E9F"/>
    <w:rsid w:val="00656AAB"/>
    <w:rsid w:val="00656D00"/>
    <w:rsid w:val="00660C3B"/>
    <w:rsid w:val="00664394"/>
    <w:rsid w:val="006649D0"/>
    <w:rsid w:val="00664EE9"/>
    <w:rsid w:val="00667CC6"/>
    <w:rsid w:val="0067163A"/>
    <w:rsid w:val="0067423B"/>
    <w:rsid w:val="00674990"/>
    <w:rsid w:val="0067537D"/>
    <w:rsid w:val="00675CE3"/>
    <w:rsid w:val="00677706"/>
    <w:rsid w:val="0068433D"/>
    <w:rsid w:val="00684F87"/>
    <w:rsid w:val="00685069"/>
    <w:rsid w:val="00685137"/>
    <w:rsid w:val="00685534"/>
    <w:rsid w:val="00685569"/>
    <w:rsid w:val="00692313"/>
    <w:rsid w:val="00697FB2"/>
    <w:rsid w:val="006A2F90"/>
    <w:rsid w:val="006A6EA1"/>
    <w:rsid w:val="006B3133"/>
    <w:rsid w:val="006B4140"/>
    <w:rsid w:val="006B4300"/>
    <w:rsid w:val="006B476E"/>
    <w:rsid w:val="006B5264"/>
    <w:rsid w:val="006B64DB"/>
    <w:rsid w:val="006C295F"/>
    <w:rsid w:val="006C51ED"/>
    <w:rsid w:val="006D4165"/>
    <w:rsid w:val="006D5709"/>
    <w:rsid w:val="006F3F0C"/>
    <w:rsid w:val="007058AA"/>
    <w:rsid w:val="00710346"/>
    <w:rsid w:val="007125E6"/>
    <w:rsid w:val="00715DDF"/>
    <w:rsid w:val="0072014C"/>
    <w:rsid w:val="00723273"/>
    <w:rsid w:val="00732A77"/>
    <w:rsid w:val="00732BA5"/>
    <w:rsid w:val="00732F9B"/>
    <w:rsid w:val="00733C8E"/>
    <w:rsid w:val="007418CE"/>
    <w:rsid w:val="0074491B"/>
    <w:rsid w:val="007459C1"/>
    <w:rsid w:val="00746E0C"/>
    <w:rsid w:val="0075055F"/>
    <w:rsid w:val="00752074"/>
    <w:rsid w:val="00752976"/>
    <w:rsid w:val="00753C43"/>
    <w:rsid w:val="00756E2D"/>
    <w:rsid w:val="00765FAE"/>
    <w:rsid w:val="0077231A"/>
    <w:rsid w:val="00784973"/>
    <w:rsid w:val="0079652E"/>
    <w:rsid w:val="007A0CC3"/>
    <w:rsid w:val="007A3915"/>
    <w:rsid w:val="007A6138"/>
    <w:rsid w:val="007A673C"/>
    <w:rsid w:val="007B7AA0"/>
    <w:rsid w:val="007C1A49"/>
    <w:rsid w:val="007C2054"/>
    <w:rsid w:val="007C2B4C"/>
    <w:rsid w:val="007C3719"/>
    <w:rsid w:val="007C5251"/>
    <w:rsid w:val="007C7E40"/>
    <w:rsid w:val="007D05DA"/>
    <w:rsid w:val="007D34D2"/>
    <w:rsid w:val="007E1F8D"/>
    <w:rsid w:val="007E393D"/>
    <w:rsid w:val="007E58B1"/>
    <w:rsid w:val="007F0483"/>
    <w:rsid w:val="007F3F0C"/>
    <w:rsid w:val="007F4F05"/>
    <w:rsid w:val="007F687C"/>
    <w:rsid w:val="008023A5"/>
    <w:rsid w:val="008026A6"/>
    <w:rsid w:val="00802D2D"/>
    <w:rsid w:val="00802F6B"/>
    <w:rsid w:val="0080327E"/>
    <w:rsid w:val="00804EB4"/>
    <w:rsid w:val="00806454"/>
    <w:rsid w:val="008074A1"/>
    <w:rsid w:val="00810F9C"/>
    <w:rsid w:val="00815D0F"/>
    <w:rsid w:val="00821743"/>
    <w:rsid w:val="00834732"/>
    <w:rsid w:val="00836FA2"/>
    <w:rsid w:val="00840D88"/>
    <w:rsid w:val="00844102"/>
    <w:rsid w:val="00844AFA"/>
    <w:rsid w:val="00847375"/>
    <w:rsid w:val="00852815"/>
    <w:rsid w:val="008542ED"/>
    <w:rsid w:val="00857061"/>
    <w:rsid w:val="008607A9"/>
    <w:rsid w:val="00864168"/>
    <w:rsid w:val="00864DCE"/>
    <w:rsid w:val="00871AC2"/>
    <w:rsid w:val="00876A06"/>
    <w:rsid w:val="008803E7"/>
    <w:rsid w:val="00880D17"/>
    <w:rsid w:val="008867AE"/>
    <w:rsid w:val="00890DBD"/>
    <w:rsid w:val="00890E14"/>
    <w:rsid w:val="0089200A"/>
    <w:rsid w:val="008920AE"/>
    <w:rsid w:val="008927DA"/>
    <w:rsid w:val="008A5D8F"/>
    <w:rsid w:val="008B172F"/>
    <w:rsid w:val="008B4BBD"/>
    <w:rsid w:val="008B7C3E"/>
    <w:rsid w:val="008C17B9"/>
    <w:rsid w:val="008C6CAA"/>
    <w:rsid w:val="008D4B7C"/>
    <w:rsid w:val="008D6406"/>
    <w:rsid w:val="008E005D"/>
    <w:rsid w:val="008E5FC7"/>
    <w:rsid w:val="008F1456"/>
    <w:rsid w:val="008F5317"/>
    <w:rsid w:val="009005E1"/>
    <w:rsid w:val="0090331B"/>
    <w:rsid w:val="0090568E"/>
    <w:rsid w:val="00910431"/>
    <w:rsid w:val="00911B65"/>
    <w:rsid w:val="00911D8D"/>
    <w:rsid w:val="00913B24"/>
    <w:rsid w:val="0091782E"/>
    <w:rsid w:val="00917961"/>
    <w:rsid w:val="00925131"/>
    <w:rsid w:val="00927B68"/>
    <w:rsid w:val="00933134"/>
    <w:rsid w:val="00933DDE"/>
    <w:rsid w:val="00935421"/>
    <w:rsid w:val="00941446"/>
    <w:rsid w:val="00941C20"/>
    <w:rsid w:val="00942BCC"/>
    <w:rsid w:val="00943B9A"/>
    <w:rsid w:val="00943CAD"/>
    <w:rsid w:val="00944118"/>
    <w:rsid w:val="00962A52"/>
    <w:rsid w:val="0096323D"/>
    <w:rsid w:val="00966139"/>
    <w:rsid w:val="00967ABB"/>
    <w:rsid w:val="009704EF"/>
    <w:rsid w:val="009858FC"/>
    <w:rsid w:val="00986F50"/>
    <w:rsid w:val="00987955"/>
    <w:rsid w:val="0099178D"/>
    <w:rsid w:val="009938B2"/>
    <w:rsid w:val="009A03B0"/>
    <w:rsid w:val="009A3922"/>
    <w:rsid w:val="009A6561"/>
    <w:rsid w:val="009A7EDA"/>
    <w:rsid w:val="009B0DAF"/>
    <w:rsid w:val="009C00D2"/>
    <w:rsid w:val="009C1E49"/>
    <w:rsid w:val="009C59A4"/>
    <w:rsid w:val="009D1597"/>
    <w:rsid w:val="009D4095"/>
    <w:rsid w:val="009D4352"/>
    <w:rsid w:val="009D79E1"/>
    <w:rsid w:val="009D7F11"/>
    <w:rsid w:val="009E7359"/>
    <w:rsid w:val="009F7BFA"/>
    <w:rsid w:val="00A02B39"/>
    <w:rsid w:val="00A037F3"/>
    <w:rsid w:val="00A04527"/>
    <w:rsid w:val="00A05931"/>
    <w:rsid w:val="00A062D5"/>
    <w:rsid w:val="00A11DC0"/>
    <w:rsid w:val="00A121F0"/>
    <w:rsid w:val="00A12790"/>
    <w:rsid w:val="00A1361B"/>
    <w:rsid w:val="00A22FF8"/>
    <w:rsid w:val="00A2529F"/>
    <w:rsid w:val="00A27222"/>
    <w:rsid w:val="00A33393"/>
    <w:rsid w:val="00A33DCB"/>
    <w:rsid w:val="00A3476D"/>
    <w:rsid w:val="00A3563F"/>
    <w:rsid w:val="00A37091"/>
    <w:rsid w:val="00A41C22"/>
    <w:rsid w:val="00A41F74"/>
    <w:rsid w:val="00A459EA"/>
    <w:rsid w:val="00A4632D"/>
    <w:rsid w:val="00A46BF2"/>
    <w:rsid w:val="00A470FF"/>
    <w:rsid w:val="00A50491"/>
    <w:rsid w:val="00A50599"/>
    <w:rsid w:val="00A51997"/>
    <w:rsid w:val="00A5344A"/>
    <w:rsid w:val="00A60402"/>
    <w:rsid w:val="00A66145"/>
    <w:rsid w:val="00A66A4D"/>
    <w:rsid w:val="00A7123E"/>
    <w:rsid w:val="00A715FA"/>
    <w:rsid w:val="00A7182B"/>
    <w:rsid w:val="00A71BFC"/>
    <w:rsid w:val="00A721A8"/>
    <w:rsid w:val="00A7256B"/>
    <w:rsid w:val="00A74610"/>
    <w:rsid w:val="00A765D7"/>
    <w:rsid w:val="00A838A8"/>
    <w:rsid w:val="00AA7B79"/>
    <w:rsid w:val="00AB1198"/>
    <w:rsid w:val="00AB4F7E"/>
    <w:rsid w:val="00AB7BB4"/>
    <w:rsid w:val="00AC1E54"/>
    <w:rsid w:val="00AC1F13"/>
    <w:rsid w:val="00AC3C9B"/>
    <w:rsid w:val="00AD1BBB"/>
    <w:rsid w:val="00AD22C7"/>
    <w:rsid w:val="00AD3A71"/>
    <w:rsid w:val="00AD5B99"/>
    <w:rsid w:val="00AE5782"/>
    <w:rsid w:val="00AF0589"/>
    <w:rsid w:val="00AF16A9"/>
    <w:rsid w:val="00AF58C9"/>
    <w:rsid w:val="00AF5F17"/>
    <w:rsid w:val="00B0289A"/>
    <w:rsid w:val="00B07769"/>
    <w:rsid w:val="00B1234D"/>
    <w:rsid w:val="00B13ED9"/>
    <w:rsid w:val="00B15B25"/>
    <w:rsid w:val="00B25A34"/>
    <w:rsid w:val="00B26C8E"/>
    <w:rsid w:val="00B30719"/>
    <w:rsid w:val="00B310DD"/>
    <w:rsid w:val="00B32E2B"/>
    <w:rsid w:val="00B3575E"/>
    <w:rsid w:val="00B40C15"/>
    <w:rsid w:val="00B51B08"/>
    <w:rsid w:val="00B56666"/>
    <w:rsid w:val="00B57925"/>
    <w:rsid w:val="00B5795B"/>
    <w:rsid w:val="00B63937"/>
    <w:rsid w:val="00B661ED"/>
    <w:rsid w:val="00B72317"/>
    <w:rsid w:val="00B83246"/>
    <w:rsid w:val="00B860FA"/>
    <w:rsid w:val="00BA18B3"/>
    <w:rsid w:val="00BB0163"/>
    <w:rsid w:val="00BB47A4"/>
    <w:rsid w:val="00BD2A8E"/>
    <w:rsid w:val="00BD30E9"/>
    <w:rsid w:val="00BE3255"/>
    <w:rsid w:val="00BE6457"/>
    <w:rsid w:val="00BF2AC8"/>
    <w:rsid w:val="00BF5BCB"/>
    <w:rsid w:val="00BF64CC"/>
    <w:rsid w:val="00C00D40"/>
    <w:rsid w:val="00C07926"/>
    <w:rsid w:val="00C1298B"/>
    <w:rsid w:val="00C137D4"/>
    <w:rsid w:val="00C16F12"/>
    <w:rsid w:val="00C230F8"/>
    <w:rsid w:val="00C25ABD"/>
    <w:rsid w:val="00C265F9"/>
    <w:rsid w:val="00C3117A"/>
    <w:rsid w:val="00C321CD"/>
    <w:rsid w:val="00C34A89"/>
    <w:rsid w:val="00C360D2"/>
    <w:rsid w:val="00C42CCC"/>
    <w:rsid w:val="00C431C8"/>
    <w:rsid w:val="00C43D77"/>
    <w:rsid w:val="00C50B6E"/>
    <w:rsid w:val="00C520A5"/>
    <w:rsid w:val="00C534C4"/>
    <w:rsid w:val="00C552E3"/>
    <w:rsid w:val="00C569B4"/>
    <w:rsid w:val="00C63C76"/>
    <w:rsid w:val="00C80161"/>
    <w:rsid w:val="00C82CD4"/>
    <w:rsid w:val="00C90379"/>
    <w:rsid w:val="00C90BD3"/>
    <w:rsid w:val="00C93E76"/>
    <w:rsid w:val="00C94F79"/>
    <w:rsid w:val="00CA46E5"/>
    <w:rsid w:val="00CA639A"/>
    <w:rsid w:val="00CB3486"/>
    <w:rsid w:val="00CB4137"/>
    <w:rsid w:val="00CB5930"/>
    <w:rsid w:val="00CC46B6"/>
    <w:rsid w:val="00CC7176"/>
    <w:rsid w:val="00CD02C6"/>
    <w:rsid w:val="00CD0D47"/>
    <w:rsid w:val="00CD38E1"/>
    <w:rsid w:val="00CD3EE9"/>
    <w:rsid w:val="00CD4712"/>
    <w:rsid w:val="00CE00BB"/>
    <w:rsid w:val="00CE145D"/>
    <w:rsid w:val="00CE615D"/>
    <w:rsid w:val="00CF036D"/>
    <w:rsid w:val="00CF49D0"/>
    <w:rsid w:val="00CF57F3"/>
    <w:rsid w:val="00CF661E"/>
    <w:rsid w:val="00D00036"/>
    <w:rsid w:val="00D02158"/>
    <w:rsid w:val="00D101DC"/>
    <w:rsid w:val="00D108C4"/>
    <w:rsid w:val="00D10F1A"/>
    <w:rsid w:val="00D117CE"/>
    <w:rsid w:val="00D12BEA"/>
    <w:rsid w:val="00D15399"/>
    <w:rsid w:val="00D23989"/>
    <w:rsid w:val="00D256F2"/>
    <w:rsid w:val="00D258CD"/>
    <w:rsid w:val="00D30ABB"/>
    <w:rsid w:val="00D363E3"/>
    <w:rsid w:val="00D36B97"/>
    <w:rsid w:val="00D40A9B"/>
    <w:rsid w:val="00D40C28"/>
    <w:rsid w:val="00D423C3"/>
    <w:rsid w:val="00D52716"/>
    <w:rsid w:val="00D53B6B"/>
    <w:rsid w:val="00D544DA"/>
    <w:rsid w:val="00D570F5"/>
    <w:rsid w:val="00D6215D"/>
    <w:rsid w:val="00D63E3E"/>
    <w:rsid w:val="00D71054"/>
    <w:rsid w:val="00D72719"/>
    <w:rsid w:val="00D73CDE"/>
    <w:rsid w:val="00D836E3"/>
    <w:rsid w:val="00D848EC"/>
    <w:rsid w:val="00D910AE"/>
    <w:rsid w:val="00D91A34"/>
    <w:rsid w:val="00D93875"/>
    <w:rsid w:val="00D93AD8"/>
    <w:rsid w:val="00DA02FA"/>
    <w:rsid w:val="00DA1412"/>
    <w:rsid w:val="00DA3BFC"/>
    <w:rsid w:val="00DA4433"/>
    <w:rsid w:val="00DB435A"/>
    <w:rsid w:val="00DB70E4"/>
    <w:rsid w:val="00DC0FB8"/>
    <w:rsid w:val="00DC2474"/>
    <w:rsid w:val="00DC62DF"/>
    <w:rsid w:val="00DD1B00"/>
    <w:rsid w:val="00DD322B"/>
    <w:rsid w:val="00DE6C0F"/>
    <w:rsid w:val="00DE7D71"/>
    <w:rsid w:val="00DF0011"/>
    <w:rsid w:val="00DF6206"/>
    <w:rsid w:val="00E101B6"/>
    <w:rsid w:val="00E10C28"/>
    <w:rsid w:val="00E11BF7"/>
    <w:rsid w:val="00E127BC"/>
    <w:rsid w:val="00E150BA"/>
    <w:rsid w:val="00E20851"/>
    <w:rsid w:val="00E22C3F"/>
    <w:rsid w:val="00E23559"/>
    <w:rsid w:val="00E24ADE"/>
    <w:rsid w:val="00E338E4"/>
    <w:rsid w:val="00E35C46"/>
    <w:rsid w:val="00E42F2E"/>
    <w:rsid w:val="00E43F21"/>
    <w:rsid w:val="00E44556"/>
    <w:rsid w:val="00E44A2D"/>
    <w:rsid w:val="00E45CD9"/>
    <w:rsid w:val="00E54601"/>
    <w:rsid w:val="00E54710"/>
    <w:rsid w:val="00E603F1"/>
    <w:rsid w:val="00E61A18"/>
    <w:rsid w:val="00E640E8"/>
    <w:rsid w:val="00E7160D"/>
    <w:rsid w:val="00E7193C"/>
    <w:rsid w:val="00E76102"/>
    <w:rsid w:val="00E82AAA"/>
    <w:rsid w:val="00E9421C"/>
    <w:rsid w:val="00E97DA1"/>
    <w:rsid w:val="00EA2CC5"/>
    <w:rsid w:val="00EA344A"/>
    <w:rsid w:val="00EA3C67"/>
    <w:rsid w:val="00EA5CD6"/>
    <w:rsid w:val="00EB05B2"/>
    <w:rsid w:val="00EB0BB2"/>
    <w:rsid w:val="00EB115B"/>
    <w:rsid w:val="00EB1B91"/>
    <w:rsid w:val="00EB331C"/>
    <w:rsid w:val="00EC3D48"/>
    <w:rsid w:val="00ED4F82"/>
    <w:rsid w:val="00EE2EA0"/>
    <w:rsid w:val="00EE6D78"/>
    <w:rsid w:val="00EE727C"/>
    <w:rsid w:val="00EF372F"/>
    <w:rsid w:val="00EF4F5F"/>
    <w:rsid w:val="00EF67CB"/>
    <w:rsid w:val="00EF7DBA"/>
    <w:rsid w:val="00F0024F"/>
    <w:rsid w:val="00F01D63"/>
    <w:rsid w:val="00F04642"/>
    <w:rsid w:val="00F07318"/>
    <w:rsid w:val="00F109A3"/>
    <w:rsid w:val="00F11BDD"/>
    <w:rsid w:val="00F14CB9"/>
    <w:rsid w:val="00F25838"/>
    <w:rsid w:val="00F26195"/>
    <w:rsid w:val="00F2783D"/>
    <w:rsid w:val="00F40064"/>
    <w:rsid w:val="00F42C58"/>
    <w:rsid w:val="00F46948"/>
    <w:rsid w:val="00F503C7"/>
    <w:rsid w:val="00F60A06"/>
    <w:rsid w:val="00F679E3"/>
    <w:rsid w:val="00F71830"/>
    <w:rsid w:val="00F748D1"/>
    <w:rsid w:val="00F773C9"/>
    <w:rsid w:val="00F80696"/>
    <w:rsid w:val="00F82C4B"/>
    <w:rsid w:val="00F84D67"/>
    <w:rsid w:val="00F85E0E"/>
    <w:rsid w:val="00F91E50"/>
    <w:rsid w:val="00F91F98"/>
    <w:rsid w:val="00F93A67"/>
    <w:rsid w:val="00F9561D"/>
    <w:rsid w:val="00FA12A5"/>
    <w:rsid w:val="00FA31BC"/>
    <w:rsid w:val="00FA5C9B"/>
    <w:rsid w:val="00FA6E99"/>
    <w:rsid w:val="00FC045F"/>
    <w:rsid w:val="00FC4BE1"/>
    <w:rsid w:val="00FC4E5A"/>
    <w:rsid w:val="00FD0323"/>
    <w:rsid w:val="00FD13D3"/>
    <w:rsid w:val="00FD412C"/>
    <w:rsid w:val="00FD4ED6"/>
    <w:rsid w:val="00FD5188"/>
    <w:rsid w:val="00FD71A1"/>
    <w:rsid w:val="00FD78E3"/>
    <w:rsid w:val="00FE1E22"/>
    <w:rsid w:val="00FE2494"/>
    <w:rsid w:val="00FE53F9"/>
    <w:rsid w:val="00FF0855"/>
    <w:rsid w:val="00FF2EA1"/>
    <w:rsid w:val="00FF4FAB"/>
    <w:rsid w:val="00FF77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60</Pages>
  <Words>13032</Words>
  <Characters>74283</Characters>
  <Application>Microsoft Office Word</Application>
  <DocSecurity>0</DocSecurity>
  <Lines>619</Lines>
  <Paragraphs>174</Paragraphs>
  <ScaleCrop>false</ScaleCrop>
  <Company/>
  <LinksUpToDate>false</LinksUpToDate>
  <CharactersWithSpaces>87141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665</cp:revision>
  <dcterms:created xsi:type="dcterms:W3CDTF">2025-05-23T05:28:00Z</dcterms:created>
  <dcterms:modified xsi:type="dcterms:W3CDTF">2025-05-27T15:46:00Z</dcterms:modified>
</cp:coreProperties>
</file>