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2E0F6" w14:textId="09AF87A6" w:rsidR="00D363E3" w:rsidRDefault="00D363E3" w:rsidP="00E54710">
      <w:pPr>
        <w:pStyle w:val="2"/>
      </w:pPr>
      <w:r w:rsidRPr="00D363E3">
        <w:t>TECHNOLOGY AFFORDANCES William W. Gaver Rank Xerox Cambridge EuroPARC</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perception and action, metaphor and learning, and techniques for input and output. A simple example from everyday life can illustrate the sorts of issues that </w:t>
      </w:r>
      <w:r w:rsidRPr="00243783">
        <w:lastRenderedPageBreak/>
        <w:t>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37091">
        <w:t>可供性本身（</w:t>
      </w:r>
      <w:r w:rsidRPr="00A37091">
        <w:rPr>
          <w:i/>
          <w:iCs/>
        </w:rPr>
        <w:t>Affordances per se</w:t>
      </w:r>
      <w:r w:rsidRPr="00A37091">
        <w:t>）是獨立於感知而存在的。無論感知者是否在意它們、是否真的感知到它們，甚至是否有可供感知的資訊存在，它們都會存在。</w:t>
      </w:r>
      <w:r w:rsidR="00F60A06" w:rsidRPr="00F60A06">
        <w:t>例如，一杯水即便我不口渴，仍提供「可飲用」的可供性；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A37091">
        <w:t xml:space="preserve"> Gibson </w:t>
      </w:r>
      <w:r w:rsidRPr="00A37091">
        <w:t>的立場，強調：</w:t>
      </w:r>
      <w:r w:rsidRPr="00A37091">
        <w:rPr>
          <w:b/>
          <w:bCs/>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Culture, Experience to attributes and Learning of the The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t xml:space="preserve">Distinguishing affordances and the available information about them from their </w:t>
      </w:r>
      <w:r w:rsidRPr="00DC2474">
        <w:lastRenderedPageBreak/>
        <w:t>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Default="00292C76" w:rsidP="00E76102">
      <w:r>
        <w:rPr>
          <w:rFonts w:hint="eastAsia"/>
        </w:rPr>
        <w:t>物質特性、物理性、物質性</w:t>
      </w:r>
    </w:p>
    <w:p w14:paraId="4E06D636" w14:textId="7075A963" w:rsidR="00292C76" w:rsidRDefault="00D910AE" w:rsidP="00E76102">
      <w:pPr>
        <w:rPr>
          <w:rFonts w:hint="eastAsia"/>
        </w:rPr>
      </w:pPr>
      <w:r w:rsidRPr="00D910AE">
        <w:rPr>
          <w:b/>
          <w:bCs/>
        </w:rPr>
        <w:t>Affordances Are...</w:t>
      </w:r>
      <w:r w:rsidRPr="00D910AE">
        <w:br/>
        <w:t>The concept of affordances points to a rather special configuration of properties.</w:t>
      </w:r>
    </w:p>
    <w:p w14:paraId="781BF96F" w14:textId="10F6CB49" w:rsidR="007B7AA0" w:rsidRDefault="00D910AE" w:rsidP="00E76102">
      <w:r w:rsidRPr="00D910AE">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7E58B1">
        <w:t xml:space="preserve"> </w:t>
      </w:r>
      <w:r w:rsidR="007E58B1" w:rsidRPr="007E58B1">
        <w:t>可供性的概念指涉的是一種相當特殊的屬性組合。</w:t>
      </w:r>
      <w:r w:rsidR="007E58B1" w:rsidRPr="007E58B1">
        <w:br/>
      </w:r>
      <w:r w:rsidR="007E58B1" w:rsidRPr="007E58B1">
        <w:t>它暗示了：</w:t>
      </w:r>
      <w:r w:rsidR="007E58B1" w:rsidRPr="009C1E49">
        <w:rPr>
          <w:color w:val="EE0000"/>
        </w:rPr>
        <w:t>被作用的物體之物理屬性，需與行動者的屬性相容；關於這些屬性的資訊，必須以與感知系統相容的形式呈現</w:t>
      </w:r>
      <w:r w:rsidR="009C1E49">
        <w:rPr>
          <w:rFonts w:hint="eastAsia"/>
        </w:rPr>
        <w:t>【這與</w:t>
      </w:r>
      <w:r w:rsidR="00F80696">
        <w:rPr>
          <w:rFonts w:hint="eastAsia"/>
        </w:rPr>
        <w:t>Gibson</w:t>
      </w:r>
      <w:r w:rsidR="00F80696">
        <w:rPr>
          <w:rFonts w:hint="eastAsia"/>
        </w:rPr>
        <w:t>提的</w:t>
      </w:r>
      <w:r w:rsidR="00AC1E54">
        <w:rPr>
          <w:rFonts w:hint="eastAsia"/>
        </w:rPr>
        <w:t>：</w:t>
      </w:r>
      <w:r w:rsidR="009C1E49">
        <w:rPr>
          <w:rFonts w:hint="eastAsia"/>
        </w:rPr>
        <w:t>相對性互補性有關聯</w:t>
      </w:r>
      <w:r w:rsidR="00DA4433">
        <w:rPr>
          <w:rFonts w:hint="eastAsia"/>
        </w:rPr>
        <w:t>？</w:t>
      </w:r>
      <w:r w:rsidR="009C1E49">
        <w:rPr>
          <w:rFonts w:hint="eastAsia"/>
        </w:rPr>
        <w:t>】</w:t>
      </w:r>
      <w:r w:rsidR="007E58B1" w:rsidRPr="007E58B1">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pPr>
        <w:rPr>
          <w:rFonts w:hint="eastAsia"/>
        </w:rPr>
      </w:pPr>
      <w:r w:rsidRPr="0074491B">
        <w:t>And again, perceptual information may be misleading about the affordances of buttons; in this case the ability to move or edit buttons is not supported perceptually.</w:t>
      </w:r>
      <w:r w:rsidR="000A6869" w:rsidRPr="000A6869">
        <w:t xml:space="preserve"> </w:t>
      </w:r>
      <w:r w:rsidR="000A6869" w:rsidRPr="000A6869">
        <w:t>然而，再次提醒：關於按鈕的可供性，感知所提供的資訊有時可</w:t>
      </w:r>
      <w:r w:rsidR="000A6869" w:rsidRPr="000A6869">
        <w:lastRenderedPageBreak/>
        <w:t>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pPr>
        <w:rPr>
          <w:rFonts w:hint="eastAsia"/>
        </w:rPr>
      </w:pPr>
      <w:r w:rsidRPr="00A02B39">
        <w:t xml:space="preserve">This point of view leads to a reconception of metaphor which emphasizes its role as a design tool for importing consistent affordances from one domain to </w:t>
      </w:r>
      <w:r w:rsidRPr="00A02B39">
        <w:lastRenderedPageBreak/>
        <w:t>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作為一種分析科技的方式，可供性能幫助我們探索物件內在的心理主張與設計背後的理據。更廣義而言，若能在設計過程中明確考慮可供性，有助於提出提升新產品可用性的策略與方法。</w:t>
      </w:r>
    </w:p>
    <w:p w14:paraId="1635B757" w14:textId="77777777" w:rsidR="00AB4F7E" w:rsidRDefault="00AB4F7E" w:rsidP="00E76102"/>
    <w:p w14:paraId="66FBAC95" w14:textId="1FE81265" w:rsidR="00AB4F7E" w:rsidRPr="00AB4F7E" w:rsidRDefault="00E35C46" w:rsidP="00E76102">
      <w:pPr>
        <w:rPr>
          <w:rFonts w:hint="eastAsia"/>
        </w:rPr>
      </w:pPr>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5CE24384"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理論的延伸與整合討論</w:t>
      </w:r>
    </w:p>
    <w:p w14:paraId="1D2AFA9E" w14:textId="77777777" w:rsidR="00A1361B" w:rsidRDefault="00A1361B" w:rsidP="00A1361B"/>
    <w:p w14:paraId="33A836E1" w14:textId="69FAD7E8" w:rsidR="0067163A" w:rsidRDefault="0067163A" w:rsidP="00A1361B">
      <w:pPr>
        <w:pStyle w:val="a9"/>
        <w:numPr>
          <w:ilvl w:val="0"/>
          <w:numId w:val="7"/>
        </w:numPr>
        <w:rPr>
          <w:rFonts w:hint="eastAsia"/>
        </w:r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rPr>
          <w:rFonts w:hint="eastAsia"/>
        </w:r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Default="005A72AC" w:rsidP="004B59C3">
      <w:pPr>
        <w:pStyle w:val="a9"/>
        <w:numPr>
          <w:ilvl w:val="0"/>
          <w:numId w:val="7"/>
        </w:numPr>
      </w:pPr>
      <w:r w:rsidRPr="005A72AC">
        <w:t>感知可供性</w:t>
      </w:r>
      <w:r>
        <w:rPr>
          <w:rFonts w:hint="eastAsia"/>
        </w:rPr>
        <w:t>：</w:t>
      </w:r>
      <w:r w:rsidRPr="005A72AC">
        <w:t>直接感知與辨識</w:t>
      </w:r>
      <w:r>
        <w:rPr>
          <w:rFonts w:hint="eastAsia"/>
        </w:rPr>
        <w:t>、</w:t>
      </w:r>
      <w:r w:rsidRPr="005A72AC">
        <w:t>支持</w:t>
      </w:r>
      <w:r w:rsidRPr="005A72AC">
        <w:t xml:space="preserve"> Neisser </w:t>
      </w:r>
      <w:r w:rsidRPr="005A72AC">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33EF3FAD" w14:textId="77777777" w:rsidR="00EA2CC5" w:rsidRDefault="00EA2CC5" w:rsidP="00B0289A"/>
    <w:p w14:paraId="02899545" w14:textId="04476A86" w:rsidR="00B0289A" w:rsidRDefault="00B0289A" w:rsidP="00BF64CC">
      <w:pPr>
        <w:pStyle w:val="2"/>
      </w:pPr>
      <w:r w:rsidRPr="00B0289A">
        <w:lastRenderedPageBreak/>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pPr>
        <w:rPr>
          <w:rFonts w:hint="eastAsia"/>
        </w:rPr>
      </w:pPr>
      <w:r w:rsidRPr="001944A4">
        <w:t xml:space="preserve">Hutchby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365E208E" w:rsidR="00D30ABB" w:rsidRPr="00D30ABB" w:rsidRDefault="00D30ABB" w:rsidP="00D30ABB">
      <w:r w:rsidRPr="00D30ABB">
        <w:t xml:space="preserve">Gibson </w:t>
      </w:r>
      <w:r w:rsidRPr="00D30ABB">
        <w:t>的定義為「</w:t>
      </w:r>
      <w:r w:rsidRPr="00D30ABB">
        <w:t>the affordances of the environment are what it offers the animal, what it provides or furnishes, either for good or ill</w:t>
      </w:r>
      <w:r w:rsidRPr="00D30ABB">
        <w:t>」</w:t>
      </w:r>
    </w:p>
    <w:p w14:paraId="6440E711" w14:textId="77777777" w:rsidR="00A22FF8" w:rsidRPr="00A22FF8" w:rsidRDefault="00A22FF8" w:rsidP="00A22FF8">
      <w:r w:rsidRPr="00A22FF8">
        <w:t xml:space="preserve">  Hutchby </w:t>
      </w:r>
      <w:r w:rsidRPr="00A22FF8">
        <w:t>提議將可供性運用於對科技互動過程的分析，尤其是話語分析與會話分析中。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Pr="00746E0C" w:rsidRDefault="00746E0C" w:rsidP="00746E0C">
      <w:r w:rsidRPr="00746E0C">
        <w:t xml:space="preserve">  </w:t>
      </w:r>
      <w:r w:rsidRPr="00746E0C">
        <w:t>可供性提供了兼具「物質性」與「社會互動性」的分析工具，可作為中介概念來連結技術條件與社會行動之間的關係。</w:t>
      </w:r>
    </w:p>
    <w:p w14:paraId="13106078" w14:textId="77777777" w:rsidR="00746E0C" w:rsidRPr="00746E0C" w:rsidRDefault="00746E0C" w:rsidP="00746E0C">
      <w:r w:rsidRPr="00746E0C">
        <w:t xml:space="preserve">  </w:t>
      </w:r>
      <w:r w:rsidRPr="00746E0C">
        <w:t>提醒我們科技不是中性的，也不是全然受社會建構決定的。</w:t>
      </w:r>
    </w:p>
    <w:p w14:paraId="1FD73BE8" w14:textId="77777777" w:rsidR="00746E0C" w:rsidRPr="00A22FF8" w:rsidRDefault="00746E0C" w:rsidP="00A22FF8">
      <w:pPr>
        <w:rPr>
          <w:rFonts w:hint="eastAsia"/>
        </w:rPr>
      </w:pPr>
    </w:p>
    <w:p w14:paraId="31C869AB" w14:textId="77777777" w:rsidR="0034167B" w:rsidRPr="00746E0C" w:rsidRDefault="0034167B"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 xml:space="preserve">“the affordances of the environment are what it offers the animal, what it </w:t>
      </w:r>
      <w:r w:rsidRPr="000A778D">
        <w:lastRenderedPageBreak/>
        <w:t>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“the affordances of media technologies make possible a range of practices while also constraining others.”</w:t>
      </w:r>
    </w:p>
    <w:p w14:paraId="0D637EAF" w14:textId="77777777" w:rsidR="0034167B" w:rsidRPr="000A778D" w:rsidRDefault="0034167B" w:rsidP="00E76102">
      <w:pPr>
        <w:rPr>
          <w:rFonts w:hint="eastAsia"/>
        </w:rPr>
      </w:pPr>
    </w:p>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pPr>
        <w:rPr>
          <w:rFonts w:hint="eastAsia"/>
        </w:rPr>
      </w:pPr>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58DF9684" w:rsidR="00123811" w:rsidRPr="000E24FD" w:rsidRDefault="00123811" w:rsidP="00E76102">
      <w:pPr>
        <w:rPr>
          <w:rFonts w:hint="eastAsia"/>
        </w:rPr>
      </w:pPr>
      <w:r>
        <w:rPr>
          <w:rFonts w:hint="eastAsia"/>
        </w:rPr>
        <w:t>１２３４５６</w:t>
      </w:r>
    </w:p>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Norman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BD30E9" w:rsidRDefault="00BD30E9" w:rsidP="00BD30E9">
      <w:pPr>
        <w:widowControl/>
        <w:rPr>
          <w:b/>
          <w:bCs/>
        </w:rPr>
      </w:pPr>
      <w:r w:rsidRPr="00BD30E9">
        <w:rPr>
          <w:b/>
          <w:bCs/>
        </w:rPr>
        <w:t>To Gibson, affordances are relationships. They exist naturally: they do not have to be visible, known, or desirable.</w:t>
      </w:r>
    </w:p>
    <w:p w14:paraId="1663E1D0" w14:textId="77777777" w:rsidR="00BD30E9" w:rsidRPr="00BD30E9" w:rsidRDefault="00BD30E9" w:rsidP="00BD30E9">
      <w:pPr>
        <w:widowControl/>
        <w:rPr>
          <w:b/>
          <w:bCs/>
        </w:rPr>
      </w:pPr>
      <w:r w:rsidRPr="00BD30E9">
        <w:rPr>
          <w:b/>
          <w:bCs/>
        </w:rPr>
        <w:t>對</w:t>
      </w:r>
      <w:r w:rsidRPr="00BD30E9">
        <w:rPr>
          <w:b/>
          <w:bCs/>
        </w:rPr>
        <w:t xml:space="preserve"> Gibson </w:t>
      </w:r>
      <w:r w:rsidRPr="00BD30E9">
        <w:rPr>
          <w:b/>
          <w:bCs/>
        </w:rPr>
        <w:t>而言，可供性是一種關係。它們自然存在，不必是可見的、已知的，或具吸引力的。</w:t>
      </w:r>
    </w:p>
    <w:p w14:paraId="10DAA63B" w14:textId="77777777" w:rsidR="00BD30E9" w:rsidRDefault="00BD30E9" w:rsidP="00BD30E9">
      <w:pPr>
        <w:widowControl/>
        <w:rPr>
          <w:b/>
          <w:bCs/>
        </w:rPr>
      </w:pPr>
      <w:r w:rsidRPr="00BD30E9">
        <w:rPr>
          <w:rFonts w:ascii="Segoe UI Emoji" w:hAnsi="Segoe UI Emoji" w:cs="Segoe UI Emoji"/>
          <w:b/>
          <w:bCs/>
        </w:rPr>
        <w:t>📝</w:t>
      </w:r>
      <w:r w:rsidRPr="00BD30E9">
        <w:rPr>
          <w:b/>
          <w:bCs/>
        </w:rPr>
        <w:t>這裡強調</w:t>
      </w:r>
      <w:r w:rsidRPr="00BD30E9">
        <w:rPr>
          <w:b/>
          <w:bCs/>
        </w:rPr>
        <w:t xml:space="preserve"> Gibson </w:t>
      </w:r>
      <w:r w:rsidRPr="00BD30E9">
        <w:rPr>
          <w:b/>
          <w:bCs/>
        </w:rPr>
        <w:t>認為</w:t>
      </w:r>
      <w:r w:rsidRPr="00BD30E9">
        <w:rPr>
          <w:b/>
          <w:bCs/>
        </w:rPr>
        <w:t xml:space="preserve"> affordance </w:t>
      </w:r>
      <w:r w:rsidRPr="00BD30E9">
        <w:rPr>
          <w:b/>
          <w:bCs/>
        </w:rPr>
        <w:t>是一種自然存在的「環境</w:t>
      </w:r>
      <w:r w:rsidRPr="00BD30E9">
        <w:rPr>
          <w:b/>
          <w:bCs/>
        </w:rPr>
        <w:t>—</w:t>
      </w:r>
      <w:r w:rsidRPr="00BD30E9">
        <w:rPr>
          <w:b/>
          <w:bCs/>
        </w:rPr>
        <w:t>行動者」關係，不依賴主觀認知即可存在。</w:t>
      </w:r>
    </w:p>
    <w:p w14:paraId="3B827A4B" w14:textId="77777777" w:rsidR="00667CC6" w:rsidRDefault="00667CC6" w:rsidP="00BD30E9">
      <w:pPr>
        <w:widowControl/>
        <w:rPr>
          <w:b/>
          <w:bCs/>
        </w:rPr>
      </w:pPr>
    </w:p>
    <w:p w14:paraId="0D72475F" w14:textId="77777777" w:rsidR="00667CC6" w:rsidRPr="00667CC6" w:rsidRDefault="00667CC6" w:rsidP="00667CC6">
      <w:pPr>
        <w:widowControl/>
        <w:rPr>
          <w:b/>
          <w:bCs/>
        </w:rPr>
      </w:pPr>
      <w:r w:rsidRPr="00667CC6">
        <w:rPr>
          <w:b/>
          <w:bCs/>
        </w:rPr>
        <w:t>I originally hated the idea: it didn’t make sense. I cared about processing mechanisms, and Gibson waved them off as irrelevant.</w:t>
      </w:r>
    </w:p>
    <w:p w14:paraId="7428C64C" w14:textId="77777777" w:rsidR="00667CC6" w:rsidRPr="00667CC6" w:rsidRDefault="00667CC6" w:rsidP="00667CC6">
      <w:pPr>
        <w:widowControl/>
        <w:rPr>
          <w:b/>
          <w:bCs/>
        </w:rPr>
      </w:pPr>
      <w:r w:rsidRPr="00667CC6">
        <w:rPr>
          <w:b/>
          <w:bCs/>
        </w:rPr>
        <w:t>我一開始討厭這個概念，因為它讓我無法理解。我關注的是訊息處理的機制，而</w:t>
      </w:r>
      <w:r w:rsidRPr="00667CC6">
        <w:rPr>
          <w:b/>
          <w:bCs/>
        </w:rPr>
        <w:t xml:space="preserve"> Gibson </w:t>
      </w:r>
      <w:r w:rsidRPr="00667CC6">
        <w:rPr>
          <w:b/>
          <w:bCs/>
        </w:rPr>
        <w:t>卻一概視其為無關緊要。</w:t>
      </w:r>
    </w:p>
    <w:p w14:paraId="5B4C5A0D" w14:textId="77777777" w:rsidR="00667CC6" w:rsidRPr="00667CC6" w:rsidRDefault="00667CC6" w:rsidP="00667CC6">
      <w:pPr>
        <w:widowControl/>
        <w:rPr>
          <w:b/>
          <w:bCs/>
        </w:rPr>
      </w:pPr>
      <w:r w:rsidRPr="00667CC6">
        <w:rPr>
          <w:rFonts w:ascii="Segoe UI Emoji" w:hAnsi="Segoe UI Emoji" w:cs="Segoe UI Emoji"/>
          <w:b/>
          <w:bCs/>
        </w:rPr>
        <w:t>📝</w:t>
      </w:r>
      <w:r w:rsidRPr="00667CC6">
        <w:rPr>
          <w:b/>
          <w:bCs/>
        </w:rPr>
        <w:t xml:space="preserve">Norman </w:t>
      </w:r>
      <w:r w:rsidRPr="00667CC6">
        <w:rPr>
          <w:b/>
          <w:bCs/>
        </w:rPr>
        <w:t>表達他一開始對</w:t>
      </w:r>
      <w:r w:rsidRPr="00667CC6">
        <w:rPr>
          <w:b/>
          <w:bCs/>
        </w:rPr>
        <w:t xml:space="preserve"> Gibson </w:t>
      </w:r>
      <w:r w:rsidRPr="00667CC6">
        <w:rPr>
          <w:b/>
          <w:bCs/>
        </w:rPr>
        <w:t>忽略訊息處理機制的立場不以為然。</w:t>
      </w:r>
    </w:p>
    <w:p w14:paraId="1B3F7156" w14:textId="77777777" w:rsidR="00667CC6" w:rsidRDefault="00667CC6" w:rsidP="00BD30E9">
      <w:pPr>
        <w:widowControl/>
        <w:rPr>
          <w:b/>
          <w:bCs/>
        </w:rPr>
      </w:pPr>
    </w:p>
    <w:p w14:paraId="6CCFD1B0" w14:textId="2F0C4D29" w:rsidR="009858FC" w:rsidRPr="001A1457" w:rsidRDefault="001A1457" w:rsidP="009858FC">
      <w:pPr>
        <w:widowControl/>
        <w:rPr>
          <w:b/>
          <w:bCs/>
        </w:rPr>
      </w:pPr>
      <w:r w:rsidRPr="001A1457">
        <w:rPr>
          <w:b/>
          <w:bCs/>
        </w:rPr>
        <w:t>A major theme of POET was the attempt to understand how we managed in a world of tens of thousands of objects, many of which we would encounter only once.</w:t>
      </w:r>
      <w:r w:rsidR="009858FC">
        <w:rPr>
          <w:rFonts w:hint="eastAsia"/>
          <w:b/>
          <w:bCs/>
        </w:rPr>
        <w:t xml:space="preserve"> </w:t>
      </w:r>
      <w:r w:rsidRPr="001A1457">
        <w:rPr>
          <w:b/>
          <w:bCs/>
        </w:rPr>
        <w:t>When you first see something you have never seen before, how do you know what to do?</w:t>
      </w:r>
      <w:r w:rsidR="009858FC" w:rsidRPr="009858FC">
        <w:rPr>
          <w:b/>
          <w:bCs/>
        </w:rPr>
        <w:t xml:space="preserve"> </w:t>
      </w:r>
      <w:r w:rsidR="009858FC">
        <w:rPr>
          <w:rFonts w:hint="eastAsia"/>
          <w:b/>
          <w:bCs/>
        </w:rPr>
        <w:t xml:space="preserve"> </w:t>
      </w:r>
      <w:r w:rsidR="009858FC" w:rsidRPr="001A1457">
        <w:rPr>
          <w:b/>
          <w:bCs/>
        </w:rPr>
        <w:t>The answer, I decided, was that the required information was in the world: the appearance of the device could provide the critical clues required for its proper operation.</w:t>
      </w:r>
    </w:p>
    <w:p w14:paraId="5B641D19" w14:textId="4E90E37F" w:rsidR="001A1457" w:rsidRDefault="00320102" w:rsidP="001A1457">
      <w:pPr>
        <w:widowControl/>
        <w:rPr>
          <w:b/>
          <w:bCs/>
        </w:rPr>
      </w:pPr>
      <w:r w:rsidRPr="001A1457">
        <w:rPr>
          <w:b/>
          <w:bCs/>
        </w:rPr>
        <w:t xml:space="preserve">POET </w:t>
      </w:r>
      <w:r w:rsidRPr="001A1457">
        <w:rPr>
          <w:b/>
          <w:bCs/>
        </w:rPr>
        <w:t>的主題之一是試圖理解：我們是如何在這個充斥著成千上萬物件的世界中應對這些物品，其中許多甚至只會遇到一次。</w:t>
      </w:r>
      <w:r w:rsidR="001A1457" w:rsidRPr="001A1457">
        <w:rPr>
          <w:b/>
          <w:bCs/>
        </w:rPr>
        <w:t>當你第一次看到一個從未見過的東西時，你如何知道該怎麼操作？我認為答案是：所需的資訊其實就存在於世界中。物件的外觀可以提供正確操作所需的重要線索。</w:t>
      </w:r>
    </w:p>
    <w:p w14:paraId="1A1349D2" w14:textId="77777777" w:rsidR="00CE145D" w:rsidRDefault="00CE145D" w:rsidP="001A1457">
      <w:pPr>
        <w:widowControl/>
        <w:rPr>
          <w:b/>
          <w:bCs/>
        </w:rPr>
      </w:pPr>
    </w:p>
    <w:p w14:paraId="35A6E09E" w14:textId="0A702B47" w:rsidR="00CE145D" w:rsidRPr="001A1457" w:rsidRDefault="00784973" w:rsidP="001A1457">
      <w:pPr>
        <w:widowControl/>
        <w:rPr>
          <w:b/>
          <w:bCs/>
        </w:rPr>
      </w:pPr>
      <w:r w:rsidRPr="00784973">
        <w:rPr>
          <w:b/>
          <w:bCs/>
        </w:rPr>
        <w:lastRenderedPageBreak/>
        <w:t>The designer cares more about what actions the user perceives to be possible than what is true.</w:t>
      </w:r>
      <w:r w:rsidR="00CE145D" w:rsidRPr="00CE145D">
        <w:rPr>
          <w:b/>
          <w:bCs/>
        </w:rPr>
        <w:t>設計師更關心用戶認為可能的行動，而不是實際的情況。</w:t>
      </w:r>
    </w:p>
    <w:p w14:paraId="61F1F242" w14:textId="77777777" w:rsidR="00EB0BB2" w:rsidRPr="00320102" w:rsidRDefault="00EB0BB2" w:rsidP="00BD30E9">
      <w:pPr>
        <w:widowControl/>
        <w:rPr>
          <w:b/>
          <w:bCs/>
        </w:rPr>
      </w:pPr>
    </w:p>
    <w:p w14:paraId="67688B3C" w14:textId="7BEF8EFA" w:rsidR="00EB0BB2" w:rsidRDefault="007F3F0C" w:rsidP="00BD30E9">
      <w:pPr>
        <w:widowControl/>
        <w:rPr>
          <w:b/>
          <w:bCs/>
        </w:rPr>
      </w:pPr>
      <w:r w:rsidRPr="007F3F0C">
        <w:rPr>
          <w:b/>
          <w:bCs/>
        </w:rPr>
        <w:t>deals with real, physical objects, there can be both real and perceived affordances, and the two sets need not be the same.</w:t>
      </w:r>
      <w:r w:rsidRPr="007F3F0C">
        <w:rPr>
          <w:b/>
          <w:bCs/>
        </w:rPr>
        <w:t>涉及真實的物理物體時，既可以有實際的功能，也可以有感知的功能，而這兩者不必相同。</w:t>
      </w:r>
    </w:p>
    <w:p w14:paraId="6D6BB1C3" w14:textId="77777777" w:rsidR="00D15399" w:rsidRDefault="00D15399" w:rsidP="00BD30E9">
      <w:pPr>
        <w:widowControl/>
        <w:rPr>
          <w:b/>
          <w:bCs/>
        </w:rPr>
      </w:pPr>
    </w:p>
    <w:p w14:paraId="202DC5C4" w14:textId="5CF07228" w:rsidR="007F3F0C" w:rsidRDefault="007F3F0C" w:rsidP="00BD30E9">
      <w:pPr>
        <w:widowControl/>
        <w:rPr>
          <w:b/>
          <w:bCs/>
        </w:rPr>
      </w:pPr>
      <w:r w:rsidRPr="007F3F0C">
        <w:rPr>
          <w:b/>
          <w:bCs/>
        </w:rPr>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7F3F0C">
        <w:rPr>
          <w:rFonts w:ascii="Segoe UI" w:hAnsi="Segoe UI" w:cs="Segoe UI"/>
          <w:color w:val="1A1A1A"/>
          <w:sz w:val="27"/>
          <w:szCs w:val="27"/>
          <w:shd w:val="clear" w:color="auto" w:fill="FFFFFF"/>
        </w:rPr>
        <w:t xml:space="preserve"> </w:t>
      </w:r>
      <w:r w:rsidRPr="007F3F0C">
        <w:rPr>
          <w:b/>
          <w:bCs/>
        </w:rPr>
        <w:t>雖然所有在可觸及距離內的螢幕都可以觸碰，但只有部分螢幕能夠檢測觸碰並作出反應。因此，如果顯示器沒有觸控敏感螢幕，螢幕仍然可以觸碰，但對電腦系統沒有任何影響。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p w14:paraId="3F358673" w14:textId="77777777" w:rsidR="00364F31" w:rsidRDefault="00DC0FB8" w:rsidP="00BD30E9">
      <w:pPr>
        <w:widowControl/>
        <w:rPr>
          <w:b/>
          <w:bCs/>
        </w:rPr>
      </w:pPr>
      <w:r w:rsidRPr="00DC0FB8">
        <w:rPr>
          <w:b/>
          <w:bCs/>
        </w:rPr>
        <w:t>Far too often I hear graphic designers claim that they have added an affordance to the screen design when they have done nothing of the sort. Usually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Pr="001E3DCA" w:rsidRDefault="001E3DCA" w:rsidP="001E3DCA">
      <w:pPr>
        <w:widowControl/>
        <w:numPr>
          <w:ilvl w:val="1"/>
          <w:numId w:val="4"/>
        </w:numPr>
      </w:pPr>
      <w:r w:rsidRPr="001E3DCA">
        <w:t>分析社群媒體的科技可供性如何同時促進與阻礙知識分享，展現可供性具有多重方向與脈絡依賴性。</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lastRenderedPageBreak/>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值和意義，後者往往被認為是主觀的、現象的和心理的。但實際上，可供性既不是客觀屬性也不是主觀屬性；或者如果你願意，它是兩者兼具。可供性跨越了主觀與客觀的二分法，幫助我們理解其不足之處。它同時是環境的一個事</w:t>
      </w:r>
      <w:r w:rsidR="00944118" w:rsidRPr="00944118">
        <w:lastRenderedPageBreak/>
        <w:t>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r w:rsidRPr="00A11DC0">
        <w:rPr>
          <w:color w:val="002060"/>
        </w:rPr>
        <w:t>環境的可能性和動物的生活方式是不可分割地結合在一起的。</w:t>
      </w:r>
      <w:r w:rsidRPr="00644404">
        <w:t>環境限制了動物所能做的事情，而生態學中對物種生態位的概念反映了這一事實。在一定程度上，人類動物可以改變環境的可供性，但仍然是其情境的產物。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lastRenderedPageBreak/>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223BEF67" w14:textId="76B0BFD6" w:rsidR="00C42CCC" w:rsidRPr="00CD6E6A" w:rsidRDefault="00C42CCC" w:rsidP="00C42CCC">
      <w:pPr>
        <w:pStyle w:val="15"/>
        <w:ind w:firstLine="480"/>
      </w:pPr>
      <w:r>
        <w:rPr>
          <w:rFonts w:hint="eastAsia"/>
        </w:rPr>
        <w:lastRenderedPageBreak/>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0"/>
      <w:r>
        <w:rPr>
          <w:rFonts w:hint="eastAsia"/>
        </w:rPr>
        <w:t>回顧時</w:t>
      </w:r>
      <w:r w:rsidRPr="00536E7A">
        <w:t>往往伴隨認知、情緒與想法的交織</w:t>
      </w:r>
      <w:r>
        <w:rPr>
          <w:rFonts w:hint="eastAsia"/>
        </w:rPr>
        <w:t>，而這種回顧是一種持續的過程</w:t>
      </w:r>
      <w:commentRangeEnd w:id="0"/>
      <w:r>
        <w:rPr>
          <w:rStyle w:val="ae"/>
        </w:rPr>
        <w:commentReference w:id="0"/>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1"/>
      <w:r>
        <w:rPr>
          <w:rFonts w:hint="eastAsia"/>
        </w:rPr>
        <w:t>回顧時</w:t>
      </w:r>
      <w:r w:rsidRPr="00536E7A">
        <w:t>往往伴隨認知、情緒與想法的交織</w:t>
      </w:r>
      <w:r>
        <w:rPr>
          <w:rFonts w:hint="eastAsia"/>
        </w:rPr>
        <w:t>，而這種回顧是一種持續的過程</w:t>
      </w:r>
      <w:commentRangeEnd w:id="1"/>
      <w:r>
        <w:rPr>
          <w:rStyle w:val="ae"/>
        </w:rPr>
        <w:commentReference w:id="1"/>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2"/>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2"/>
      <w:r>
        <w:rPr>
          <w:rStyle w:val="ae"/>
        </w:rPr>
        <w:commentReference w:id="2"/>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w:t>
      </w:r>
      <w:r w:rsidRPr="00DD0F56">
        <w:rPr>
          <w:rFonts w:hint="eastAsia"/>
          <w:color w:val="EE0000"/>
        </w:rPr>
        <w:lastRenderedPageBreak/>
        <w:t>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3"/>
      <w:r>
        <w:rPr>
          <w:rStyle w:val="ae"/>
        </w:rPr>
        <w:commentReference w:id="3"/>
      </w:r>
      <w:r>
        <w:rPr>
          <w:rFonts w:hint="eastAsia"/>
        </w:rPr>
        <w:t>。</w:t>
      </w:r>
      <w:r w:rsidRPr="004F0D54">
        <w:t>特別是在面對高度不確定或突發情境時，</w:t>
      </w:r>
      <w:commentRangeStart w:id="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4"/>
      <w:r>
        <w:rPr>
          <w:rStyle w:val="ae"/>
        </w:rPr>
        <w:commentReference w:id="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5"/>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5"/>
      <w:r w:rsidRPr="00A63C43">
        <w:rPr>
          <w:rStyle w:val="ae"/>
        </w:rPr>
        <w:commentReference w:id="5"/>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t>制定理論亦被應用於電子化政府系統導入的研究中。</w:t>
      </w:r>
      <w:r w:rsidRPr="0047702A">
        <w:t>Chan</w:t>
      </w:r>
      <w:r w:rsidRPr="0047702A">
        <w:t>等人（</w:t>
      </w:r>
      <w:r w:rsidRPr="0047702A">
        <w:t>2011</w:t>
      </w:r>
      <w:r w:rsidRPr="0047702A">
        <w:t>）以</w:t>
      </w:r>
      <w:r w:rsidRPr="0047702A">
        <w:lastRenderedPageBreak/>
        <w:t>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6"/>
      <w:r w:rsidRPr="0047702A">
        <w:t>共生性制定行動</w:t>
      </w:r>
      <w:commentRangeEnd w:id="6"/>
      <w:r w:rsidRPr="0047702A">
        <w:rPr>
          <w:rStyle w:val="ae"/>
        </w:rPr>
        <w:commentReference w:id="6"/>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7" w:name="_Toc198908375"/>
      <w:r>
        <w:rPr>
          <w:rFonts w:hint="eastAsia"/>
        </w:rPr>
        <w:t xml:space="preserve">2.1.2 </w:t>
      </w:r>
      <w:r>
        <w:rPr>
          <w:rFonts w:hint="eastAsia"/>
        </w:rPr>
        <w:t>制定的動態循環過程</w:t>
      </w:r>
      <w:bookmarkEnd w:id="7"/>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8"/>
      <w:r w:rsidRPr="003630D2">
        <w:t>反應又進一步改變</w:t>
      </w:r>
      <w:r>
        <w:rPr>
          <w:rFonts w:hint="eastAsia"/>
        </w:rPr>
        <w:t>環境情境</w:t>
      </w:r>
      <w:commentRangeEnd w:id="8"/>
      <w:r>
        <w:rPr>
          <w:rStyle w:val="ae"/>
        </w:rPr>
        <w:commentReference w:id="8"/>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
      <w:r w:rsidRPr="005E297B">
        <w:t>環境不是客觀給定，而是行動與結構之間互動後共同建構的產物</w:t>
      </w:r>
      <w:commentRangeEnd w:id="9"/>
      <w:r>
        <w:rPr>
          <w:rStyle w:val="ae"/>
        </w:rPr>
        <w:commentReference w:id="9"/>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lastRenderedPageBreak/>
        <w:t>在</w:t>
      </w:r>
      <w:commentRangeStart w:id="10"/>
      <w:r w:rsidRPr="004A47A4">
        <w:t>Orlikowski</w:t>
      </w:r>
      <w:commentRangeEnd w:id="10"/>
      <w:r>
        <w:rPr>
          <w:rStyle w:val="ae"/>
        </w:rPr>
        <w:commentReference w:id="10"/>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11"/>
      <w:r w:rsidRPr="00F45239">
        <w:t>（</w:t>
      </w:r>
      <w:r w:rsidRPr="00F45239">
        <w:t>Gioia &amp; Chittipeddi, 1991</w:t>
      </w:r>
      <w:r w:rsidRPr="00F45239">
        <w:t>）</w:t>
      </w:r>
      <w:commentRangeEnd w:id="11"/>
      <w:r>
        <w:rPr>
          <w:rStyle w:val="ae"/>
        </w:rPr>
        <w:commentReference w:id="11"/>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12"/>
      <w:r w:rsidRPr="00B63179">
        <w:t>Giddens, 1984</w:t>
      </w:r>
      <w:r w:rsidRPr="00B63179">
        <w:t>）</w:t>
      </w:r>
      <w:commentRangeEnd w:id="12"/>
      <w:r>
        <w:rPr>
          <w:rStyle w:val="ae"/>
        </w:rPr>
        <w:commentReference w:id="12"/>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13"/>
      <w:r w:rsidRPr="00A877C0">
        <w:t>（</w:t>
      </w:r>
      <w:r w:rsidRPr="00A877C0">
        <w:t>Weick &amp; Putnam, 2006</w:t>
      </w:r>
      <w:r w:rsidRPr="00A877C0">
        <w:t>）</w:t>
      </w:r>
      <w:commentRangeEnd w:id="13"/>
      <w:r>
        <w:rPr>
          <w:rStyle w:val="ae"/>
        </w:rPr>
        <w:commentReference w:id="13"/>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w:t>
      </w:r>
      <w:r w:rsidRPr="00B3713C">
        <w:rPr>
          <w:color w:val="EE0000"/>
        </w:rPr>
        <w:lastRenderedPageBreak/>
        <w:t>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14"/>
      <w:r w:rsidRPr="00B3713C">
        <w:rPr>
          <w:color w:val="EE0000"/>
        </w:rPr>
        <w:t>創造出他們所面對的部分環境</w:t>
      </w:r>
      <w:commentRangeEnd w:id="14"/>
      <w:r w:rsidRPr="00B3713C">
        <w:rPr>
          <w:rStyle w:val="ae"/>
          <w:color w:val="EE0000"/>
        </w:rPr>
        <w:commentReference w:id="14"/>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5" w:name="_Hlk198905272"/>
      <w:r w:rsidRPr="00626AF7">
        <w:t>Enactment is coupled with the contextual environmen</w:t>
      </w:r>
      <w:bookmarkEnd w:id="15"/>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t>Fountain (2001)</w:t>
      </w:r>
    </w:p>
    <w:p w14:paraId="55506850" w14:textId="77777777" w:rsidR="00E20851" w:rsidRPr="001D43FE" w:rsidRDefault="00E20851" w:rsidP="00E20851">
      <w:pPr>
        <w:pStyle w:val="unedit"/>
        <w:rPr>
          <w:strike/>
          <w:highlight w:val="yellow"/>
        </w:rPr>
      </w:pPr>
      <w:r w:rsidRPr="001D43FE">
        <w:rPr>
          <w:b/>
          <w:bCs/>
          <w:strike/>
          <w:highlight w:val="yellow"/>
        </w:rPr>
        <w:lastRenderedPageBreak/>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16"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6"/>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t>Boudreau &amp; Robey (2005) demonstrated that such enactment is arbitrated by resources such as knowledge and social capital through social construction.</w:t>
      </w:r>
      <w:r w:rsidRPr="00E11B61">
        <w:br/>
      </w:r>
      <w:r w:rsidRPr="00E11B61">
        <w:lastRenderedPageBreak/>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鄭伯壎</w:t>
      </w:r>
      <w:r w:rsidRPr="00405BE8">
        <w:t xml:space="preserve">Bor-shiuan Cheng </w:t>
      </w:r>
      <w:r w:rsidRPr="00405BE8">
        <w:t>國立台灣大學</w:t>
      </w:r>
      <w:r w:rsidRPr="00405BE8">
        <w:t xml:space="preserve"> National Taiwan Univsrsity </w:t>
      </w:r>
      <w:r w:rsidRPr="00405BE8">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lastRenderedPageBreak/>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w:t>
      </w:r>
      <w:r w:rsidRPr="00405BE8">
        <w:lastRenderedPageBreak/>
        <w:t>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0F529C8B" w14:textId="77777777"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p w14:paraId="6F4C2AC1" w14:textId="77777777" w:rsidR="00405BE8" w:rsidRDefault="00405BE8"/>
    <w:p w14:paraId="58111909" w14:textId="77777777" w:rsidR="00405BE8" w:rsidRDefault="00405BE8"/>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1"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2"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3"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4"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5"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6"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8"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9"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10"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11"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12"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13"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14"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7C8A6" w14:textId="77777777" w:rsidR="0026254B" w:rsidRDefault="0026254B" w:rsidP="00BB47A4">
      <w:pPr>
        <w:spacing w:after="0" w:line="240" w:lineRule="auto"/>
      </w:pPr>
      <w:r>
        <w:separator/>
      </w:r>
    </w:p>
  </w:endnote>
  <w:endnote w:type="continuationSeparator" w:id="0">
    <w:p w14:paraId="7A78B2B7" w14:textId="77777777" w:rsidR="0026254B" w:rsidRDefault="0026254B"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825BD" w14:textId="77777777" w:rsidR="0026254B" w:rsidRDefault="0026254B" w:rsidP="00BB47A4">
      <w:pPr>
        <w:spacing w:after="0" w:line="240" w:lineRule="auto"/>
      </w:pPr>
      <w:r>
        <w:separator/>
      </w:r>
    </w:p>
  </w:footnote>
  <w:footnote w:type="continuationSeparator" w:id="0">
    <w:p w14:paraId="43DD38E0" w14:textId="77777777" w:rsidR="0026254B" w:rsidRDefault="0026254B"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3"/>
  </w:num>
  <w:num w:numId="2" w16cid:durableId="144930246">
    <w:abstractNumId w:val="4"/>
  </w:num>
  <w:num w:numId="3" w16cid:durableId="693264680">
    <w:abstractNumId w:val="6"/>
  </w:num>
  <w:num w:numId="4" w16cid:durableId="994530222">
    <w:abstractNumId w:val="0"/>
  </w:num>
  <w:num w:numId="5" w16cid:durableId="876550489">
    <w:abstractNumId w:val="2"/>
  </w:num>
  <w:num w:numId="6" w16cid:durableId="577135211">
    <w:abstractNumId w:val="1"/>
  </w:num>
  <w:num w:numId="7" w16cid:durableId="1317492286">
    <w:abstractNumId w:val="5"/>
  </w:num>
  <w:num w:numId="8" w16cid:durableId="47241029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BE9"/>
    <w:rsid w:val="00021490"/>
    <w:rsid w:val="0002226D"/>
    <w:rsid w:val="00032EAB"/>
    <w:rsid w:val="0003792B"/>
    <w:rsid w:val="00037ECC"/>
    <w:rsid w:val="00052DB3"/>
    <w:rsid w:val="00057FBC"/>
    <w:rsid w:val="000657A2"/>
    <w:rsid w:val="0007663B"/>
    <w:rsid w:val="000A6869"/>
    <w:rsid w:val="000A7569"/>
    <w:rsid w:val="000A778D"/>
    <w:rsid w:val="000B0CEC"/>
    <w:rsid w:val="000B5048"/>
    <w:rsid w:val="000D3F11"/>
    <w:rsid w:val="000D6291"/>
    <w:rsid w:val="000E24FD"/>
    <w:rsid w:val="001006CD"/>
    <w:rsid w:val="00103408"/>
    <w:rsid w:val="00110171"/>
    <w:rsid w:val="00123811"/>
    <w:rsid w:val="00147A0E"/>
    <w:rsid w:val="001944A4"/>
    <w:rsid w:val="001962EB"/>
    <w:rsid w:val="001A1457"/>
    <w:rsid w:val="001A2E75"/>
    <w:rsid w:val="001D2FB0"/>
    <w:rsid w:val="001E3DCA"/>
    <w:rsid w:val="001F209F"/>
    <w:rsid w:val="001F2C16"/>
    <w:rsid w:val="00243783"/>
    <w:rsid w:val="002620E3"/>
    <w:rsid w:val="0026254B"/>
    <w:rsid w:val="002820A1"/>
    <w:rsid w:val="00282568"/>
    <w:rsid w:val="00292AD4"/>
    <w:rsid w:val="00292C76"/>
    <w:rsid w:val="002B1D6E"/>
    <w:rsid w:val="002B3D1D"/>
    <w:rsid w:val="002D5F7A"/>
    <w:rsid w:val="002F00DF"/>
    <w:rsid w:val="002F03A4"/>
    <w:rsid w:val="00301A02"/>
    <w:rsid w:val="00316C34"/>
    <w:rsid w:val="00320102"/>
    <w:rsid w:val="0032146B"/>
    <w:rsid w:val="0034167B"/>
    <w:rsid w:val="00344720"/>
    <w:rsid w:val="00351C48"/>
    <w:rsid w:val="00364F31"/>
    <w:rsid w:val="003710B9"/>
    <w:rsid w:val="00374A79"/>
    <w:rsid w:val="003A5FC8"/>
    <w:rsid w:val="003B4B13"/>
    <w:rsid w:val="003C2FCD"/>
    <w:rsid w:val="003D5CA7"/>
    <w:rsid w:val="003E29EF"/>
    <w:rsid w:val="003E4105"/>
    <w:rsid w:val="003F7C4A"/>
    <w:rsid w:val="003F7C4B"/>
    <w:rsid w:val="00404319"/>
    <w:rsid w:val="00405BE8"/>
    <w:rsid w:val="0043219A"/>
    <w:rsid w:val="00434D77"/>
    <w:rsid w:val="00443311"/>
    <w:rsid w:val="004547BE"/>
    <w:rsid w:val="00456809"/>
    <w:rsid w:val="00473993"/>
    <w:rsid w:val="00480AB4"/>
    <w:rsid w:val="00482E79"/>
    <w:rsid w:val="00485ECF"/>
    <w:rsid w:val="004908CD"/>
    <w:rsid w:val="004A62D4"/>
    <w:rsid w:val="004A78B9"/>
    <w:rsid w:val="004B7746"/>
    <w:rsid w:val="004B7CC9"/>
    <w:rsid w:val="004E0CAF"/>
    <w:rsid w:val="004E200B"/>
    <w:rsid w:val="0050006F"/>
    <w:rsid w:val="0051719D"/>
    <w:rsid w:val="00530405"/>
    <w:rsid w:val="00564D93"/>
    <w:rsid w:val="00567C09"/>
    <w:rsid w:val="00593278"/>
    <w:rsid w:val="005A6A7D"/>
    <w:rsid w:val="005A72AC"/>
    <w:rsid w:val="005B54B1"/>
    <w:rsid w:val="005D2D4C"/>
    <w:rsid w:val="005E2BC3"/>
    <w:rsid w:val="005F7264"/>
    <w:rsid w:val="0062117E"/>
    <w:rsid w:val="006275BA"/>
    <w:rsid w:val="006329E9"/>
    <w:rsid w:val="00644404"/>
    <w:rsid w:val="00645E9F"/>
    <w:rsid w:val="00656D00"/>
    <w:rsid w:val="00660C3B"/>
    <w:rsid w:val="00664394"/>
    <w:rsid w:val="006649D0"/>
    <w:rsid w:val="00667CC6"/>
    <w:rsid w:val="0067163A"/>
    <w:rsid w:val="0067423B"/>
    <w:rsid w:val="00684F87"/>
    <w:rsid w:val="00697FB2"/>
    <w:rsid w:val="006A2F90"/>
    <w:rsid w:val="006B5264"/>
    <w:rsid w:val="006D4165"/>
    <w:rsid w:val="006D5709"/>
    <w:rsid w:val="0072014C"/>
    <w:rsid w:val="00732A77"/>
    <w:rsid w:val="00733C8E"/>
    <w:rsid w:val="0074491B"/>
    <w:rsid w:val="00746E0C"/>
    <w:rsid w:val="00752976"/>
    <w:rsid w:val="00784973"/>
    <w:rsid w:val="007A3915"/>
    <w:rsid w:val="007B7AA0"/>
    <w:rsid w:val="007E393D"/>
    <w:rsid w:val="007E58B1"/>
    <w:rsid w:val="007F3F0C"/>
    <w:rsid w:val="00821743"/>
    <w:rsid w:val="00836FA2"/>
    <w:rsid w:val="008542ED"/>
    <w:rsid w:val="00857061"/>
    <w:rsid w:val="008867AE"/>
    <w:rsid w:val="00890DBD"/>
    <w:rsid w:val="0089200A"/>
    <w:rsid w:val="008C6CAA"/>
    <w:rsid w:val="008D4B7C"/>
    <w:rsid w:val="009005E1"/>
    <w:rsid w:val="00910431"/>
    <w:rsid w:val="00911B65"/>
    <w:rsid w:val="00913B24"/>
    <w:rsid w:val="00941446"/>
    <w:rsid w:val="00941C20"/>
    <w:rsid w:val="00944118"/>
    <w:rsid w:val="0096323D"/>
    <w:rsid w:val="00966139"/>
    <w:rsid w:val="00967ABB"/>
    <w:rsid w:val="009858FC"/>
    <w:rsid w:val="009A03B0"/>
    <w:rsid w:val="009A6561"/>
    <w:rsid w:val="009A7EDA"/>
    <w:rsid w:val="009B0DAF"/>
    <w:rsid w:val="009C1E49"/>
    <w:rsid w:val="009C59A4"/>
    <w:rsid w:val="009E7359"/>
    <w:rsid w:val="00A02B39"/>
    <w:rsid w:val="00A11DC0"/>
    <w:rsid w:val="00A121F0"/>
    <w:rsid w:val="00A1361B"/>
    <w:rsid w:val="00A22FF8"/>
    <w:rsid w:val="00A27222"/>
    <w:rsid w:val="00A3563F"/>
    <w:rsid w:val="00A37091"/>
    <w:rsid w:val="00A46BF2"/>
    <w:rsid w:val="00A50491"/>
    <w:rsid w:val="00A50599"/>
    <w:rsid w:val="00A7256B"/>
    <w:rsid w:val="00A765D7"/>
    <w:rsid w:val="00A838A8"/>
    <w:rsid w:val="00AB4F7E"/>
    <w:rsid w:val="00AB7BB4"/>
    <w:rsid w:val="00AC1E54"/>
    <w:rsid w:val="00B0289A"/>
    <w:rsid w:val="00B3575E"/>
    <w:rsid w:val="00B63937"/>
    <w:rsid w:val="00B661ED"/>
    <w:rsid w:val="00B860FA"/>
    <w:rsid w:val="00BA18B3"/>
    <w:rsid w:val="00BB47A4"/>
    <w:rsid w:val="00BD30E9"/>
    <w:rsid w:val="00BF5BCB"/>
    <w:rsid w:val="00BF64CC"/>
    <w:rsid w:val="00C25ABD"/>
    <w:rsid w:val="00C360D2"/>
    <w:rsid w:val="00C42CCC"/>
    <w:rsid w:val="00C534C4"/>
    <w:rsid w:val="00C569B4"/>
    <w:rsid w:val="00CA46E5"/>
    <w:rsid w:val="00CE00BB"/>
    <w:rsid w:val="00CE145D"/>
    <w:rsid w:val="00CF57F3"/>
    <w:rsid w:val="00D02158"/>
    <w:rsid w:val="00D108C4"/>
    <w:rsid w:val="00D117CE"/>
    <w:rsid w:val="00D12BEA"/>
    <w:rsid w:val="00D15399"/>
    <w:rsid w:val="00D23989"/>
    <w:rsid w:val="00D30ABB"/>
    <w:rsid w:val="00D363E3"/>
    <w:rsid w:val="00D40A9B"/>
    <w:rsid w:val="00D40C28"/>
    <w:rsid w:val="00D52716"/>
    <w:rsid w:val="00D63E3E"/>
    <w:rsid w:val="00D71054"/>
    <w:rsid w:val="00D848EC"/>
    <w:rsid w:val="00D910AE"/>
    <w:rsid w:val="00D91A34"/>
    <w:rsid w:val="00DA4433"/>
    <w:rsid w:val="00DB435A"/>
    <w:rsid w:val="00DB70E4"/>
    <w:rsid w:val="00DC0FB8"/>
    <w:rsid w:val="00DC2474"/>
    <w:rsid w:val="00DD1B00"/>
    <w:rsid w:val="00DF0011"/>
    <w:rsid w:val="00E20851"/>
    <w:rsid w:val="00E22C3F"/>
    <w:rsid w:val="00E35C46"/>
    <w:rsid w:val="00E42F2E"/>
    <w:rsid w:val="00E54601"/>
    <w:rsid w:val="00E54710"/>
    <w:rsid w:val="00E61A18"/>
    <w:rsid w:val="00E7193C"/>
    <w:rsid w:val="00E76102"/>
    <w:rsid w:val="00E82AAA"/>
    <w:rsid w:val="00EA2CC5"/>
    <w:rsid w:val="00EB0BB2"/>
    <w:rsid w:val="00EC3D48"/>
    <w:rsid w:val="00EE2EA0"/>
    <w:rsid w:val="00EF372F"/>
    <w:rsid w:val="00EF67CB"/>
    <w:rsid w:val="00EF7DBA"/>
    <w:rsid w:val="00F0024F"/>
    <w:rsid w:val="00F04642"/>
    <w:rsid w:val="00F25838"/>
    <w:rsid w:val="00F60A06"/>
    <w:rsid w:val="00F773C9"/>
    <w:rsid w:val="00F80696"/>
    <w:rsid w:val="00F84D67"/>
    <w:rsid w:val="00F93A67"/>
    <w:rsid w:val="00FD0323"/>
    <w:rsid w:val="00FD5188"/>
    <w:rsid w:val="00FF4F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31</Pages>
  <Words>7653</Words>
  <Characters>43626</Characters>
  <Application>Microsoft Office Word</Application>
  <DocSecurity>0</DocSecurity>
  <Lines>363</Lines>
  <Paragraphs>102</Paragraphs>
  <ScaleCrop>false</ScaleCrop>
  <Company/>
  <LinksUpToDate>false</LinksUpToDate>
  <CharactersWithSpaces>51177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224</cp:revision>
  <dcterms:created xsi:type="dcterms:W3CDTF">2025-05-23T05:28:00Z</dcterms:created>
  <dcterms:modified xsi:type="dcterms:W3CDTF">2025-05-25T16:21:00Z</dcterms:modified>
</cp:coreProperties>
</file>