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06"/>
        <w:ind w:left="0"/>
        <w:jc w:val="left"/>
        <w:rPr>
          <w:rFonts w:ascii="Times New Roman"/>
          <w:sz w:val="20"/>
        </w:rPr>
      </w:pPr>
    </w:p>
    <w:p>
      <w:pPr>
        <w:pStyle w:val="BodyText"/>
        <w:ind w:left="832"/>
        <w:jc w:val="left"/>
        <w:rPr>
          <w:rFonts w:ascii="Times New Roman"/>
          <w:sz w:val="20"/>
        </w:rPr>
      </w:pPr>
      <w:r>
        <w:rPr>
          <w:rFonts w:ascii="Times New Roman"/>
          <w:sz w:val="20"/>
        </w:rPr>
        <w:drawing>
          <wp:inline distT="0" distB="0" distL="0" distR="0">
            <wp:extent cx="510869" cy="567404"/>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10869" cy="567404"/>
                    </a:xfrm>
                    <a:prstGeom prst="rect">
                      <a:avLst/>
                    </a:prstGeom>
                  </pic:spPr>
                </pic:pic>
              </a:graphicData>
            </a:graphic>
          </wp:inline>
        </w:drawing>
      </w:r>
      <w:r>
        <w:rPr>
          <w:rFonts w:ascii="Times New Roman"/>
          <w:sz w:val="20"/>
        </w:rPr>
      </w:r>
    </w:p>
    <w:p>
      <w:pPr>
        <w:pStyle w:val="Heading3"/>
        <w:spacing w:before="250"/>
        <w:ind w:left="789"/>
        <w:rPr>
          <w:rFonts w:ascii="Times New Roman"/>
        </w:rPr>
      </w:pPr>
      <w:r>
        <w:rPr>
          <w:rFonts w:ascii="Times New Roman"/>
          <w:spacing w:val="-2"/>
        </w:rPr>
        <w:t>NTUST</w:t>
      </w:r>
    </w:p>
    <w:p>
      <w:pPr>
        <w:pStyle w:val="Title"/>
        <w:spacing w:line="711" w:lineRule="exact"/>
        <w:ind w:firstLine="0"/>
      </w:pPr>
      <w:r>
        <w:rPr>
          <w:b w:val="0"/>
        </w:rPr>
        <w:br w:type="column"/>
      </w:r>
      <w:r>
        <w:rPr>
          <w:spacing w:val="-2"/>
        </w:rPr>
        <w:t>國立臺灣科技大學</w:t>
      </w:r>
    </w:p>
    <w:p>
      <w:pPr>
        <w:pStyle w:val="Title"/>
        <w:spacing w:line="273" w:lineRule="auto" w:before="125"/>
        <w:ind w:left="1529" w:right="1369"/>
      </w:pPr>
      <w:r>
        <w:rPr>
          <w:spacing w:val="-2"/>
        </w:rPr>
        <w:t>資訊管理研究所碩士班碩士學位論文</w:t>
      </w:r>
    </w:p>
    <w:p>
      <w:pPr>
        <w:pStyle w:val="BodyText"/>
        <w:spacing w:before="799"/>
        <w:ind w:left="0" w:right="120"/>
        <w:jc w:val="right"/>
        <w:rPr>
          <w:rFonts w:ascii="Times New Roman" w:eastAsia="Times New Roman"/>
        </w:rPr>
      </w:pPr>
      <w:r>
        <w:rPr>
          <w:spacing w:val="-1"/>
        </w:rPr>
        <w:t>學號：</w:t>
      </w:r>
      <w:r>
        <w:rPr>
          <w:rFonts w:ascii="Times New Roman" w:eastAsia="Times New Roman"/>
          <w:spacing w:val="-2"/>
        </w:rPr>
        <w:t>M11109216</w:t>
      </w:r>
    </w:p>
    <w:p>
      <w:pPr>
        <w:pStyle w:val="BodyText"/>
        <w:spacing w:after="0"/>
        <w:jc w:val="right"/>
        <w:rPr>
          <w:rFonts w:ascii="Times New Roman" w:eastAsia="Times New Roman"/>
        </w:rPr>
        <w:sectPr>
          <w:type w:val="continuous"/>
          <w:pgSz w:w="11910" w:h="16840"/>
          <w:pgMar w:top="1920" w:bottom="280" w:left="1700" w:right="1700"/>
          <w:cols w:num="2" w:equalWidth="0">
            <w:col w:w="1724" w:space="40"/>
            <w:col w:w="6746"/>
          </w:cols>
        </w:sectPr>
      </w:pPr>
    </w:p>
    <w:p>
      <w:pPr>
        <w:pStyle w:val="BodyText"/>
        <w:spacing w:before="29"/>
        <w:ind w:left="0"/>
        <w:jc w:val="left"/>
        <w:rPr>
          <w:rFonts w:ascii="Times New Roman"/>
          <w:sz w:val="20"/>
        </w:rPr>
      </w:pPr>
    </w:p>
    <w:p>
      <w:pPr>
        <w:pStyle w:val="BodyText"/>
        <w:spacing w:line="20" w:lineRule="exact"/>
        <w:ind w:left="69"/>
        <w:jc w:val="left"/>
        <w:rPr>
          <w:rFonts w:ascii="Times New Roman"/>
          <w:sz w:val="2"/>
        </w:rPr>
      </w:pPr>
      <w:r>
        <w:rPr>
          <w:rFonts w:ascii="Times New Roman"/>
          <w:sz w:val="2"/>
        </w:rPr>
        <mc:AlternateContent>
          <mc:Choice Requires="wps">
            <w:drawing>
              <wp:inline distT="0" distB="0" distL="0" distR="0">
                <wp:extent cx="5311775" cy="19050"/>
                <wp:effectExtent l="9525" t="0" r="3175" b="0"/>
                <wp:docPr id="2" name="Group 2"/>
                <wp:cNvGraphicFramePr>
                  <a:graphicFrameLocks/>
                </wp:cNvGraphicFramePr>
                <a:graphic>
                  <a:graphicData uri="http://schemas.microsoft.com/office/word/2010/wordprocessingGroup">
                    <wpg:wgp>
                      <wpg:cNvPr id="2" name="Group 2"/>
                      <wpg:cNvGrpSpPr/>
                      <wpg:grpSpPr>
                        <a:xfrm>
                          <a:off x="0" y="0"/>
                          <a:ext cx="5311775" cy="19050"/>
                          <a:chExt cx="5311775" cy="19050"/>
                        </a:xfrm>
                      </wpg:grpSpPr>
                      <wps:wsp>
                        <wps:cNvPr id="3" name="Graphic 3"/>
                        <wps:cNvSpPr/>
                        <wps:spPr>
                          <a:xfrm>
                            <a:off x="0" y="9525"/>
                            <a:ext cx="5311775" cy="1270"/>
                          </a:xfrm>
                          <a:custGeom>
                            <a:avLst/>
                            <a:gdLst/>
                            <a:ahLst/>
                            <a:cxnLst/>
                            <a:rect l="l" t="t" r="r" b="b"/>
                            <a:pathLst>
                              <a:path w="5311775" h="0">
                                <a:moveTo>
                                  <a:pt x="0" y="0"/>
                                </a:moveTo>
                                <a:lnTo>
                                  <a:pt x="5311775"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8.25pt;height:1.5pt;mso-position-horizontal-relative:char;mso-position-vertical-relative:line" id="docshapegroup1" coordorigin="0,0" coordsize="8365,30">
                <v:line style="position:absolute" from="0,15" to="8365,15" stroked="true" strokeweight="1.5pt" strokecolor="#000000">
                  <v:stroke dashstyle="solid"/>
                </v:line>
              </v:group>
            </w:pict>
          </mc:Fallback>
        </mc:AlternateContent>
      </w:r>
      <w:r>
        <w:rPr>
          <w:rFonts w:ascii="Times New Roman"/>
          <w:sz w:val="2"/>
        </w:rPr>
      </w:r>
    </w:p>
    <w:p>
      <w:pPr>
        <w:pStyle w:val="BodyText"/>
        <w:spacing w:before="62"/>
        <w:ind w:left="0"/>
        <w:jc w:val="left"/>
        <w:rPr>
          <w:rFonts w:ascii="Times New Roman"/>
          <w:sz w:val="40"/>
        </w:rPr>
      </w:pPr>
    </w:p>
    <w:p>
      <w:pPr>
        <w:spacing w:line="271" w:lineRule="auto" w:before="0"/>
        <w:ind w:left="3026" w:right="1072" w:hanging="1201"/>
        <w:jc w:val="left"/>
        <w:rPr>
          <w:rFonts w:ascii="Microsoft JhengHei" w:eastAsia="Microsoft JhengHei"/>
          <w:b/>
          <w:sz w:val="40"/>
        </w:rPr>
      </w:pPr>
      <w:r>
        <w:rPr>
          <w:rFonts w:ascii="Microsoft JhengHei" w:eastAsia="Microsoft JhengHei"/>
          <w:b/>
          <w:sz w:val="40"/>
        </w:rPr>
        <w:drawing>
          <wp:anchor distT="0" distB="0" distL="0" distR="0" allowOverlap="1" layoutInCell="1" locked="0" behindDoc="1" simplePos="0" relativeHeight="485771264">
            <wp:simplePos x="0" y="0"/>
            <wp:positionH relativeFrom="page">
              <wp:posOffset>3312414</wp:posOffset>
            </wp:positionH>
            <wp:positionV relativeFrom="paragraph">
              <wp:posOffset>576731</wp:posOffset>
            </wp:positionV>
            <wp:extent cx="929640" cy="978408"/>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eastAsia="Microsoft JhengHei"/>
          <w:b/>
          <w:sz w:val="40"/>
        </w:rPr>
        <mc:AlternateContent>
          <mc:Choice Requires="wps">
            <w:drawing>
              <wp:anchor distT="0" distB="0" distL="0" distR="0" allowOverlap="1" layoutInCell="1" locked="0" behindDoc="1" simplePos="0" relativeHeight="485771776">
                <wp:simplePos x="0" y="0"/>
                <wp:positionH relativeFrom="page">
                  <wp:posOffset>1051560</wp:posOffset>
                </wp:positionH>
                <wp:positionV relativeFrom="paragraph">
                  <wp:posOffset>-83160</wp:posOffset>
                </wp:positionV>
                <wp:extent cx="5425440" cy="226314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425440" cy="2263140"/>
                        </a:xfrm>
                        <a:custGeom>
                          <a:avLst/>
                          <a:gdLst/>
                          <a:ahLst/>
                          <a:cxnLst/>
                          <a:rect l="l" t="t" r="r" b="b"/>
                          <a:pathLst>
                            <a:path w="5425440" h="2263140">
                              <a:moveTo>
                                <a:pt x="5425440" y="0"/>
                              </a:moveTo>
                              <a:lnTo>
                                <a:pt x="0" y="0"/>
                              </a:lnTo>
                              <a:lnTo>
                                <a:pt x="0" y="2263140"/>
                              </a:lnTo>
                              <a:lnTo>
                                <a:pt x="5425440" y="2263140"/>
                              </a:lnTo>
                              <a:lnTo>
                                <a:pt x="54254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2.800003pt;margin-top:-6.548047pt;width:427.2pt;height:178.2pt;mso-position-horizontal-relative:page;mso-position-vertical-relative:paragraph;z-index:-17544704" id="docshape2" filled="true" fillcolor="#ffffff" stroked="false">
                <v:fill type="solid"/>
                <w10:wrap type="none"/>
              </v:rect>
            </w:pict>
          </mc:Fallback>
        </mc:AlternateContent>
      </w:r>
      <w:r>
        <w:rPr>
          <w:rFonts w:ascii="Microsoft JhengHei" w:eastAsia="Microsoft JhengHei"/>
          <w:b/>
          <w:spacing w:val="-2"/>
          <w:sz w:val="40"/>
        </w:rPr>
        <w:t>照護科技生態圈跨界管理機制：以諾亞克科技為例</w:t>
      </w:r>
    </w:p>
    <w:p>
      <w:pPr>
        <w:spacing w:line="403" w:lineRule="auto" w:before="154"/>
        <w:ind w:left="558" w:right="0" w:firstLine="432"/>
        <w:jc w:val="left"/>
        <w:rPr>
          <w:rFonts w:ascii="Times New Roman" w:hAnsi="Times New Roman"/>
          <w:b/>
          <w:sz w:val="28"/>
        </w:rPr>
      </w:pPr>
      <w:r>
        <w:rPr>
          <w:rFonts w:ascii="Times New Roman" w:hAnsi="Times New Roman"/>
          <w:b/>
          <w:sz w:val="28"/>
        </w:rPr>
        <w:t>Boundary-Spanning</w:t>
      </w:r>
      <w:r>
        <w:rPr>
          <w:rFonts w:ascii="Times New Roman" w:hAnsi="Times New Roman"/>
          <w:b/>
          <w:spacing w:val="-9"/>
          <w:sz w:val="28"/>
        </w:rPr>
        <w:t> </w:t>
      </w:r>
      <w:r>
        <w:rPr>
          <w:rFonts w:ascii="Times New Roman" w:hAnsi="Times New Roman"/>
          <w:b/>
          <w:sz w:val="28"/>
        </w:rPr>
        <w:t>Management</w:t>
      </w:r>
      <w:r>
        <w:rPr>
          <w:rFonts w:ascii="Times New Roman" w:hAnsi="Times New Roman"/>
          <w:b/>
          <w:spacing w:val="-7"/>
          <w:sz w:val="28"/>
        </w:rPr>
        <w:t> </w:t>
      </w:r>
      <w:r>
        <w:rPr>
          <w:rFonts w:ascii="Times New Roman" w:hAnsi="Times New Roman"/>
          <w:b/>
          <w:sz w:val="28"/>
        </w:rPr>
        <w:t>Mechanisms</w:t>
      </w:r>
      <w:r>
        <w:rPr>
          <w:rFonts w:ascii="Times New Roman" w:hAnsi="Times New Roman"/>
          <w:b/>
          <w:spacing w:val="-10"/>
          <w:sz w:val="28"/>
        </w:rPr>
        <w:t> </w:t>
      </w:r>
      <w:r>
        <w:rPr>
          <w:rFonts w:ascii="Times New Roman" w:hAnsi="Times New Roman"/>
          <w:b/>
          <w:sz w:val="28"/>
        </w:rPr>
        <w:t>in</w:t>
      </w:r>
      <w:r>
        <w:rPr>
          <w:rFonts w:ascii="Times New Roman" w:hAnsi="Times New Roman"/>
          <w:b/>
          <w:spacing w:val="-7"/>
          <w:sz w:val="28"/>
        </w:rPr>
        <w:t> </w:t>
      </w:r>
      <w:r>
        <w:rPr>
          <w:rFonts w:ascii="Times New Roman" w:hAnsi="Times New Roman"/>
          <w:b/>
          <w:sz w:val="28"/>
        </w:rPr>
        <w:t>the</w:t>
      </w:r>
      <w:r>
        <w:rPr>
          <w:rFonts w:ascii="Times New Roman" w:hAnsi="Times New Roman"/>
          <w:b/>
          <w:spacing w:val="-8"/>
          <w:sz w:val="28"/>
        </w:rPr>
        <w:t> </w:t>
      </w:r>
      <w:r>
        <w:rPr>
          <w:rFonts w:ascii="Times New Roman" w:hAnsi="Times New Roman"/>
          <w:b/>
          <w:sz w:val="28"/>
        </w:rPr>
        <w:t>Care Technology Ecosystem—</w:t>
      </w:r>
      <w:r>
        <w:rPr>
          <w:rFonts w:ascii="Times New Roman" w:hAnsi="Times New Roman"/>
          <w:b/>
          <w:spacing w:val="-11"/>
          <w:sz w:val="28"/>
        </w:rPr>
        <w:t> </w:t>
      </w:r>
      <w:r>
        <w:rPr>
          <w:rFonts w:ascii="Times New Roman" w:hAnsi="Times New Roman"/>
          <w:b/>
          <w:sz w:val="28"/>
        </w:rPr>
        <w:t>A</w:t>
      </w:r>
      <w:r>
        <w:rPr>
          <w:rFonts w:ascii="Times New Roman" w:hAnsi="Times New Roman"/>
          <w:b/>
          <w:spacing w:val="-12"/>
          <w:sz w:val="28"/>
        </w:rPr>
        <w:t> </w:t>
      </w:r>
      <w:r>
        <w:rPr>
          <w:rFonts w:ascii="Times New Roman" w:hAnsi="Times New Roman"/>
          <w:b/>
          <w:sz w:val="28"/>
        </w:rPr>
        <w:t>Case Study of U-ARK</w:t>
      </w:r>
      <w:r>
        <w:rPr>
          <w:rFonts w:ascii="Times New Roman" w:hAnsi="Times New Roman"/>
          <w:b/>
          <w:spacing w:val="-1"/>
          <w:sz w:val="28"/>
        </w:rPr>
        <w:t> </w:t>
      </w:r>
      <w:r>
        <w:rPr>
          <w:rFonts w:ascii="Times New Roman" w:hAnsi="Times New Roman"/>
          <w:b/>
          <w:sz w:val="28"/>
        </w:rPr>
        <w:t>Technology</w:t>
      </w:r>
    </w:p>
    <w:p>
      <w:pPr>
        <w:pStyle w:val="BodyText"/>
        <w:ind w:left="0"/>
        <w:jc w:val="left"/>
        <w:rPr>
          <w:rFonts w:ascii="Times New Roman"/>
          <w:b/>
          <w:sz w:val="36"/>
        </w:rPr>
      </w:pPr>
    </w:p>
    <w:p>
      <w:pPr>
        <w:pStyle w:val="BodyText"/>
        <w:ind w:left="0"/>
        <w:jc w:val="left"/>
        <w:rPr>
          <w:rFonts w:ascii="Times New Roman"/>
          <w:b/>
          <w:sz w:val="36"/>
        </w:rPr>
      </w:pPr>
    </w:p>
    <w:p>
      <w:pPr>
        <w:pStyle w:val="BodyText"/>
        <w:ind w:left="0"/>
        <w:jc w:val="left"/>
        <w:rPr>
          <w:rFonts w:ascii="Times New Roman"/>
          <w:b/>
          <w:sz w:val="36"/>
        </w:rPr>
      </w:pPr>
    </w:p>
    <w:p>
      <w:pPr>
        <w:pStyle w:val="BodyText"/>
        <w:spacing w:before="64"/>
        <w:ind w:left="0"/>
        <w:jc w:val="left"/>
        <w:rPr>
          <w:rFonts w:ascii="Times New Roman"/>
          <w:b/>
          <w:sz w:val="36"/>
        </w:rPr>
      </w:pPr>
    </w:p>
    <w:p>
      <w:pPr>
        <w:spacing w:line="300" w:lineRule="auto" w:before="0"/>
        <w:ind w:left="2575" w:right="2143" w:firstLine="597"/>
        <w:jc w:val="left"/>
        <w:rPr>
          <w:rFonts w:ascii="Microsoft JhengHei" w:eastAsia="Microsoft JhengHei"/>
          <w:b/>
          <w:sz w:val="36"/>
        </w:rPr>
      </w:pPr>
      <w:r>
        <w:rPr>
          <w:rFonts w:ascii="Microsoft JhengHei" w:eastAsia="Microsoft JhengHei"/>
          <w:b/>
          <w:spacing w:val="16"/>
          <w:sz w:val="36"/>
        </w:rPr>
        <w:t>研 究 生：羅心妤</w:t>
      </w:r>
      <w:r>
        <w:rPr>
          <w:rFonts w:ascii="Microsoft JhengHei" w:eastAsia="Microsoft JhengHei"/>
          <w:b/>
          <w:spacing w:val="2"/>
          <w:sz w:val="36"/>
        </w:rPr>
        <w:t>指導教授：周子銓 博士</w:t>
      </w:r>
    </w:p>
    <w:p>
      <w:pPr>
        <w:pStyle w:val="BodyText"/>
        <w:spacing w:before="168"/>
        <w:ind w:left="0"/>
        <w:jc w:val="left"/>
        <w:rPr>
          <w:rFonts w:ascii="Microsoft JhengHei"/>
          <w:b/>
          <w:sz w:val="36"/>
        </w:rPr>
      </w:pPr>
    </w:p>
    <w:p>
      <w:pPr>
        <w:tabs>
          <w:tab w:pos="2882" w:val="left" w:leader="none"/>
          <w:tab w:pos="4325" w:val="left" w:leader="none"/>
        </w:tabs>
        <w:spacing w:before="0"/>
        <w:ind w:left="719" w:right="0" w:firstLine="0"/>
        <w:jc w:val="center"/>
        <w:rPr>
          <w:rFonts w:ascii="Microsoft JhengHei" w:eastAsia="Microsoft JhengHei"/>
          <w:b/>
          <w:sz w:val="36"/>
        </w:rPr>
      </w:pPr>
      <w:r>
        <w:rPr>
          <w:rFonts w:ascii="Microsoft JhengHei" w:eastAsia="Microsoft JhengHei"/>
          <w:b/>
          <w:sz w:val="36"/>
        </w:rPr>
        <w:t>中華民</w:t>
      </w:r>
      <w:r>
        <w:rPr>
          <w:rFonts w:ascii="Microsoft JhengHei" w:eastAsia="Microsoft JhengHei"/>
          <w:b/>
          <w:spacing w:val="-10"/>
          <w:sz w:val="36"/>
        </w:rPr>
        <w:t>國</w:t>
      </w:r>
      <w:r>
        <w:rPr>
          <w:rFonts w:ascii="Microsoft JhengHei" w:eastAsia="Microsoft JhengHei"/>
          <w:b/>
          <w:sz w:val="36"/>
        </w:rPr>
        <w:tab/>
        <w:t>一一</w:t>
      </w:r>
      <w:r>
        <w:rPr>
          <w:rFonts w:ascii="Microsoft JhengHei" w:eastAsia="Microsoft JhengHei"/>
          <w:b/>
          <w:spacing w:val="-10"/>
          <w:sz w:val="36"/>
        </w:rPr>
        <w:t>四</w:t>
      </w:r>
      <w:r>
        <w:rPr>
          <w:rFonts w:ascii="Microsoft JhengHei" w:eastAsia="Microsoft JhengHei"/>
          <w:b/>
          <w:sz w:val="36"/>
        </w:rPr>
        <w:tab/>
        <w:t>年</w:t>
      </w:r>
      <w:r>
        <w:rPr>
          <w:rFonts w:ascii="Microsoft JhengHei" w:eastAsia="Microsoft JhengHei"/>
          <w:b/>
          <w:spacing w:val="45"/>
          <w:w w:val="150"/>
          <w:sz w:val="36"/>
        </w:rPr>
        <w:t> </w:t>
      </w:r>
      <w:r>
        <w:rPr>
          <w:rFonts w:ascii="Microsoft JhengHei" w:eastAsia="Microsoft JhengHei"/>
          <w:b/>
          <w:sz w:val="36"/>
        </w:rPr>
        <w:t>一</w:t>
      </w:r>
      <w:r>
        <w:rPr>
          <w:rFonts w:ascii="Microsoft JhengHei" w:eastAsia="Microsoft JhengHei"/>
          <w:b/>
          <w:spacing w:val="45"/>
          <w:w w:val="150"/>
          <w:sz w:val="36"/>
        </w:rPr>
        <w:t> </w:t>
      </w:r>
      <w:r>
        <w:rPr>
          <w:rFonts w:ascii="Microsoft JhengHei" w:eastAsia="Microsoft JhengHei"/>
          <w:b/>
          <w:spacing w:val="-10"/>
          <w:sz w:val="36"/>
        </w:rPr>
        <w:t>月</w:t>
      </w:r>
    </w:p>
    <w:p>
      <w:pPr>
        <w:spacing w:after="0"/>
        <w:jc w:val="center"/>
        <w:rPr>
          <w:rFonts w:ascii="Microsoft JhengHei" w:eastAsia="Microsoft JhengHei"/>
          <w:b/>
          <w:sz w:val="36"/>
        </w:rPr>
        <w:sectPr>
          <w:type w:val="continuous"/>
          <w:pgSz w:w="11910" w:h="16840"/>
          <w:pgMar w:top="1920" w:bottom="280" w:left="1700" w:right="1700"/>
        </w:sectPr>
      </w:pPr>
    </w:p>
    <w:p>
      <w:pPr>
        <w:pStyle w:val="BodyText"/>
        <w:spacing w:before="16"/>
        <w:ind w:left="0"/>
        <w:jc w:val="left"/>
        <w:rPr>
          <w:rFonts w:ascii="Microsoft JhengHei"/>
          <w:b/>
          <w:sz w:val="10"/>
        </w:rPr>
      </w:pPr>
      <w:r>
        <w:rPr>
          <w:rFonts w:ascii="Microsoft JhengHei"/>
          <w:b/>
          <w:sz w:val="10"/>
        </w:rPr>
        <w:drawing>
          <wp:anchor distT="0" distB="0" distL="0" distR="0" allowOverlap="1" layoutInCell="1" locked="0" behindDoc="1" simplePos="0" relativeHeight="485772288">
            <wp:simplePos x="0" y="0"/>
            <wp:positionH relativeFrom="page">
              <wp:posOffset>3310890</wp:posOffset>
            </wp:positionH>
            <wp:positionV relativeFrom="page">
              <wp:posOffset>4826507</wp:posOffset>
            </wp:positionV>
            <wp:extent cx="929640" cy="978408"/>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b/>
          <w:sz w:val="10"/>
        </w:rPr>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7557516" cy="10689335"/>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7557516" cy="10689335"/>
                    </a:xfrm>
                    <a:prstGeom prst="rect">
                      <a:avLst/>
                    </a:prstGeom>
                  </pic:spPr>
                </pic:pic>
              </a:graphicData>
            </a:graphic>
          </wp:anchor>
        </w:drawing>
      </w:r>
    </w:p>
    <w:p>
      <w:pPr>
        <w:pStyle w:val="BodyText"/>
        <w:spacing w:after="0"/>
        <w:jc w:val="left"/>
        <w:rPr>
          <w:rFonts w:ascii="Microsoft JhengHei"/>
          <w:b/>
          <w:sz w:val="10"/>
        </w:rPr>
        <w:sectPr>
          <w:pgSz w:w="11910" w:h="16840"/>
          <w:pgMar w:top="1920" w:bottom="280" w:left="1700" w:right="1700"/>
        </w:sectPr>
      </w:pPr>
    </w:p>
    <w:p>
      <w:pPr>
        <w:pStyle w:val="BodyText"/>
        <w:spacing w:before="16"/>
        <w:ind w:left="0"/>
        <w:jc w:val="left"/>
        <w:rPr>
          <w:rFonts w:ascii="Microsoft JhengHei"/>
          <w:b/>
          <w:sz w:val="10"/>
        </w:rPr>
      </w:pPr>
      <w:r>
        <w:rPr>
          <w:rFonts w:ascii="Microsoft JhengHei"/>
          <w:b/>
          <w:sz w:val="10"/>
        </w:rPr>
        <w:drawing>
          <wp:anchor distT="0" distB="0" distL="0" distR="0" allowOverlap="1" layoutInCell="1" locked="0" behindDoc="1" simplePos="0" relativeHeight="485773312">
            <wp:simplePos x="0" y="0"/>
            <wp:positionH relativeFrom="page">
              <wp:posOffset>3310382</wp:posOffset>
            </wp:positionH>
            <wp:positionV relativeFrom="page">
              <wp:posOffset>4828539</wp:posOffset>
            </wp:positionV>
            <wp:extent cx="929640" cy="978408"/>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b/>
          <w:sz w:val="10"/>
        </w:rPr>
        <w:drawing>
          <wp:anchor distT="0" distB="0" distL="0" distR="0" allowOverlap="1" layoutInCell="1" locked="0" behindDoc="0" simplePos="0" relativeHeight="15731712">
            <wp:simplePos x="0" y="0"/>
            <wp:positionH relativeFrom="page">
              <wp:posOffset>228600</wp:posOffset>
            </wp:positionH>
            <wp:positionV relativeFrom="page">
              <wp:posOffset>520700</wp:posOffset>
            </wp:positionV>
            <wp:extent cx="7099300" cy="965200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8" cstate="print"/>
                    <a:stretch>
                      <a:fillRect/>
                    </a:stretch>
                  </pic:blipFill>
                  <pic:spPr>
                    <a:xfrm>
                      <a:off x="0" y="0"/>
                      <a:ext cx="7099300" cy="9652000"/>
                    </a:xfrm>
                    <a:prstGeom prst="rect">
                      <a:avLst/>
                    </a:prstGeom>
                  </pic:spPr>
                </pic:pic>
              </a:graphicData>
            </a:graphic>
          </wp:anchor>
        </w:drawing>
      </w:r>
    </w:p>
    <w:p>
      <w:pPr>
        <w:pStyle w:val="BodyText"/>
        <w:spacing w:after="0"/>
        <w:jc w:val="left"/>
        <w:rPr>
          <w:rFonts w:ascii="Microsoft JhengHei"/>
          <w:b/>
          <w:sz w:val="10"/>
        </w:rPr>
        <w:sectPr>
          <w:pgSz w:w="11900" w:h="16840"/>
          <w:pgMar w:top="1940" w:bottom="280" w:left="1700" w:right="1700"/>
        </w:sectPr>
      </w:pPr>
    </w:p>
    <w:p>
      <w:pPr>
        <w:pStyle w:val="Heading1"/>
      </w:pPr>
      <w:bookmarkStart w:name="_bookmark0" w:id="1"/>
      <w:bookmarkEnd w:id="1"/>
      <w:r>
        <w:rPr>
          <w:b w:val="0"/>
        </w:rPr>
      </w:r>
      <w:r>
        <w:rPr>
          <w:spacing w:val="-5"/>
        </w:rPr>
        <w:t>摘要</w:t>
      </w:r>
    </w:p>
    <w:p>
      <w:pPr>
        <w:pStyle w:val="BodyText"/>
        <w:spacing w:before="277"/>
        <w:ind w:left="1168"/>
        <w:jc w:val="left"/>
        <w:rPr>
          <w:rFonts w:ascii="Times New Roman" w:eastAsia="Times New Roman"/>
        </w:rPr>
      </w:pPr>
      <w:r>
        <w:rPr>
          <w:spacing w:val="-1"/>
        </w:rPr>
        <w:t>學號：</w:t>
      </w:r>
      <w:r>
        <w:rPr>
          <w:rFonts w:ascii="Times New Roman" w:eastAsia="Times New Roman"/>
          <w:spacing w:val="-2"/>
        </w:rPr>
        <w:t>M11109216</w:t>
      </w:r>
    </w:p>
    <w:p>
      <w:pPr>
        <w:pStyle w:val="BodyText"/>
        <w:spacing w:before="65"/>
        <w:ind w:left="0"/>
        <w:jc w:val="left"/>
        <w:rPr>
          <w:rFonts w:ascii="Times New Roman"/>
        </w:rPr>
      </w:pPr>
    </w:p>
    <w:p>
      <w:pPr>
        <w:pStyle w:val="BodyText"/>
        <w:spacing w:line="506" w:lineRule="auto"/>
        <w:ind w:left="1168" w:right="1989"/>
        <w:jc w:val="left"/>
      </w:pPr>
      <w:r>
        <w:rPr>
          <w:spacing w:val="-2"/>
        </w:rPr>
        <w:t>論文名稱：照護科技生態圈跨界管理機制：以諾亞克科技為例</w:t>
      </w:r>
      <w:r>
        <w:rPr/>
        <w:t>頁數：</w:t>
      </w:r>
      <w:r>
        <w:rPr>
          <w:rFonts w:ascii="Times New Roman" w:eastAsia="Times New Roman"/>
        </w:rPr>
        <w:t>119 </w:t>
      </w:r>
      <w:r>
        <w:rPr/>
        <w:t>頁</w:t>
      </w:r>
    </w:p>
    <w:p>
      <w:pPr>
        <w:pStyle w:val="BodyText"/>
        <w:spacing w:line="506" w:lineRule="auto"/>
        <w:ind w:left="1168" w:right="2468"/>
        <w:jc w:val="left"/>
      </w:pPr>
      <w:r>
        <w:rPr>
          <w:spacing w:val="-3"/>
        </w:rPr>
        <w:t>院所組別：國立臺灣科技大學 管理學院 資訊管理研究所</w:t>
      </w:r>
      <w:r>
        <w:rPr>
          <w:spacing w:val="-2"/>
        </w:rPr>
        <w:t>研究生：羅心妤</w:t>
      </w:r>
    </w:p>
    <w:p>
      <w:pPr>
        <w:pStyle w:val="BodyText"/>
        <w:spacing w:line="306" w:lineRule="exact"/>
        <w:ind w:left="0" w:right="684"/>
        <w:jc w:val="right"/>
      </w:pPr>
      <w:r>
        <w:rPr>
          <w:spacing w:val="-1"/>
        </w:rPr>
        <w:t>指導教授：周子銓 博士</w:t>
      </w:r>
    </w:p>
    <w:p>
      <w:pPr>
        <w:pStyle w:val="BodyText"/>
        <w:spacing w:before="103"/>
        <w:ind w:left="0"/>
        <w:jc w:val="left"/>
      </w:pPr>
    </w:p>
    <w:p>
      <w:pPr>
        <w:pStyle w:val="BodyText"/>
        <w:spacing w:line="422" w:lineRule="auto"/>
        <w:ind w:right="683" w:firstLine="479"/>
      </w:pPr>
      <w:r>
        <w:rPr/>
        <w:drawing>
          <wp:anchor distT="0" distB="0" distL="0" distR="0" allowOverlap="1" layoutInCell="1" locked="0" behindDoc="1" simplePos="0" relativeHeight="485774336">
            <wp:simplePos x="0" y="0"/>
            <wp:positionH relativeFrom="page">
              <wp:posOffset>3312414</wp:posOffset>
            </wp:positionH>
            <wp:positionV relativeFrom="paragraph">
              <wp:posOffset>641292</wp:posOffset>
            </wp:positionV>
            <wp:extent cx="929640" cy="978408"/>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在全球數位健康產業快速發展的背景下，照護科技公司迎來了重塑傳統醫</w:t>
      </w:r>
      <w:r>
        <w:rPr>
          <w:spacing w:val="-4"/>
        </w:rPr>
        <w:t>療模式的機遇。然而，台灣有限的市場規模也對公司的可持續發展帶來挑戰，企</w:t>
      </w:r>
      <w:r>
        <w:rPr>
          <w:spacing w:val="-2"/>
        </w:rPr>
        <w:t>業保持競爭力成為關鍵課題。</w:t>
      </w:r>
    </w:p>
    <w:p>
      <w:pPr>
        <w:pStyle w:val="BodyText"/>
        <w:spacing w:line="422" w:lineRule="auto" w:before="177"/>
        <w:ind w:right="683" w:firstLine="479"/>
      </w:pPr>
      <w:r>
        <w:rPr>
          <w:spacing w:val="-6"/>
        </w:rPr>
        <w:t>本研究採用單一個案研究法，以諾亞克科技為研究對象，探討照護科技公司</w:t>
      </w:r>
      <w:r>
        <w:rPr>
          <w:spacing w:val="-4"/>
        </w:rPr>
        <w:t>如何透過跨界管理機制與資源行動，拓展至新的服務生態系。本研究首先分析其應對競爭環境變遷的動態調適能力：初期採用「需求採用」策略規劃產品，中期</w:t>
      </w:r>
      <w:r>
        <w:rPr>
          <w:spacing w:val="-2"/>
        </w:rPr>
        <w:t>以「數據驅動」應對削價競爭，近期則運用「生態協調」策略拓展新市場。</w:t>
      </w:r>
    </w:p>
    <w:p>
      <w:pPr>
        <w:pStyle w:val="BodyText"/>
        <w:spacing w:line="422" w:lineRule="auto" w:before="175"/>
        <w:ind w:right="469" w:firstLine="479"/>
        <w:jc w:val="left"/>
      </w:pPr>
      <w:r>
        <w:rPr>
          <w:spacing w:val="-2"/>
        </w:rPr>
        <w:t>其次，研究進一步探討跨界管理如何幫助組織突破資源限制。透過跨越市場邊界，辨識可持續且可複製的商業模式；接著運用服務主導邏輯補足專業知識與</w:t>
      </w:r>
      <w:r>
        <w:rPr>
          <w:spacing w:val="-6"/>
        </w:rPr>
        <w:t>行業經驗以跨越知識邊界；最後突破技術邊界，利用資訊科技槓桿化與平台整合，</w:t>
      </w:r>
      <w:r>
        <w:rPr>
          <w:spacing w:val="-7"/>
        </w:rPr>
        <w:t>將既有資源部署至新市場，擴大規模並持續強化創新能力，達成市場拓展的目標。</w:t>
      </w:r>
    </w:p>
    <w:p>
      <w:pPr>
        <w:pStyle w:val="BodyText"/>
        <w:spacing w:line="422" w:lineRule="auto" w:before="176"/>
        <w:ind w:right="683" w:firstLine="479"/>
        <w:jc w:val="left"/>
      </w:pPr>
      <w:r>
        <w:rPr>
          <w:spacing w:val="-6"/>
        </w:rPr>
        <w:t>最後，本研究以資源和諧觀點建構一套跨界拓展服務生態系的架構圖，展現</w:t>
      </w:r>
      <w:r>
        <w:rPr>
          <w:spacing w:val="-1"/>
        </w:rPr>
        <w:t>組織如何透過動態調適，實現資源整合與市場拓展的目標。本研究不僅揭示了</w:t>
      </w:r>
    </w:p>
    <w:p>
      <w:pPr>
        <w:spacing w:line="360" w:lineRule="auto" w:before="0"/>
        <w:ind w:left="689" w:right="686" w:firstLine="0"/>
        <w:jc w:val="left"/>
        <w:rPr>
          <w:rFonts w:ascii="Microsoft JhengHei" w:eastAsia="Microsoft JhengHei"/>
          <w:b/>
          <w:sz w:val="24"/>
        </w:rPr>
      </w:pPr>
      <w:r>
        <w:rPr>
          <w:rFonts w:ascii="Times New Roman" w:eastAsia="Times New Roman"/>
          <w:sz w:val="24"/>
        </w:rPr>
        <w:t>SaaS</w:t>
      </w:r>
      <w:r>
        <w:rPr>
          <w:rFonts w:ascii="Times New Roman" w:eastAsia="Times New Roman"/>
          <w:spacing w:val="8"/>
          <w:sz w:val="24"/>
        </w:rPr>
        <w:t> </w:t>
      </w:r>
      <w:r>
        <w:rPr>
          <w:sz w:val="24"/>
        </w:rPr>
        <w:t>照護科技公司的拓展策略，亦為其他類似企業提供實踐參考與策略啟示。</w:t>
      </w:r>
      <w:r>
        <w:rPr>
          <w:rFonts w:ascii="Microsoft JhengHei" w:eastAsia="Microsoft JhengHei"/>
          <w:b/>
          <w:spacing w:val="-2"/>
          <w:sz w:val="24"/>
        </w:rPr>
        <w:t>關鍵字：智慧照護、跨界管理、資源和諧、服務生態系</w:t>
      </w:r>
    </w:p>
    <w:p>
      <w:pPr>
        <w:spacing w:after="0" w:line="360" w:lineRule="auto"/>
        <w:jc w:val="left"/>
        <w:rPr>
          <w:rFonts w:ascii="Microsoft JhengHei" w:eastAsia="Microsoft JhengHei"/>
          <w:b/>
          <w:sz w:val="24"/>
        </w:rPr>
        <w:sectPr>
          <w:footerReference w:type="default" r:id="rId9"/>
          <w:pgSz w:w="11910" w:h="16840"/>
          <w:pgMar w:header="0" w:footer="1197" w:top="1780" w:bottom="1380" w:left="1133" w:right="1133"/>
          <w:pgNumType w:start="1"/>
        </w:sectPr>
      </w:pPr>
    </w:p>
    <w:p>
      <w:pPr>
        <w:pStyle w:val="Heading1"/>
        <w:spacing w:line="240" w:lineRule="auto" w:before="57"/>
        <w:rPr>
          <w:rFonts w:ascii="Times New Roman"/>
        </w:rPr>
      </w:pPr>
      <w:bookmarkStart w:name="_bookmark1" w:id="2"/>
      <w:bookmarkEnd w:id="2"/>
      <w:r>
        <w:rPr>
          <w:b w:val="0"/>
        </w:rPr>
      </w:r>
      <w:r>
        <w:rPr>
          <w:rFonts w:ascii="Times New Roman"/>
          <w:spacing w:val="-2"/>
        </w:rPr>
        <w:t>Abstract</w:t>
      </w:r>
    </w:p>
    <w:p>
      <w:pPr>
        <w:pStyle w:val="BodyText"/>
        <w:spacing w:before="150"/>
        <w:ind w:left="0"/>
        <w:jc w:val="left"/>
        <w:rPr>
          <w:rFonts w:ascii="Times New Roman"/>
          <w:b/>
          <w:sz w:val="36"/>
        </w:rPr>
      </w:pPr>
    </w:p>
    <w:p>
      <w:pPr>
        <w:pStyle w:val="BodyText"/>
        <w:spacing w:line="468" w:lineRule="auto"/>
        <w:ind w:left="569" w:right="470" w:firstLine="199"/>
        <w:jc w:val="left"/>
        <w:rPr>
          <w:rFonts w:ascii="Times New Roman"/>
        </w:rPr>
      </w:pPr>
      <w:r>
        <w:rPr>
          <w:rFonts w:ascii="Times New Roman"/>
        </w:rPr>
        <w:t>Amidst the rapid development of the global digital health industry, care technology companies face opportunities to reshape traditional healthcare models. However, the limited</w:t>
      </w:r>
      <w:r>
        <w:rPr>
          <w:rFonts w:ascii="Times New Roman"/>
          <w:spacing w:val="-4"/>
        </w:rPr>
        <w:t> </w:t>
      </w:r>
      <w:r>
        <w:rPr>
          <w:rFonts w:ascii="Times New Roman"/>
        </w:rPr>
        <w:t>market</w:t>
      </w:r>
      <w:r>
        <w:rPr>
          <w:rFonts w:ascii="Times New Roman"/>
          <w:spacing w:val="-4"/>
        </w:rPr>
        <w:t> </w:t>
      </w:r>
      <w:r>
        <w:rPr>
          <w:rFonts w:ascii="Times New Roman"/>
        </w:rPr>
        <w:t>size</w:t>
      </w:r>
      <w:r>
        <w:rPr>
          <w:rFonts w:ascii="Times New Roman"/>
          <w:spacing w:val="-5"/>
        </w:rPr>
        <w:t> </w:t>
      </w:r>
      <w:r>
        <w:rPr>
          <w:rFonts w:ascii="Times New Roman"/>
        </w:rPr>
        <w:t>in</w:t>
      </w:r>
      <w:r>
        <w:rPr>
          <w:rFonts w:ascii="Times New Roman"/>
          <w:spacing w:val="-4"/>
        </w:rPr>
        <w:t> </w:t>
      </w:r>
      <w:r>
        <w:rPr>
          <w:rFonts w:ascii="Times New Roman"/>
        </w:rPr>
        <w:t>Taiwan</w:t>
      </w:r>
      <w:r>
        <w:rPr>
          <w:rFonts w:ascii="Times New Roman"/>
          <w:spacing w:val="-4"/>
        </w:rPr>
        <w:t> </w:t>
      </w:r>
      <w:r>
        <w:rPr>
          <w:rFonts w:ascii="Times New Roman"/>
        </w:rPr>
        <w:t>presents</w:t>
      </w:r>
      <w:r>
        <w:rPr>
          <w:rFonts w:ascii="Times New Roman"/>
          <w:spacing w:val="-2"/>
        </w:rPr>
        <w:t> </w:t>
      </w:r>
      <w:r>
        <w:rPr>
          <w:rFonts w:ascii="Times New Roman"/>
        </w:rPr>
        <w:t>challenges</w:t>
      </w:r>
      <w:r>
        <w:rPr>
          <w:rFonts w:ascii="Times New Roman"/>
          <w:spacing w:val="-2"/>
        </w:rPr>
        <w:t> </w:t>
      </w:r>
      <w:r>
        <w:rPr>
          <w:rFonts w:ascii="Times New Roman"/>
        </w:rPr>
        <w:t>to</w:t>
      </w:r>
      <w:r>
        <w:rPr>
          <w:rFonts w:ascii="Times New Roman"/>
          <w:spacing w:val="-4"/>
        </w:rPr>
        <w:t> </w:t>
      </w:r>
      <w:r>
        <w:rPr>
          <w:rFonts w:ascii="Times New Roman"/>
        </w:rPr>
        <w:t>sustainable</w:t>
      </w:r>
      <w:r>
        <w:rPr>
          <w:rFonts w:ascii="Times New Roman"/>
          <w:spacing w:val="-4"/>
        </w:rPr>
        <w:t> </w:t>
      </w:r>
      <w:r>
        <w:rPr>
          <w:rFonts w:ascii="Times New Roman"/>
        </w:rPr>
        <w:t>development,</w:t>
      </w:r>
      <w:r>
        <w:rPr>
          <w:rFonts w:ascii="Times New Roman"/>
          <w:spacing w:val="-4"/>
        </w:rPr>
        <w:t> </w:t>
      </w:r>
      <w:r>
        <w:rPr>
          <w:rFonts w:ascii="Times New Roman"/>
        </w:rPr>
        <w:t>making</w:t>
      </w:r>
      <w:r>
        <w:rPr>
          <w:rFonts w:ascii="Times New Roman"/>
          <w:spacing w:val="-4"/>
        </w:rPr>
        <w:t> </w:t>
      </w:r>
      <w:r>
        <w:rPr>
          <w:rFonts w:ascii="Times New Roman"/>
        </w:rPr>
        <w:t>it crucial for companies to maintain competitiveness.</w:t>
      </w:r>
    </w:p>
    <w:p>
      <w:pPr>
        <w:pStyle w:val="BodyText"/>
        <w:spacing w:before="11"/>
        <w:ind w:left="0"/>
        <w:jc w:val="left"/>
        <w:rPr>
          <w:rFonts w:ascii="Times New Roman"/>
        </w:rPr>
      </w:pPr>
    </w:p>
    <w:p>
      <w:pPr>
        <w:pStyle w:val="BodyText"/>
        <w:tabs>
          <w:tab w:pos="7388" w:val="left" w:leader="none"/>
        </w:tabs>
        <w:spacing w:line="470" w:lineRule="auto"/>
        <w:ind w:left="569" w:right="601" w:firstLine="199"/>
        <w:jc w:val="left"/>
        <w:rPr>
          <w:rFonts w:ascii="Times New Roman"/>
        </w:rPr>
      </w:pPr>
      <w:r>
        <w:rPr>
          <w:rFonts w:ascii="Times New Roman"/>
        </w:rPr>
        <w:drawing>
          <wp:anchor distT="0" distB="0" distL="0" distR="0" allowOverlap="1" layoutInCell="1" locked="0" behindDoc="1" simplePos="0" relativeHeight="485774848">
            <wp:simplePos x="0" y="0"/>
            <wp:positionH relativeFrom="page">
              <wp:posOffset>3312414</wp:posOffset>
            </wp:positionH>
            <wp:positionV relativeFrom="paragraph">
              <wp:posOffset>1479725</wp:posOffset>
            </wp:positionV>
            <wp:extent cx="929640" cy="978408"/>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This study adopts a single-case study approach, focusing on U-ARK Technology as the research subject. First, the study analyzes the company's strategy</w:t>
        <w:tab/>
        <w:t>to</w:t>
      </w:r>
      <w:r>
        <w:rPr>
          <w:rFonts w:ascii="Times New Roman"/>
          <w:spacing w:val="-2"/>
        </w:rPr>
        <w:t> </w:t>
      </w:r>
      <w:r>
        <w:rPr>
          <w:rFonts w:ascii="Times New Roman"/>
        </w:rPr>
        <w:t>changes</w:t>
      </w:r>
      <w:r>
        <w:rPr>
          <w:rFonts w:ascii="Times New Roman"/>
          <w:spacing w:val="-3"/>
        </w:rPr>
        <w:t> </w:t>
      </w:r>
      <w:r>
        <w:rPr>
          <w:rFonts w:ascii="Times New Roman"/>
        </w:rPr>
        <w:t>in</w:t>
      </w:r>
      <w:r>
        <w:rPr>
          <w:rFonts w:ascii="Times New Roman"/>
          <w:spacing w:val="-2"/>
        </w:rPr>
        <w:t> </w:t>
      </w:r>
      <w:r>
        <w:rPr>
          <w:rFonts w:ascii="Times New Roman"/>
        </w:rPr>
        <w:t>the competitive environment: initially adopting a "demand adoption" strategy for product planning, transitioning to a "data-driven" approach to address price competition, and more</w:t>
      </w:r>
      <w:r>
        <w:rPr>
          <w:rFonts w:ascii="Times New Roman"/>
          <w:spacing w:val="-6"/>
        </w:rPr>
        <w:t> </w:t>
      </w:r>
      <w:r>
        <w:rPr>
          <w:rFonts w:ascii="Times New Roman"/>
        </w:rPr>
        <w:t>recently,</w:t>
      </w:r>
      <w:r>
        <w:rPr>
          <w:rFonts w:ascii="Times New Roman"/>
          <w:spacing w:val="-4"/>
        </w:rPr>
        <w:t> </w:t>
      </w:r>
      <w:r>
        <w:rPr>
          <w:rFonts w:ascii="Times New Roman"/>
        </w:rPr>
        <w:t>employing</w:t>
      </w:r>
      <w:r>
        <w:rPr>
          <w:rFonts w:ascii="Times New Roman"/>
          <w:spacing w:val="-4"/>
        </w:rPr>
        <w:t> </w:t>
      </w:r>
      <w:r>
        <w:rPr>
          <w:rFonts w:ascii="Times New Roman"/>
        </w:rPr>
        <w:t>an</w:t>
      </w:r>
      <w:r>
        <w:rPr>
          <w:rFonts w:ascii="Times New Roman"/>
          <w:spacing w:val="-4"/>
        </w:rPr>
        <w:t> </w:t>
      </w:r>
      <w:r>
        <w:rPr>
          <w:rFonts w:ascii="Times New Roman"/>
        </w:rPr>
        <w:t>"ecosystem</w:t>
      </w:r>
      <w:r>
        <w:rPr>
          <w:rFonts w:ascii="Times New Roman"/>
          <w:spacing w:val="-4"/>
        </w:rPr>
        <w:t> </w:t>
      </w:r>
      <w:r>
        <w:rPr>
          <w:rFonts w:ascii="Times New Roman"/>
        </w:rPr>
        <w:t>coordination"</w:t>
      </w:r>
      <w:r>
        <w:rPr>
          <w:rFonts w:ascii="Times New Roman"/>
          <w:spacing w:val="-5"/>
        </w:rPr>
        <w:t> </w:t>
      </w:r>
      <w:r>
        <w:rPr>
          <w:rFonts w:ascii="Times New Roman"/>
        </w:rPr>
        <w:t>strategy</w:t>
      </w:r>
      <w:r>
        <w:rPr>
          <w:rFonts w:ascii="Times New Roman"/>
          <w:spacing w:val="-4"/>
        </w:rPr>
        <w:t> </w:t>
      </w:r>
      <w:r>
        <w:rPr>
          <w:rFonts w:ascii="Times New Roman"/>
        </w:rPr>
        <w:t>to</w:t>
      </w:r>
      <w:r>
        <w:rPr>
          <w:rFonts w:ascii="Times New Roman"/>
          <w:spacing w:val="-4"/>
        </w:rPr>
        <w:t> </w:t>
      </w:r>
      <w:r>
        <w:rPr>
          <w:rFonts w:ascii="Times New Roman"/>
        </w:rPr>
        <w:t>explore</w:t>
      </w:r>
      <w:r>
        <w:rPr>
          <w:rFonts w:ascii="Times New Roman"/>
          <w:spacing w:val="-3"/>
        </w:rPr>
        <w:t> </w:t>
      </w:r>
      <w:r>
        <w:rPr>
          <w:rFonts w:ascii="Times New Roman"/>
        </w:rPr>
        <w:t>new</w:t>
      </w:r>
      <w:r>
        <w:rPr>
          <w:rFonts w:ascii="Times New Roman"/>
          <w:spacing w:val="-5"/>
        </w:rPr>
        <w:t> </w:t>
      </w:r>
      <w:r>
        <w:rPr>
          <w:rFonts w:ascii="Times New Roman"/>
        </w:rPr>
        <w:t>markets.</w:t>
      </w:r>
    </w:p>
    <w:p>
      <w:pPr>
        <w:pStyle w:val="BodyText"/>
        <w:ind w:left="0"/>
        <w:jc w:val="left"/>
        <w:rPr>
          <w:rFonts w:ascii="Times New Roman"/>
        </w:rPr>
      </w:pPr>
    </w:p>
    <w:p>
      <w:pPr>
        <w:pStyle w:val="BodyText"/>
        <w:spacing w:line="470" w:lineRule="auto"/>
        <w:ind w:left="569" w:right="470" w:firstLine="199"/>
        <w:jc w:val="left"/>
        <w:rPr>
          <w:rFonts w:ascii="Times New Roman"/>
        </w:rPr>
      </w:pPr>
      <w:r>
        <w:rPr>
          <w:rFonts w:ascii="Times New Roman"/>
        </w:rPr>
        <w:t>Secondly, the research delves into how boundary management aids organizations in overcoming resource constraints. By transcending market boundaries, the company identifies sustainable and replicable business models. Subsequently, it applies service- dominant</w:t>
      </w:r>
      <w:r>
        <w:rPr>
          <w:rFonts w:ascii="Times New Roman"/>
          <w:spacing w:val="-4"/>
        </w:rPr>
        <w:t> </w:t>
      </w:r>
      <w:r>
        <w:rPr>
          <w:rFonts w:ascii="Times New Roman"/>
        </w:rPr>
        <w:t>logic</w:t>
      </w:r>
      <w:r>
        <w:rPr>
          <w:rFonts w:ascii="Times New Roman"/>
          <w:spacing w:val="-4"/>
        </w:rPr>
        <w:t> </w:t>
      </w:r>
      <w:r>
        <w:rPr>
          <w:rFonts w:ascii="Times New Roman"/>
        </w:rPr>
        <w:t>to</w:t>
      </w:r>
      <w:r>
        <w:rPr>
          <w:rFonts w:ascii="Times New Roman"/>
          <w:spacing w:val="-4"/>
        </w:rPr>
        <w:t> </w:t>
      </w:r>
      <w:r>
        <w:rPr>
          <w:rFonts w:ascii="Times New Roman"/>
        </w:rPr>
        <w:t>bridge</w:t>
      </w:r>
      <w:r>
        <w:rPr>
          <w:rFonts w:ascii="Times New Roman"/>
          <w:spacing w:val="-4"/>
        </w:rPr>
        <w:t> </w:t>
      </w:r>
      <w:r>
        <w:rPr>
          <w:rFonts w:ascii="Times New Roman"/>
        </w:rPr>
        <w:t>industry</w:t>
      </w:r>
      <w:r>
        <w:rPr>
          <w:rFonts w:ascii="Times New Roman"/>
          <w:spacing w:val="-4"/>
        </w:rPr>
        <w:t> </w:t>
      </w:r>
      <w:r>
        <w:rPr>
          <w:rFonts w:ascii="Times New Roman"/>
        </w:rPr>
        <w:t>expertise,</w:t>
      </w:r>
      <w:r>
        <w:rPr>
          <w:rFonts w:ascii="Times New Roman"/>
          <w:spacing w:val="-4"/>
        </w:rPr>
        <w:t> </w:t>
      </w:r>
      <w:r>
        <w:rPr>
          <w:rFonts w:ascii="Times New Roman"/>
        </w:rPr>
        <w:t>crossing</w:t>
      </w:r>
      <w:r>
        <w:rPr>
          <w:rFonts w:ascii="Times New Roman"/>
          <w:spacing w:val="-4"/>
        </w:rPr>
        <w:t> </w:t>
      </w:r>
      <w:r>
        <w:rPr>
          <w:rFonts w:ascii="Times New Roman"/>
        </w:rPr>
        <w:t>knowledge</w:t>
      </w:r>
      <w:r>
        <w:rPr>
          <w:rFonts w:ascii="Times New Roman"/>
          <w:spacing w:val="-5"/>
        </w:rPr>
        <w:t> </w:t>
      </w:r>
      <w:r>
        <w:rPr>
          <w:rFonts w:ascii="Times New Roman"/>
        </w:rPr>
        <w:t>boundaries.</w:t>
      </w:r>
      <w:r>
        <w:rPr>
          <w:rFonts w:ascii="Times New Roman"/>
          <w:spacing w:val="-4"/>
        </w:rPr>
        <w:t> </w:t>
      </w:r>
      <w:r>
        <w:rPr>
          <w:rFonts w:ascii="Times New Roman"/>
        </w:rPr>
        <w:t>Finally,</w:t>
      </w:r>
      <w:r>
        <w:rPr>
          <w:rFonts w:ascii="Times New Roman"/>
          <w:spacing w:val="-4"/>
        </w:rPr>
        <w:t> </w:t>
      </w:r>
      <w:r>
        <w:rPr>
          <w:rFonts w:ascii="Times New Roman"/>
        </w:rPr>
        <w:t>the company</w:t>
      </w:r>
      <w:r>
        <w:rPr>
          <w:rFonts w:ascii="Times New Roman"/>
          <w:spacing w:val="-4"/>
        </w:rPr>
        <w:t> </w:t>
      </w:r>
      <w:r>
        <w:rPr>
          <w:rFonts w:ascii="Times New Roman"/>
        </w:rPr>
        <w:t>overcomes</w:t>
      </w:r>
      <w:r>
        <w:rPr>
          <w:rFonts w:ascii="Times New Roman"/>
          <w:spacing w:val="-5"/>
        </w:rPr>
        <w:t> </w:t>
      </w:r>
      <w:r>
        <w:rPr>
          <w:rFonts w:ascii="Times New Roman"/>
        </w:rPr>
        <w:t>technological</w:t>
      </w:r>
      <w:r>
        <w:rPr>
          <w:rFonts w:ascii="Times New Roman"/>
          <w:spacing w:val="-4"/>
        </w:rPr>
        <w:t> </w:t>
      </w:r>
      <w:r>
        <w:rPr>
          <w:rFonts w:ascii="Times New Roman"/>
        </w:rPr>
        <w:t>boundaries</w:t>
      </w:r>
      <w:r>
        <w:rPr>
          <w:rFonts w:ascii="Times New Roman"/>
          <w:spacing w:val="-5"/>
        </w:rPr>
        <w:t> </w:t>
      </w:r>
      <w:r>
        <w:rPr>
          <w:rFonts w:ascii="Times New Roman"/>
        </w:rPr>
        <w:t>by</w:t>
      </w:r>
      <w:r>
        <w:rPr>
          <w:rFonts w:ascii="Times New Roman"/>
          <w:spacing w:val="-4"/>
        </w:rPr>
        <w:t> </w:t>
      </w:r>
      <w:r>
        <w:rPr>
          <w:rFonts w:ascii="Times New Roman"/>
        </w:rPr>
        <w:t>leveraging</w:t>
      </w:r>
      <w:r>
        <w:rPr>
          <w:rFonts w:ascii="Times New Roman"/>
          <w:spacing w:val="-2"/>
        </w:rPr>
        <w:t> </w:t>
      </w:r>
      <w:r>
        <w:rPr>
          <w:rFonts w:ascii="Times New Roman"/>
        </w:rPr>
        <w:t>IT</w:t>
      </w:r>
      <w:r>
        <w:rPr>
          <w:rFonts w:ascii="Times New Roman"/>
          <w:spacing w:val="-5"/>
        </w:rPr>
        <w:t> </w:t>
      </w:r>
      <w:r>
        <w:rPr>
          <w:rFonts w:ascii="Times New Roman"/>
        </w:rPr>
        <w:t>and</w:t>
      </w:r>
      <w:r>
        <w:rPr>
          <w:rFonts w:ascii="Times New Roman"/>
          <w:spacing w:val="-4"/>
        </w:rPr>
        <w:t> </w:t>
      </w:r>
      <w:r>
        <w:rPr>
          <w:rFonts w:ascii="Times New Roman"/>
        </w:rPr>
        <w:t>platform</w:t>
      </w:r>
      <w:r>
        <w:rPr>
          <w:rFonts w:ascii="Times New Roman"/>
          <w:spacing w:val="-4"/>
        </w:rPr>
        <w:t> </w:t>
      </w:r>
      <w:r>
        <w:rPr>
          <w:rFonts w:ascii="Times New Roman"/>
        </w:rPr>
        <w:t>integration to deploy existing resources in new markets.</w:t>
      </w:r>
    </w:p>
    <w:p>
      <w:pPr>
        <w:pStyle w:val="BodyText"/>
        <w:spacing w:line="470" w:lineRule="auto" w:before="273"/>
        <w:ind w:left="569" w:right="683" w:firstLine="199"/>
        <w:jc w:val="left"/>
        <w:rPr>
          <w:rFonts w:ascii="Times New Roman"/>
        </w:rPr>
      </w:pPr>
      <w:r>
        <w:rPr>
          <w:rFonts w:ascii="Times New Roman"/>
        </w:rPr>
        <w:t>Lastly,</w:t>
      </w:r>
      <w:r>
        <w:rPr>
          <w:rFonts w:ascii="Times New Roman"/>
          <w:spacing w:val="-5"/>
        </w:rPr>
        <w:t> </w:t>
      </w:r>
      <w:r>
        <w:rPr>
          <w:rFonts w:ascii="Times New Roman"/>
        </w:rPr>
        <w:t>the</w:t>
      </w:r>
      <w:r>
        <w:rPr>
          <w:rFonts w:ascii="Times New Roman"/>
          <w:spacing w:val="-5"/>
        </w:rPr>
        <w:t> </w:t>
      </w:r>
      <w:r>
        <w:rPr>
          <w:rFonts w:ascii="Times New Roman"/>
        </w:rPr>
        <w:t>study</w:t>
      </w:r>
      <w:r>
        <w:rPr>
          <w:rFonts w:ascii="Times New Roman"/>
          <w:spacing w:val="-5"/>
        </w:rPr>
        <w:t> </w:t>
      </w:r>
      <w:r>
        <w:rPr>
          <w:rFonts w:ascii="Times New Roman"/>
        </w:rPr>
        <w:t>constructs</w:t>
      </w:r>
      <w:r>
        <w:rPr>
          <w:rFonts w:ascii="Times New Roman"/>
          <w:spacing w:val="-5"/>
        </w:rPr>
        <w:t> </w:t>
      </w:r>
      <w:r>
        <w:rPr>
          <w:rFonts w:ascii="Times New Roman"/>
        </w:rPr>
        <w:t>a</w:t>
      </w:r>
      <w:r>
        <w:rPr>
          <w:rFonts w:ascii="Times New Roman"/>
          <w:spacing w:val="-5"/>
        </w:rPr>
        <w:t> </w:t>
      </w:r>
      <w:r>
        <w:rPr>
          <w:rFonts w:ascii="Times New Roman"/>
        </w:rPr>
        <w:t>framework</w:t>
      </w:r>
      <w:r>
        <w:rPr>
          <w:rFonts w:ascii="Times New Roman"/>
          <w:spacing w:val="-5"/>
        </w:rPr>
        <w:t> </w:t>
      </w:r>
      <w:r>
        <w:rPr>
          <w:rFonts w:ascii="Times New Roman"/>
        </w:rPr>
        <w:t>diagram,</w:t>
      </w:r>
      <w:r>
        <w:rPr>
          <w:rFonts w:ascii="Times New Roman"/>
          <w:spacing w:val="-3"/>
        </w:rPr>
        <w:t> </w:t>
      </w:r>
      <w:r>
        <w:rPr>
          <w:rFonts w:ascii="Times New Roman"/>
        </w:rPr>
        <w:t>demonstrating</w:t>
      </w:r>
      <w:r>
        <w:rPr>
          <w:rFonts w:ascii="Times New Roman"/>
          <w:spacing w:val="-5"/>
        </w:rPr>
        <w:t> </w:t>
      </w:r>
      <w:r>
        <w:rPr>
          <w:rFonts w:ascii="Times New Roman"/>
        </w:rPr>
        <w:t>how</w:t>
      </w:r>
      <w:r>
        <w:rPr>
          <w:rFonts w:ascii="Times New Roman"/>
          <w:spacing w:val="-5"/>
        </w:rPr>
        <w:t> </w:t>
      </w:r>
      <w:r>
        <w:rPr>
          <w:rFonts w:ascii="Times New Roman"/>
        </w:rPr>
        <w:t>organizations achieve resource integration and market expansion through dynamic adaptation. This research not only reveals the expansion strategies of SaaS care technology companies but also provides practical insights for similar enterprises.</w:t>
      </w:r>
    </w:p>
    <w:p>
      <w:pPr>
        <w:pStyle w:val="BodyText"/>
        <w:spacing w:before="2"/>
        <w:ind w:left="0"/>
        <w:jc w:val="left"/>
        <w:rPr>
          <w:rFonts w:ascii="Times New Roman"/>
        </w:rPr>
      </w:pPr>
    </w:p>
    <w:p>
      <w:pPr>
        <w:spacing w:line="470" w:lineRule="auto" w:before="0"/>
        <w:ind w:left="569" w:right="0" w:firstLine="199"/>
        <w:jc w:val="left"/>
        <w:rPr>
          <w:rFonts w:ascii="Times New Roman"/>
          <w:b/>
          <w:sz w:val="24"/>
        </w:rPr>
      </w:pPr>
      <w:r>
        <w:rPr>
          <w:rFonts w:ascii="Times New Roman"/>
          <w:b/>
          <w:sz w:val="24"/>
        </w:rPr>
        <w:t>Keywords:</w:t>
      </w:r>
      <w:r>
        <w:rPr>
          <w:rFonts w:ascii="Times New Roman"/>
          <w:b/>
          <w:spacing w:val="-6"/>
          <w:sz w:val="24"/>
        </w:rPr>
        <w:t> </w:t>
      </w:r>
      <w:r>
        <w:rPr>
          <w:rFonts w:ascii="Times New Roman"/>
          <w:b/>
          <w:sz w:val="24"/>
        </w:rPr>
        <w:t>Smart</w:t>
      </w:r>
      <w:r>
        <w:rPr>
          <w:rFonts w:ascii="Times New Roman"/>
          <w:b/>
          <w:spacing w:val="-6"/>
          <w:sz w:val="24"/>
        </w:rPr>
        <w:t> </w:t>
      </w:r>
      <w:r>
        <w:rPr>
          <w:rFonts w:ascii="Times New Roman"/>
          <w:b/>
          <w:sz w:val="24"/>
        </w:rPr>
        <w:t>Care</w:t>
      </w:r>
      <w:r>
        <w:rPr>
          <w:rFonts w:ascii="Times New Roman"/>
          <w:b/>
          <w:spacing w:val="-5"/>
          <w:sz w:val="24"/>
        </w:rPr>
        <w:t> </w:t>
      </w:r>
      <w:r>
        <w:rPr>
          <w:rFonts w:ascii="Times New Roman"/>
          <w:b/>
          <w:sz w:val="24"/>
        </w:rPr>
        <w:t>technology,</w:t>
      </w:r>
      <w:r>
        <w:rPr>
          <w:rFonts w:ascii="Times New Roman"/>
          <w:b/>
          <w:spacing w:val="-6"/>
          <w:sz w:val="24"/>
        </w:rPr>
        <w:t> </w:t>
      </w:r>
      <w:r>
        <w:rPr>
          <w:rFonts w:ascii="Times New Roman"/>
          <w:b/>
          <w:sz w:val="24"/>
        </w:rPr>
        <w:t>boundary</w:t>
      </w:r>
      <w:r>
        <w:rPr>
          <w:rFonts w:ascii="Times New Roman"/>
          <w:b/>
          <w:spacing w:val="-6"/>
          <w:sz w:val="24"/>
        </w:rPr>
        <w:t> </w:t>
      </w:r>
      <w:r>
        <w:rPr>
          <w:rFonts w:ascii="Times New Roman"/>
          <w:b/>
          <w:sz w:val="24"/>
        </w:rPr>
        <w:t>spanning</w:t>
      </w:r>
      <w:r>
        <w:rPr>
          <w:rFonts w:ascii="Times New Roman"/>
          <w:b/>
          <w:spacing w:val="-6"/>
          <w:sz w:val="24"/>
        </w:rPr>
        <w:t> </w:t>
      </w:r>
      <w:r>
        <w:rPr>
          <w:rFonts w:ascii="Times New Roman"/>
          <w:b/>
          <w:sz w:val="24"/>
        </w:rPr>
        <w:t>management,</w:t>
      </w:r>
      <w:r>
        <w:rPr>
          <w:rFonts w:ascii="Times New Roman"/>
          <w:b/>
          <w:spacing w:val="-10"/>
          <w:sz w:val="24"/>
        </w:rPr>
        <w:t> </w:t>
      </w:r>
      <w:r>
        <w:rPr>
          <w:rFonts w:ascii="Times New Roman"/>
          <w:b/>
          <w:sz w:val="24"/>
        </w:rPr>
        <w:t>Resource orchestration, Service Ecosystem</w:t>
      </w:r>
    </w:p>
    <w:p>
      <w:pPr>
        <w:spacing w:after="0" w:line="470" w:lineRule="auto"/>
        <w:jc w:val="left"/>
        <w:rPr>
          <w:rFonts w:ascii="Times New Roman"/>
          <w:b/>
          <w:sz w:val="24"/>
        </w:rPr>
        <w:sectPr>
          <w:pgSz w:w="11910" w:h="16840"/>
          <w:pgMar w:header="0" w:footer="1197" w:top="1780" w:bottom="1380" w:left="1133" w:right="1133"/>
        </w:sectPr>
      </w:pPr>
    </w:p>
    <w:p>
      <w:pPr>
        <w:pStyle w:val="Heading1"/>
      </w:pPr>
      <w:r>
        <w:rPr>
          <w:spacing w:val="-5"/>
        </w:rPr>
        <w:t>致謝</w:t>
      </w:r>
    </w:p>
    <w:p>
      <w:pPr>
        <w:pStyle w:val="BodyText"/>
        <w:spacing w:line="422" w:lineRule="auto" w:before="349"/>
        <w:ind w:right="683" w:firstLine="479"/>
        <w:jc w:val="left"/>
      </w:pPr>
      <w:r>
        <w:rPr>
          <w:spacing w:val="-6"/>
        </w:rPr>
        <w:t>轉眼之間，臺科大資管所的旅程即將畫下句點。如今站在畢業的此刻，我深</w:t>
      </w:r>
      <w:r>
        <w:rPr>
          <w:spacing w:val="-2"/>
        </w:rPr>
        <w:t>深感受到自己的成長，這一切都要感謝那些支持我、指引我前行的人們。</w:t>
      </w:r>
    </w:p>
    <w:p>
      <w:pPr>
        <w:pStyle w:val="BodyText"/>
        <w:spacing w:line="422" w:lineRule="auto" w:before="178"/>
        <w:ind w:right="469" w:firstLine="479"/>
        <w:jc w:val="left"/>
      </w:pPr>
      <w:r>
        <w:rPr>
          <w:spacing w:val="-2"/>
        </w:rPr>
        <w:t>首先，衷心感謝我的指導教授—周子銓老師。在繁忙的行政工作之餘，老師</w:t>
      </w:r>
      <w:r>
        <w:rPr>
          <w:spacing w:val="-6"/>
        </w:rPr>
        <w:t>仍不吝給予我們關懷與指導。每當我在論文研究中遇到困難，老師總是耐心解惑，</w:t>
      </w:r>
      <w:r>
        <w:rPr>
          <w:spacing w:val="-2"/>
        </w:rPr>
        <w:t>並以大師級的見解引導我深入思考。老師對個案分析的深度見解，更是我學習的楷模，讓我從中獲益良多。同時，感謝黃振皓教授在碩一時的個案分析課，讓我能對這門深奧的學問打下基礎，也讓我在探索個案研究的過程中找到樂趣與自</w:t>
      </w:r>
      <w:r>
        <w:rPr>
          <w:spacing w:val="80"/>
          <w:w w:val="150"/>
        </w:rPr>
        <w:t> </w:t>
      </w:r>
      <w:r>
        <w:rPr>
          <w:spacing w:val="-6"/>
        </w:rPr>
        <w:t>信。也感謝口委黃世禎教授與黃振嘉教授，您們的寶貴建議讓我的論文更加完整。</w:t>
      </w:r>
    </w:p>
    <w:p>
      <w:pPr>
        <w:pStyle w:val="BodyText"/>
        <w:spacing w:line="422" w:lineRule="auto" w:before="173"/>
        <w:ind w:right="683" w:firstLine="479"/>
      </w:pPr>
      <w:r>
        <w:rPr/>
        <w:drawing>
          <wp:anchor distT="0" distB="0" distL="0" distR="0" allowOverlap="1" layoutInCell="1" locked="0" behindDoc="1" simplePos="0" relativeHeight="485775360">
            <wp:simplePos x="0" y="0"/>
            <wp:positionH relativeFrom="page">
              <wp:posOffset>3312414</wp:posOffset>
            </wp:positionH>
            <wp:positionV relativeFrom="paragraph">
              <wp:posOffset>248307</wp:posOffset>
            </wp:positionV>
            <wp:extent cx="929640" cy="978408"/>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在這段旅程中，幸運地加入周 </w:t>
      </w:r>
      <w:r>
        <w:rPr>
          <w:rFonts w:ascii="Times New Roman" w:eastAsia="Times New Roman"/>
          <w:spacing w:val="-4"/>
        </w:rPr>
        <w:t>Lab</w:t>
      </w:r>
      <w:r>
        <w:rPr>
          <w:spacing w:val="-4"/>
        </w:rPr>
        <w:t>，讓碩士生涯充滿溫暖與歡笑。感謝韻真從德國交換到回台灣寫論文陪我一起面對許多難題也給我許多建議；謝謝孫寧，總是為大家爭取福利、營造歡樂的氛圍；謝謝育萍，默默承擔許多事務，讓大家的步調更加順暢；謝謝修宸，總是體貼眾人，無私付出；謝謝倢因與柔安，在焦慮時接住我的煩惱；謝謝予綺與宇陽，提供許多寶貴資訊與建議。也謝謝椀晴、</w:t>
      </w:r>
      <w:r>
        <w:rPr>
          <w:spacing w:val="-2"/>
        </w:rPr>
        <w:t>品築、奕瑄與雅婄學妹的幫忙與鼓勵，讓這段旅程更加精彩。</w:t>
      </w:r>
    </w:p>
    <w:p>
      <w:pPr>
        <w:pStyle w:val="BodyText"/>
        <w:spacing w:line="422" w:lineRule="auto" w:before="174"/>
        <w:ind w:right="682" w:firstLine="479"/>
      </w:pPr>
      <w:r>
        <w:rPr>
          <w:spacing w:val="-6"/>
        </w:rPr>
        <w:t>最深的感謝獻給我的家人與朋友。謝謝爺爺、父母一路以來的栽培與支持，</w:t>
      </w:r>
      <w:r>
        <w:rPr>
          <w:spacing w:val="-4"/>
        </w:rPr>
        <w:t>給予我無比的自由與信任，讓我能勇敢追尋夢想，也始終是我最堅實的後盾。謝謝耕耕，總是在我焦慮與挫折時給予支持與安慰；感謝 </w:t>
      </w:r>
      <w:r>
        <w:rPr>
          <w:rFonts w:ascii="Times New Roman" w:eastAsia="Times New Roman"/>
          <w:spacing w:val="-2"/>
        </w:rPr>
        <w:t>USR</w:t>
      </w:r>
      <w:r>
        <w:rPr>
          <w:rFonts w:ascii="Times New Roman" w:eastAsia="Times New Roman"/>
          <w:spacing w:val="3"/>
        </w:rPr>
        <w:t> </w:t>
      </w:r>
      <w:r>
        <w:rPr>
          <w:spacing w:val="-2"/>
        </w:rPr>
        <w:t>的大家，在寫論文</w:t>
      </w:r>
      <w:r>
        <w:rPr>
          <w:spacing w:val="-4"/>
        </w:rPr>
        <w:t>的日子裡帶來許多回憶與歡笑，甚至幫我的座位升級為雙銀幕電腦；感謝陳氏兄</w:t>
      </w:r>
      <w:r>
        <w:rPr>
          <w:spacing w:val="-2"/>
        </w:rPr>
        <w:t>妹，讓我在假日的時光裡多了許多歡樂，也幫助我釋放壓力。</w:t>
      </w:r>
    </w:p>
    <w:p>
      <w:pPr>
        <w:pStyle w:val="BodyText"/>
        <w:spacing w:line="422" w:lineRule="auto" w:before="174"/>
        <w:ind w:right="683" w:firstLine="479"/>
      </w:pPr>
      <w:r>
        <w:rPr>
          <w:spacing w:val="-6"/>
        </w:rPr>
        <w:t>這趟研究所的旅程收穫滿滿，學術與人生皆有所成長。而未來的旅程才正要</w:t>
      </w:r>
      <w:r>
        <w:rPr>
          <w:spacing w:val="-4"/>
        </w:rPr>
        <w:t>開始，我期待自己能持續努力，邁向更寬廣的世界。再次感謝所有曾經幫助過我</w:t>
      </w:r>
      <w:r>
        <w:rPr>
          <w:spacing w:val="-2"/>
        </w:rPr>
        <w:t>的人，這段旅程因你們而更加豐富與珍貴！</w:t>
      </w:r>
    </w:p>
    <w:p>
      <w:pPr>
        <w:pStyle w:val="BodyText"/>
        <w:spacing w:after="0" w:line="422" w:lineRule="auto"/>
        <w:sectPr>
          <w:pgSz w:w="11910" w:h="16840"/>
          <w:pgMar w:header="0" w:footer="1197" w:top="1780" w:bottom="1380" w:left="1133" w:right="1133"/>
        </w:sectPr>
      </w:pPr>
    </w:p>
    <w:p>
      <w:pPr>
        <w:pStyle w:val="Heading1"/>
      </w:pPr>
      <w:bookmarkStart w:name="_bookmark2" w:id="3"/>
      <w:bookmarkEnd w:id="3"/>
      <w:r>
        <w:rPr>
          <w:b w:val="0"/>
        </w:rPr>
      </w:r>
      <w:r>
        <w:rPr>
          <w:spacing w:val="-5"/>
        </w:rPr>
        <w:t>目錄</w:t>
      </w:r>
    </w:p>
    <w:p>
      <w:pPr>
        <w:pStyle w:val="Heading1"/>
        <w:spacing w:after="0"/>
        <w:sectPr>
          <w:pgSz w:w="11910" w:h="16840"/>
          <w:pgMar w:header="0" w:footer="1197" w:top="1780" w:bottom="1600" w:left="1133" w:right="1133"/>
        </w:sectPr>
      </w:pPr>
    </w:p>
    <w:sdt>
      <w:sdtPr>
        <w:docPartObj>
          <w:docPartGallery w:val="Table of Contents"/>
          <w:docPartUnique/>
        </w:docPartObj>
      </w:sdtPr>
      <w:sdtEndPr/>
      <w:sdtContent>
        <w:p>
          <w:pPr>
            <w:pStyle w:val="TOC1"/>
            <w:tabs>
              <w:tab w:pos="8868" w:val="right" w:leader="dot"/>
            </w:tabs>
            <w:spacing w:before="349"/>
            <w:rPr>
              <w:rFonts w:ascii="Times New Roman" w:eastAsia="Times New Roman"/>
            </w:rPr>
          </w:pPr>
          <w:hyperlink w:history="true" w:anchor="_bookmark0">
            <w:r>
              <w:rPr/>
              <w:t>摘</w:t>
            </w:r>
            <w:r>
              <w:rPr>
                <w:spacing w:val="-10"/>
              </w:rPr>
              <w:t>要</w:t>
            </w:r>
            <w:r>
              <w:rPr>
                <w:rFonts w:ascii="Times New Roman" w:eastAsia="Times New Roman"/>
              </w:rPr>
              <w:tab/>
            </w:r>
            <w:r>
              <w:rPr>
                <w:rFonts w:ascii="Times New Roman" w:eastAsia="Times New Roman"/>
                <w:spacing w:val="-10"/>
              </w:rPr>
              <w:t>I</w:t>
            </w:r>
          </w:hyperlink>
        </w:p>
        <w:p>
          <w:pPr>
            <w:pStyle w:val="TOC1"/>
            <w:tabs>
              <w:tab w:pos="8864" w:val="right" w:leader="dot"/>
            </w:tabs>
            <w:spacing w:before="441"/>
            <w:rPr>
              <w:rFonts w:ascii="Times New Roman"/>
            </w:rPr>
          </w:pPr>
          <w:hyperlink w:history="true" w:anchor="_bookmark1">
            <w:r>
              <w:rPr>
                <w:rFonts w:ascii="Times New Roman"/>
                <w:spacing w:val="-2"/>
              </w:rPr>
              <w:t>Abstract</w:t>
            </w:r>
            <w:r>
              <w:rPr>
                <w:rFonts w:ascii="Times New Roman"/>
              </w:rPr>
              <w:tab/>
            </w:r>
            <w:r>
              <w:rPr>
                <w:rFonts w:ascii="Times New Roman"/>
                <w:spacing w:val="-5"/>
              </w:rPr>
              <w:t>II</w:t>
            </w:r>
          </w:hyperlink>
        </w:p>
        <w:p>
          <w:pPr>
            <w:pStyle w:val="TOC1"/>
            <w:tabs>
              <w:tab w:pos="8864" w:val="right" w:leader="dot"/>
            </w:tabs>
            <w:spacing w:before="416"/>
            <w:rPr>
              <w:rFonts w:ascii="Times New Roman" w:eastAsia="Times New Roman"/>
            </w:rPr>
          </w:pPr>
          <w:hyperlink w:history="true" w:anchor="_bookmark2">
            <w:r>
              <w:rPr/>
              <w:t>目</w:t>
            </w:r>
            <w:r>
              <w:rPr>
                <w:spacing w:val="-10"/>
              </w:rPr>
              <w:t>錄</w:t>
            </w:r>
            <w:r>
              <w:rPr>
                <w:rFonts w:ascii="Times New Roman" w:eastAsia="Times New Roman"/>
              </w:rPr>
              <w:tab/>
            </w:r>
            <w:r>
              <w:rPr>
                <w:rFonts w:ascii="Times New Roman" w:eastAsia="Times New Roman"/>
                <w:spacing w:val="-5"/>
              </w:rPr>
              <w:t>IV</w:t>
            </w:r>
          </w:hyperlink>
        </w:p>
        <w:p>
          <w:pPr>
            <w:pStyle w:val="TOC1"/>
            <w:tabs>
              <w:tab w:pos="8866" w:val="right" w:leader="dot"/>
            </w:tabs>
            <w:rPr>
              <w:rFonts w:ascii="Times New Roman" w:eastAsia="Times New Roman"/>
            </w:rPr>
          </w:pPr>
          <w:hyperlink w:history="true" w:anchor="_bookmark3">
            <w:r>
              <w:rPr/>
              <w:t>圖目</w:t>
            </w:r>
            <w:r>
              <w:rPr>
                <w:spacing w:val="-10"/>
              </w:rPr>
              <w:t>錄</w:t>
            </w:r>
            <w:r>
              <w:rPr>
                <w:rFonts w:ascii="Times New Roman" w:eastAsia="Times New Roman"/>
              </w:rPr>
              <w:tab/>
            </w:r>
            <w:r>
              <w:rPr>
                <w:rFonts w:ascii="Times New Roman" w:eastAsia="Times New Roman"/>
                <w:spacing w:val="-4"/>
              </w:rPr>
              <w:t>VIII</w:t>
            </w:r>
          </w:hyperlink>
        </w:p>
        <w:p>
          <w:pPr>
            <w:pStyle w:val="TOC1"/>
            <w:tabs>
              <w:tab w:pos="8864" w:val="right" w:leader="dot"/>
            </w:tabs>
            <w:spacing w:before="413"/>
            <w:rPr>
              <w:rFonts w:ascii="Times New Roman" w:eastAsia="Times New Roman"/>
            </w:rPr>
          </w:pPr>
          <w:hyperlink w:history="true" w:anchor="_bookmark4">
            <w:r>
              <w:rPr/>
              <w:t>表目</w:t>
            </w:r>
            <w:r>
              <w:rPr>
                <w:spacing w:val="-10"/>
              </w:rPr>
              <w:t>錄</w:t>
            </w:r>
            <w:r>
              <w:rPr>
                <w:rFonts w:ascii="Times New Roman" w:eastAsia="Times New Roman"/>
              </w:rPr>
              <w:tab/>
            </w:r>
            <w:r>
              <w:rPr>
                <w:rFonts w:ascii="Times New Roman" w:eastAsia="Times New Roman"/>
                <w:spacing w:val="-5"/>
              </w:rPr>
              <w:t>IX</w:t>
            </w:r>
          </w:hyperlink>
        </w:p>
        <w:p>
          <w:pPr>
            <w:pStyle w:val="TOC1"/>
            <w:tabs>
              <w:tab w:pos="8867" w:val="right" w:leader="dot"/>
            </w:tabs>
            <w:spacing w:before="413"/>
            <w:rPr>
              <w:rFonts w:ascii="Times New Roman" w:eastAsia="Times New Roman"/>
            </w:rPr>
          </w:pPr>
          <w:hyperlink w:history="true" w:anchor="_bookmark5">
            <w:r>
              <w:rPr/>
              <w:t>第一章、緒</w:t>
            </w:r>
            <w:r>
              <w:rPr>
                <w:spacing w:val="-10"/>
              </w:rPr>
              <w:t>論</w:t>
            </w:r>
            <w:r>
              <w:rPr>
                <w:rFonts w:ascii="Times New Roman" w:eastAsia="Times New Roman"/>
              </w:rPr>
              <w:tab/>
            </w:r>
            <w:r>
              <w:rPr>
                <w:rFonts w:ascii="Times New Roman" w:eastAsia="Times New Roman"/>
                <w:spacing w:val="-10"/>
              </w:rPr>
              <w:t>1</w:t>
            </w:r>
          </w:hyperlink>
        </w:p>
        <w:p>
          <w:pPr>
            <w:pStyle w:val="TOC2"/>
            <w:numPr>
              <w:ilvl w:val="1"/>
              <w:numId w:val="1"/>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6">
            <w:r>
              <w:rPr/>
              <w:t>研究背景與動</w:t>
            </w:r>
            <w:r>
              <w:rPr>
                <w:spacing w:val="-10"/>
              </w:rPr>
              <w:t>機</w:t>
            </w:r>
            <w:r>
              <w:rPr>
                <w:rFonts w:ascii="Times New Roman" w:eastAsia="Times New Roman"/>
              </w:rPr>
              <w:tab/>
            </w:r>
            <w:r>
              <w:rPr>
                <w:rFonts w:ascii="Times New Roman" w:eastAsia="Times New Roman"/>
                <w:spacing w:val="-10"/>
              </w:rPr>
              <w:t>1</w:t>
            </w:r>
          </w:hyperlink>
        </w:p>
        <w:p>
          <w:pPr>
            <w:pStyle w:val="TOC2"/>
            <w:numPr>
              <w:ilvl w:val="1"/>
              <w:numId w:val="1"/>
            </w:numPr>
            <w:tabs>
              <w:tab w:pos="2248" w:val="left" w:leader="none"/>
              <w:tab w:pos="9064" w:val="right" w:leader="dot"/>
            </w:tabs>
            <w:spacing w:line="240" w:lineRule="auto" w:before="341" w:after="0"/>
            <w:ind w:left="2248" w:right="0" w:hanging="720"/>
            <w:jc w:val="left"/>
            <w:rPr>
              <w:rFonts w:ascii="Times New Roman" w:eastAsia="Times New Roman"/>
            </w:rPr>
          </w:pPr>
          <w:r>
            <w:rPr>
              <w:rFonts w:ascii="Times New Roman" w:eastAsia="Times New Roman"/>
            </w:rPr>
            <w:drawing>
              <wp:anchor distT="0" distB="0" distL="0" distR="0" allowOverlap="1" layoutInCell="1" locked="0" behindDoc="1" simplePos="0" relativeHeight="485775872">
                <wp:simplePos x="0" y="0"/>
                <wp:positionH relativeFrom="page">
                  <wp:posOffset>3312414</wp:posOffset>
                </wp:positionH>
                <wp:positionV relativeFrom="paragraph">
                  <wp:posOffset>217588</wp:posOffset>
                </wp:positionV>
                <wp:extent cx="929640" cy="978408"/>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6" cstate="print"/>
                        <a:stretch>
                          <a:fillRect/>
                        </a:stretch>
                      </pic:blipFill>
                      <pic:spPr>
                        <a:xfrm>
                          <a:off x="0" y="0"/>
                          <a:ext cx="929640" cy="978408"/>
                        </a:xfrm>
                        <a:prstGeom prst="rect">
                          <a:avLst/>
                        </a:prstGeom>
                      </pic:spPr>
                    </pic:pic>
                  </a:graphicData>
                </a:graphic>
              </wp:anchor>
            </w:drawing>
          </w:r>
          <w:hyperlink w:history="true" w:anchor="_bookmark7">
            <w:r>
              <w:rPr/>
              <w:t>研究目的與問</w:t>
            </w:r>
            <w:r>
              <w:rPr>
                <w:spacing w:val="-10"/>
              </w:rPr>
              <w:t>題</w:t>
            </w:r>
            <w:r>
              <w:rPr>
                <w:rFonts w:ascii="Times New Roman" w:eastAsia="Times New Roman"/>
              </w:rPr>
              <w:tab/>
            </w:r>
            <w:r>
              <w:rPr>
                <w:rFonts w:ascii="Times New Roman" w:eastAsia="Times New Roman"/>
                <w:spacing w:val="-10"/>
              </w:rPr>
              <w:t>3</w:t>
            </w:r>
          </w:hyperlink>
        </w:p>
        <w:p>
          <w:pPr>
            <w:pStyle w:val="TOC2"/>
            <w:numPr>
              <w:ilvl w:val="1"/>
              <w:numId w:val="1"/>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8">
            <w:r>
              <w:rPr/>
              <w:t>研究流</w:t>
            </w:r>
            <w:r>
              <w:rPr>
                <w:spacing w:val="-10"/>
              </w:rPr>
              <w:t>程</w:t>
            </w:r>
            <w:r>
              <w:rPr>
                <w:rFonts w:ascii="Times New Roman" w:eastAsia="Times New Roman"/>
              </w:rPr>
              <w:tab/>
            </w:r>
            <w:r>
              <w:rPr>
                <w:rFonts w:ascii="Times New Roman" w:eastAsia="Times New Roman"/>
                <w:spacing w:val="-10"/>
              </w:rPr>
              <w:t>4</w:t>
            </w:r>
          </w:hyperlink>
        </w:p>
        <w:p>
          <w:pPr>
            <w:pStyle w:val="TOC2"/>
            <w:numPr>
              <w:ilvl w:val="1"/>
              <w:numId w:val="1"/>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10">
            <w:r>
              <w:rPr/>
              <w:t>論文架</w:t>
            </w:r>
            <w:r>
              <w:rPr>
                <w:spacing w:val="-10"/>
              </w:rPr>
              <w:t>構</w:t>
            </w:r>
            <w:r>
              <w:rPr>
                <w:rFonts w:ascii="Times New Roman" w:eastAsia="Times New Roman"/>
              </w:rPr>
              <w:tab/>
            </w:r>
            <w:r>
              <w:rPr>
                <w:rFonts w:ascii="Times New Roman" w:eastAsia="Times New Roman"/>
                <w:spacing w:val="-10"/>
              </w:rPr>
              <w:t>7</w:t>
            </w:r>
          </w:hyperlink>
        </w:p>
        <w:p>
          <w:pPr>
            <w:pStyle w:val="TOC1"/>
            <w:tabs>
              <w:tab w:pos="8867" w:val="right" w:leader="dot"/>
            </w:tabs>
            <w:spacing w:before="413"/>
            <w:rPr>
              <w:rFonts w:ascii="Times New Roman" w:eastAsia="Times New Roman"/>
            </w:rPr>
          </w:pPr>
          <w:hyperlink w:history="true" w:anchor="_bookmark11">
            <w:r>
              <w:rPr/>
              <w:t>第二章、文獻探</w:t>
            </w:r>
            <w:r>
              <w:rPr>
                <w:spacing w:val="-10"/>
              </w:rPr>
              <w:t>討</w:t>
            </w:r>
            <w:r>
              <w:rPr>
                <w:rFonts w:ascii="Times New Roman" w:eastAsia="Times New Roman"/>
              </w:rPr>
              <w:tab/>
            </w:r>
            <w:r>
              <w:rPr>
                <w:rFonts w:ascii="Times New Roman" w:eastAsia="Times New Roman"/>
                <w:spacing w:val="-10"/>
              </w:rPr>
              <w:t>8</w:t>
            </w:r>
          </w:hyperlink>
        </w:p>
        <w:p>
          <w:pPr>
            <w:pStyle w:val="TOC2"/>
            <w:numPr>
              <w:ilvl w:val="1"/>
              <w:numId w:val="2"/>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12">
            <w:r>
              <w:rPr/>
              <w:t>智慧照護科技（</w:t>
            </w:r>
            <w:r>
              <w:rPr>
                <w:rFonts w:ascii="Times New Roman" w:eastAsia="Times New Roman"/>
              </w:rPr>
              <w:t>Smart</w:t>
            </w:r>
            <w:r>
              <w:rPr>
                <w:rFonts w:ascii="Times New Roman" w:eastAsia="Times New Roman"/>
                <w:spacing w:val="-3"/>
              </w:rPr>
              <w:t> </w:t>
            </w:r>
            <w:r>
              <w:rPr>
                <w:rFonts w:ascii="Times New Roman" w:eastAsia="Times New Roman"/>
              </w:rPr>
              <w:t>Healthcare</w:t>
            </w:r>
            <w:r>
              <w:rPr>
                <w:rFonts w:ascii="Times New Roman" w:eastAsia="Times New Roman"/>
                <w:spacing w:val="-8"/>
              </w:rPr>
              <w:t> </w:t>
            </w:r>
            <w:r>
              <w:rPr>
                <w:rFonts w:ascii="Times New Roman" w:eastAsia="Times New Roman"/>
                <w:spacing w:val="-2"/>
              </w:rPr>
              <w:t>Technology</w:t>
            </w:r>
            <w:r>
              <w:rPr>
                <w:spacing w:val="-2"/>
              </w:rPr>
              <w:t>）</w:t>
            </w:r>
            <w:r>
              <w:rPr>
                <w:rFonts w:ascii="Times New Roman" w:eastAsia="Times New Roman"/>
              </w:rPr>
              <w:tab/>
            </w:r>
            <w:r>
              <w:rPr>
                <w:rFonts w:ascii="Times New Roman" w:eastAsia="Times New Roman"/>
                <w:spacing w:val="-10"/>
              </w:rPr>
              <w:t>8</w:t>
            </w:r>
          </w:hyperlink>
        </w:p>
        <w:p>
          <w:pPr>
            <w:pStyle w:val="TOC2"/>
            <w:numPr>
              <w:ilvl w:val="1"/>
              <w:numId w:val="2"/>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14">
            <w:r>
              <w:rPr/>
              <w:t>智慧照護產業環境與政策發</w:t>
            </w:r>
            <w:r>
              <w:rPr>
                <w:spacing w:val="-10"/>
              </w:rPr>
              <w:t>展</w:t>
            </w:r>
            <w:r>
              <w:rPr>
                <w:rFonts w:ascii="Times New Roman" w:eastAsia="Times New Roman"/>
              </w:rPr>
              <w:tab/>
            </w:r>
            <w:r>
              <w:rPr>
                <w:rFonts w:ascii="Times New Roman" w:eastAsia="Times New Roman"/>
                <w:spacing w:val="-10"/>
              </w:rPr>
              <w:t>9</w:t>
            </w:r>
          </w:hyperlink>
        </w:p>
        <w:p>
          <w:pPr>
            <w:pStyle w:val="TOC2"/>
            <w:numPr>
              <w:ilvl w:val="1"/>
              <w:numId w:val="2"/>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15">
            <w:r>
              <w:rPr>
                <w:rFonts w:ascii="Times New Roman" w:eastAsia="Times New Roman"/>
              </w:rPr>
              <w:t>SaaS</w:t>
            </w:r>
            <w:r>
              <w:rPr>
                <w:rFonts w:ascii="Times New Roman" w:eastAsia="Times New Roman"/>
                <w:spacing w:val="-1"/>
              </w:rPr>
              <w:t> </w:t>
            </w:r>
            <w:r>
              <w:rPr/>
              <w:t>公司之組織拓展策</w:t>
            </w:r>
            <w:r>
              <w:rPr>
                <w:spacing w:val="-10"/>
              </w:rPr>
              <w:t>略</w:t>
            </w:r>
            <w:r>
              <w:rPr>
                <w:rFonts w:ascii="Times New Roman" w:eastAsia="Times New Roman"/>
              </w:rPr>
              <w:tab/>
            </w:r>
            <w:r>
              <w:rPr>
                <w:rFonts w:ascii="Times New Roman" w:eastAsia="Times New Roman"/>
                <w:spacing w:val="-5"/>
              </w:rPr>
              <w:t>10</w:t>
            </w:r>
          </w:hyperlink>
        </w:p>
        <w:p>
          <w:pPr>
            <w:pStyle w:val="TOC3"/>
            <w:tabs>
              <w:tab w:pos="2729" w:val="left" w:leader="none"/>
              <w:tab w:pos="9064" w:val="right" w:leader="dot"/>
            </w:tabs>
            <w:spacing w:before="338"/>
            <w:ind w:left="2008"/>
            <w:rPr>
              <w:rFonts w:ascii="Times New Roman" w:eastAsia="Times New Roman"/>
              <w:position w:val="1"/>
            </w:rPr>
          </w:pPr>
          <w:r>
            <w:rPr/>
            <w:drawing>
              <wp:inline distT="0" distB="0" distL="0" distR="0">
                <wp:extent cx="288798" cy="11201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0" cstate="print"/>
                        <a:stretch>
                          <a:fillRect/>
                        </a:stretch>
                      </pic:blipFill>
                      <pic:spPr>
                        <a:xfrm>
                          <a:off x="0" y="0"/>
                          <a:ext cx="288798" cy="112012"/>
                        </a:xfrm>
                        <a:prstGeom prst="rect">
                          <a:avLst/>
                        </a:prstGeom>
                      </pic:spPr>
                    </pic:pic>
                  </a:graphicData>
                </a:graphic>
              </wp:inline>
            </w:drawing>
          </w:r>
          <w:r>
            <w:rPr/>
          </w:r>
          <w:r>
            <w:rPr>
              <w:rFonts w:ascii="Times New Roman" w:eastAsia="Times New Roman"/>
              <w:position w:val="1"/>
              <w:sz w:val="20"/>
            </w:rPr>
            <w:tab/>
          </w:r>
          <w:hyperlink w:history="true" w:anchor="_bookmark16">
            <w:r>
              <w:rPr>
                <w:rFonts w:ascii="Times New Roman" w:eastAsia="Times New Roman"/>
                <w:position w:val="1"/>
              </w:rPr>
              <w:t>SaaS</w:t>
            </w:r>
            <w:r>
              <w:rPr>
                <w:rFonts w:ascii="Times New Roman" w:eastAsia="Times New Roman"/>
                <w:spacing w:val="-3"/>
                <w:position w:val="1"/>
              </w:rPr>
              <w:t> </w:t>
            </w:r>
            <w:r>
              <w:rPr>
                <w:position w:val="1"/>
              </w:rPr>
              <w:t>之定</w:t>
            </w:r>
            <w:r>
              <w:rPr>
                <w:spacing w:val="-10"/>
                <w:position w:val="1"/>
              </w:rPr>
              <w:t>義</w:t>
            </w:r>
            <w:r>
              <w:rPr>
                <w:rFonts w:ascii="Times New Roman" w:eastAsia="Times New Roman"/>
                <w:position w:val="1"/>
              </w:rPr>
              <w:tab/>
            </w:r>
            <w:r>
              <w:rPr>
                <w:rFonts w:ascii="Times New Roman" w:eastAsia="Times New Roman"/>
                <w:spacing w:val="-5"/>
                <w:position w:val="1"/>
              </w:rPr>
              <w:t>10</w:t>
            </w:r>
          </w:hyperlink>
        </w:p>
        <w:p>
          <w:pPr>
            <w:pStyle w:val="TOC3"/>
            <w:tabs>
              <w:tab w:pos="2729" w:val="left" w:leader="none"/>
              <w:tab w:pos="9064" w:val="right" w:leader="dot"/>
            </w:tabs>
            <w:ind w:left="2008"/>
            <w:rPr>
              <w:rFonts w:ascii="Times New Roman" w:eastAsia="Times New Roman"/>
              <w:position w:val="1"/>
            </w:rPr>
          </w:pPr>
          <w:r>
            <w:rPr/>
            <w:drawing>
              <wp:inline distT="0" distB="0" distL="0" distR="0">
                <wp:extent cx="300989" cy="11201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300989" cy="112012"/>
                        </a:xfrm>
                        <a:prstGeom prst="rect">
                          <a:avLst/>
                        </a:prstGeom>
                      </pic:spPr>
                    </pic:pic>
                  </a:graphicData>
                </a:graphic>
              </wp:inline>
            </w:drawing>
          </w:r>
          <w:r>
            <w:rPr/>
          </w:r>
          <w:r>
            <w:rPr>
              <w:rFonts w:ascii="Times New Roman" w:eastAsia="Times New Roman"/>
              <w:position w:val="1"/>
              <w:sz w:val="20"/>
            </w:rPr>
            <w:tab/>
          </w:r>
          <w:hyperlink w:history="true" w:anchor="_bookmark17">
            <w:r>
              <w:rPr>
                <w:rFonts w:ascii="Times New Roman" w:eastAsia="Times New Roman"/>
                <w:position w:val="1"/>
              </w:rPr>
              <w:t>SaaS</w:t>
            </w:r>
            <w:r>
              <w:rPr>
                <w:rFonts w:ascii="Times New Roman" w:eastAsia="Times New Roman"/>
                <w:spacing w:val="-1"/>
                <w:position w:val="1"/>
              </w:rPr>
              <w:t> </w:t>
            </w:r>
            <w:r>
              <w:rPr>
                <w:position w:val="1"/>
              </w:rPr>
              <w:t>特性應用於照護科</w:t>
            </w:r>
            <w:r>
              <w:rPr>
                <w:spacing w:val="-10"/>
                <w:position w:val="1"/>
              </w:rPr>
              <w:t>技</w:t>
            </w:r>
            <w:r>
              <w:rPr>
                <w:rFonts w:ascii="Times New Roman" w:eastAsia="Times New Roman"/>
                <w:position w:val="1"/>
              </w:rPr>
              <w:tab/>
            </w:r>
            <w:r>
              <w:rPr>
                <w:rFonts w:ascii="Times New Roman" w:eastAsia="Times New Roman"/>
                <w:spacing w:val="-5"/>
                <w:position w:val="1"/>
              </w:rPr>
              <w:t>10</w:t>
            </w:r>
          </w:hyperlink>
        </w:p>
        <w:p>
          <w:pPr>
            <w:pStyle w:val="TOC3"/>
            <w:tabs>
              <w:tab w:pos="2729" w:val="left" w:leader="none"/>
              <w:tab w:pos="9064" w:val="right" w:leader="dot"/>
            </w:tabs>
            <w:spacing w:before="341"/>
            <w:ind w:left="2008"/>
            <w:rPr>
              <w:rFonts w:ascii="Times New Roman" w:eastAsia="Times New Roman"/>
              <w:position w:val="1"/>
            </w:rPr>
          </w:pPr>
          <w:r>
            <w:rPr/>
            <w:drawing>
              <wp:inline distT="0" distB="0" distL="0" distR="0">
                <wp:extent cx="294894" cy="11201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2" cstate="print"/>
                        <a:stretch>
                          <a:fillRect/>
                        </a:stretch>
                      </pic:blipFill>
                      <pic:spPr>
                        <a:xfrm>
                          <a:off x="0" y="0"/>
                          <a:ext cx="294894" cy="112012"/>
                        </a:xfrm>
                        <a:prstGeom prst="rect">
                          <a:avLst/>
                        </a:prstGeom>
                      </pic:spPr>
                    </pic:pic>
                  </a:graphicData>
                </a:graphic>
              </wp:inline>
            </w:drawing>
          </w:r>
          <w:r>
            <w:rPr/>
          </w:r>
          <w:r>
            <w:rPr>
              <w:rFonts w:ascii="Times New Roman" w:eastAsia="Times New Roman"/>
              <w:position w:val="1"/>
              <w:sz w:val="20"/>
            </w:rPr>
            <w:tab/>
          </w:r>
          <w:hyperlink w:history="true" w:anchor="_bookmark18">
            <w:r>
              <w:rPr>
                <w:rFonts w:ascii="Times New Roman" w:eastAsia="Times New Roman"/>
                <w:position w:val="1"/>
              </w:rPr>
              <w:t>SaaS</w:t>
            </w:r>
            <w:r>
              <w:rPr>
                <w:rFonts w:ascii="Times New Roman" w:eastAsia="Times New Roman"/>
                <w:spacing w:val="-1"/>
                <w:position w:val="1"/>
              </w:rPr>
              <w:t> </w:t>
            </w:r>
            <w:r>
              <w:rPr>
                <w:position w:val="1"/>
              </w:rPr>
              <w:t>特色與組織拓展策略之關</w:t>
            </w:r>
            <w:r>
              <w:rPr>
                <w:spacing w:val="-10"/>
                <w:position w:val="1"/>
              </w:rPr>
              <w:t>聯</w:t>
            </w:r>
            <w:r>
              <w:rPr>
                <w:rFonts w:ascii="Times New Roman" w:eastAsia="Times New Roman"/>
                <w:position w:val="1"/>
              </w:rPr>
              <w:tab/>
            </w:r>
            <w:r>
              <w:rPr>
                <w:rFonts w:ascii="Times New Roman" w:eastAsia="Times New Roman"/>
                <w:spacing w:val="-5"/>
                <w:position w:val="1"/>
              </w:rPr>
              <w:t>12</w:t>
            </w:r>
          </w:hyperlink>
        </w:p>
        <w:p>
          <w:pPr>
            <w:pStyle w:val="TOC2"/>
            <w:numPr>
              <w:ilvl w:val="1"/>
              <w:numId w:val="2"/>
            </w:numPr>
            <w:tabs>
              <w:tab w:pos="2248" w:val="left" w:leader="none"/>
              <w:tab w:pos="9064" w:val="right" w:leader="dot"/>
            </w:tabs>
            <w:spacing w:line="240" w:lineRule="auto" w:before="344" w:after="0"/>
            <w:ind w:left="2248" w:right="0" w:hanging="720"/>
            <w:jc w:val="left"/>
            <w:rPr>
              <w:rFonts w:ascii="Times New Roman" w:eastAsia="Times New Roman"/>
            </w:rPr>
          </w:pPr>
          <w:hyperlink w:history="true" w:anchor="_bookmark20">
            <w:r>
              <w:rPr/>
              <w:t>跨界管理（</w:t>
            </w:r>
            <w:r>
              <w:rPr>
                <w:rFonts w:ascii="Times New Roman" w:eastAsia="Times New Roman"/>
              </w:rPr>
              <w:t>Boundary</w:t>
            </w:r>
            <w:r>
              <w:rPr>
                <w:rFonts w:ascii="Times New Roman" w:eastAsia="Times New Roman"/>
                <w:spacing w:val="-1"/>
              </w:rPr>
              <w:t> </w:t>
            </w:r>
            <w:r>
              <w:rPr>
                <w:rFonts w:ascii="Times New Roman" w:eastAsia="Times New Roman"/>
                <w:spacing w:val="-2"/>
              </w:rPr>
              <w:t>Spanning</w:t>
            </w:r>
            <w:r>
              <w:rPr>
                <w:spacing w:val="-2"/>
              </w:rPr>
              <w:t>）</w:t>
            </w:r>
            <w:r>
              <w:rPr>
                <w:rFonts w:ascii="Times New Roman" w:eastAsia="Times New Roman"/>
              </w:rPr>
              <w:tab/>
            </w:r>
            <w:r>
              <w:rPr>
                <w:rFonts w:ascii="Times New Roman" w:eastAsia="Times New Roman"/>
                <w:spacing w:val="-5"/>
              </w:rPr>
              <w:t>15</w:t>
            </w:r>
          </w:hyperlink>
        </w:p>
        <w:p>
          <w:pPr>
            <w:pStyle w:val="TOC3"/>
            <w:tabs>
              <w:tab w:pos="2789" w:val="left" w:leader="none"/>
              <w:tab w:pos="9064" w:val="right" w:leader="dot"/>
            </w:tabs>
            <w:spacing w:before="337" w:after="131"/>
            <w:ind w:left="2008"/>
            <w:rPr>
              <w:rFonts w:ascii="Times New Roman" w:eastAsia="Times New Roman"/>
              <w:position w:val="1"/>
            </w:rPr>
          </w:pPr>
          <w:r>
            <w:rPr/>
            <w:drawing>
              <wp:inline distT="0" distB="0" distL="0" distR="0">
                <wp:extent cx="288798" cy="11201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3" cstate="print"/>
                        <a:stretch>
                          <a:fillRect/>
                        </a:stretch>
                      </pic:blipFill>
                      <pic:spPr>
                        <a:xfrm>
                          <a:off x="0" y="0"/>
                          <a:ext cx="288798" cy="112012"/>
                        </a:xfrm>
                        <a:prstGeom prst="rect">
                          <a:avLst/>
                        </a:prstGeom>
                      </pic:spPr>
                    </pic:pic>
                  </a:graphicData>
                </a:graphic>
              </wp:inline>
            </w:drawing>
          </w:r>
          <w:r>
            <w:rPr/>
          </w:r>
          <w:r>
            <w:rPr>
              <w:rFonts w:ascii="Times New Roman" w:eastAsia="Times New Roman"/>
              <w:position w:val="1"/>
              <w:sz w:val="20"/>
            </w:rPr>
            <w:tab/>
          </w:r>
          <w:hyperlink w:history="true" w:anchor="_bookmark21">
            <w:r>
              <w:rPr>
                <w:position w:val="1"/>
              </w:rPr>
              <w:t>邊界跨越的定</w:t>
            </w:r>
            <w:r>
              <w:rPr>
                <w:spacing w:val="-10"/>
                <w:position w:val="1"/>
              </w:rPr>
              <w:t>義</w:t>
            </w:r>
            <w:r>
              <w:rPr>
                <w:rFonts w:ascii="Times New Roman" w:eastAsia="Times New Roman"/>
                <w:position w:val="1"/>
              </w:rPr>
              <w:tab/>
            </w:r>
            <w:r>
              <w:rPr>
                <w:rFonts w:ascii="Times New Roman" w:eastAsia="Times New Roman"/>
                <w:spacing w:val="-5"/>
                <w:position w:val="1"/>
              </w:rPr>
              <w:t>15</w:t>
            </w:r>
          </w:hyperlink>
        </w:p>
        <w:p>
          <w:pPr>
            <w:pStyle w:val="TOC3"/>
            <w:tabs>
              <w:tab w:pos="2789" w:val="left" w:leader="none"/>
              <w:tab w:pos="9064" w:val="right" w:leader="dot"/>
            </w:tabs>
            <w:spacing w:before="46"/>
            <w:ind w:left="2008"/>
            <w:rPr>
              <w:rFonts w:ascii="Times New Roman" w:eastAsia="Times New Roman"/>
              <w:position w:val="1"/>
            </w:rPr>
          </w:pPr>
          <w:r>
            <w:rPr/>
            <w:drawing>
              <wp:inline distT="0" distB="0" distL="0" distR="0">
                <wp:extent cx="300989" cy="11201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4" cstate="print"/>
                        <a:stretch>
                          <a:fillRect/>
                        </a:stretch>
                      </pic:blipFill>
                      <pic:spPr>
                        <a:xfrm>
                          <a:off x="0" y="0"/>
                          <a:ext cx="300989" cy="112012"/>
                        </a:xfrm>
                        <a:prstGeom prst="rect">
                          <a:avLst/>
                        </a:prstGeom>
                      </pic:spPr>
                    </pic:pic>
                  </a:graphicData>
                </a:graphic>
              </wp:inline>
            </w:drawing>
          </w:r>
          <w:r>
            <w:rPr/>
          </w:r>
          <w:r>
            <w:rPr>
              <w:rFonts w:ascii="Times New Roman" w:eastAsia="Times New Roman"/>
              <w:position w:val="1"/>
              <w:sz w:val="20"/>
            </w:rPr>
            <w:tab/>
          </w:r>
          <w:hyperlink w:history="true" w:anchor="_bookmark22">
            <w:r>
              <w:rPr>
                <w:position w:val="1"/>
              </w:rPr>
              <w:t>市場邊</w:t>
            </w:r>
            <w:r>
              <w:rPr>
                <w:spacing w:val="-10"/>
                <w:position w:val="1"/>
              </w:rPr>
              <w:t>界</w:t>
            </w:r>
            <w:r>
              <w:rPr>
                <w:rFonts w:ascii="Times New Roman" w:eastAsia="Times New Roman"/>
                <w:position w:val="1"/>
              </w:rPr>
              <w:tab/>
            </w:r>
            <w:r>
              <w:rPr>
                <w:rFonts w:ascii="Times New Roman" w:eastAsia="Times New Roman"/>
                <w:spacing w:val="-5"/>
                <w:position w:val="1"/>
              </w:rPr>
              <w:t>16</w:t>
            </w:r>
          </w:hyperlink>
        </w:p>
        <w:p>
          <w:pPr>
            <w:pStyle w:val="TOC3"/>
            <w:tabs>
              <w:tab w:pos="2789" w:val="left" w:leader="none"/>
              <w:tab w:pos="9064" w:val="right" w:leader="dot"/>
            </w:tabs>
            <w:ind w:left="2008"/>
            <w:rPr>
              <w:rFonts w:ascii="Times New Roman" w:eastAsia="Times New Roman"/>
              <w:position w:val="1"/>
            </w:rPr>
          </w:pPr>
          <w:r>
            <w:rPr/>
            <w:drawing>
              <wp:inline distT="0" distB="0" distL="0" distR="0">
                <wp:extent cx="294894" cy="11201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294894" cy="112014"/>
                        </a:xfrm>
                        <a:prstGeom prst="rect">
                          <a:avLst/>
                        </a:prstGeom>
                      </pic:spPr>
                    </pic:pic>
                  </a:graphicData>
                </a:graphic>
              </wp:inline>
            </w:drawing>
          </w:r>
          <w:r>
            <w:rPr/>
          </w:r>
          <w:r>
            <w:rPr>
              <w:rFonts w:ascii="Times New Roman" w:eastAsia="Times New Roman"/>
              <w:position w:val="1"/>
              <w:sz w:val="20"/>
            </w:rPr>
            <w:tab/>
          </w:r>
          <w:hyperlink w:history="true" w:anchor="_bookmark23">
            <w:r>
              <w:rPr>
                <w:position w:val="1"/>
              </w:rPr>
              <w:t>知識邊</w:t>
            </w:r>
            <w:r>
              <w:rPr>
                <w:spacing w:val="-10"/>
                <w:position w:val="1"/>
              </w:rPr>
              <w:t>界</w:t>
            </w:r>
            <w:r>
              <w:rPr>
                <w:rFonts w:ascii="Times New Roman" w:eastAsia="Times New Roman"/>
                <w:position w:val="1"/>
              </w:rPr>
              <w:tab/>
            </w:r>
            <w:r>
              <w:rPr>
                <w:rFonts w:ascii="Times New Roman" w:eastAsia="Times New Roman"/>
                <w:spacing w:val="-5"/>
                <w:position w:val="1"/>
              </w:rPr>
              <w:t>17</w:t>
            </w:r>
          </w:hyperlink>
        </w:p>
        <w:p>
          <w:pPr>
            <w:pStyle w:val="TOC3"/>
            <w:tabs>
              <w:tab w:pos="2789" w:val="left" w:leader="none"/>
              <w:tab w:pos="9064" w:val="right" w:leader="dot"/>
            </w:tabs>
            <w:ind w:left="2008"/>
            <w:rPr>
              <w:rFonts w:ascii="Times New Roman" w:eastAsia="Times New Roman"/>
              <w:position w:val="1"/>
            </w:rPr>
          </w:pPr>
          <w:r>
            <w:rPr/>
            <w:drawing>
              <wp:inline distT="0" distB="0" distL="0" distR="0">
                <wp:extent cx="302513" cy="11201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302513" cy="112014"/>
                        </a:xfrm>
                        <a:prstGeom prst="rect">
                          <a:avLst/>
                        </a:prstGeom>
                      </pic:spPr>
                    </pic:pic>
                  </a:graphicData>
                </a:graphic>
              </wp:inline>
            </w:drawing>
          </w:r>
          <w:r>
            <w:rPr/>
          </w:r>
          <w:r>
            <w:rPr>
              <w:rFonts w:ascii="Times New Roman" w:eastAsia="Times New Roman"/>
              <w:position w:val="1"/>
              <w:sz w:val="20"/>
            </w:rPr>
            <w:tab/>
          </w:r>
          <w:hyperlink w:history="true" w:anchor="_bookmark24">
            <w:r>
              <w:rPr>
                <w:position w:val="1"/>
              </w:rPr>
              <w:t>技術邊</w:t>
            </w:r>
            <w:r>
              <w:rPr>
                <w:spacing w:val="-10"/>
                <w:position w:val="1"/>
              </w:rPr>
              <w:t>界</w:t>
            </w:r>
            <w:r>
              <w:rPr>
                <w:rFonts w:ascii="Times New Roman" w:eastAsia="Times New Roman"/>
                <w:position w:val="1"/>
              </w:rPr>
              <w:tab/>
            </w:r>
            <w:r>
              <w:rPr>
                <w:rFonts w:ascii="Times New Roman" w:eastAsia="Times New Roman"/>
                <w:spacing w:val="-5"/>
                <w:position w:val="1"/>
              </w:rPr>
              <w:t>19</w:t>
            </w:r>
          </w:hyperlink>
        </w:p>
        <w:p>
          <w:pPr>
            <w:pStyle w:val="TOC2"/>
            <w:numPr>
              <w:ilvl w:val="1"/>
              <w:numId w:val="2"/>
            </w:numPr>
            <w:tabs>
              <w:tab w:pos="2248" w:val="left" w:leader="none"/>
              <w:tab w:pos="9064" w:val="right" w:leader="dot"/>
            </w:tabs>
            <w:spacing w:line="240" w:lineRule="auto" w:before="343" w:after="0"/>
            <w:ind w:left="2248" w:right="0" w:hanging="720"/>
            <w:jc w:val="left"/>
            <w:rPr>
              <w:rFonts w:ascii="Times New Roman" w:eastAsia="Times New Roman"/>
            </w:rPr>
          </w:pPr>
          <w:hyperlink w:history="true" w:anchor="_bookmark26">
            <w:r>
              <w:rPr/>
              <w:t>資源和諧（</w:t>
            </w:r>
            <w:r>
              <w:rPr>
                <w:rFonts w:ascii="Times New Roman" w:eastAsia="Times New Roman"/>
              </w:rPr>
              <w:t>Resource</w:t>
            </w:r>
            <w:r>
              <w:rPr>
                <w:rFonts w:ascii="Times New Roman" w:eastAsia="Times New Roman"/>
                <w:spacing w:val="-4"/>
              </w:rPr>
              <w:t> </w:t>
            </w:r>
            <w:r>
              <w:rPr>
                <w:rFonts w:ascii="Times New Roman" w:eastAsia="Times New Roman"/>
                <w:spacing w:val="-2"/>
              </w:rPr>
              <w:t>Orchestration</w:t>
            </w:r>
            <w:r>
              <w:rPr>
                <w:spacing w:val="-2"/>
              </w:rPr>
              <w:t>）</w:t>
            </w:r>
            <w:r>
              <w:rPr>
                <w:rFonts w:ascii="Times New Roman" w:eastAsia="Times New Roman"/>
              </w:rPr>
              <w:tab/>
            </w:r>
            <w:r>
              <w:rPr>
                <w:rFonts w:ascii="Times New Roman" w:eastAsia="Times New Roman"/>
                <w:spacing w:val="-5"/>
              </w:rPr>
              <w:t>22</w:t>
            </w:r>
          </w:hyperlink>
        </w:p>
        <w:p>
          <w:pPr>
            <w:pStyle w:val="TOC3"/>
            <w:tabs>
              <w:tab w:pos="2789" w:val="left" w:leader="none"/>
              <w:tab w:pos="9064" w:val="right" w:leader="dot"/>
            </w:tabs>
            <w:spacing w:before="339"/>
            <w:ind w:left="2008"/>
            <w:rPr>
              <w:rFonts w:ascii="Times New Roman" w:eastAsia="Times New Roman"/>
              <w:position w:val="1"/>
            </w:rPr>
          </w:pPr>
          <w:r>
            <w:rPr/>
            <w:drawing>
              <wp:inline distT="0" distB="0" distL="0" distR="0">
                <wp:extent cx="288798" cy="11201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288798" cy="112012"/>
                        </a:xfrm>
                        <a:prstGeom prst="rect">
                          <a:avLst/>
                        </a:prstGeom>
                      </pic:spPr>
                    </pic:pic>
                  </a:graphicData>
                </a:graphic>
              </wp:inline>
            </w:drawing>
          </w:r>
          <w:r>
            <w:rPr/>
          </w:r>
          <w:r>
            <w:rPr>
              <w:rFonts w:ascii="Times New Roman" w:eastAsia="Times New Roman"/>
              <w:position w:val="1"/>
              <w:sz w:val="20"/>
            </w:rPr>
            <w:tab/>
          </w:r>
          <w:hyperlink w:history="true" w:anchor="_bookmark27">
            <w:r>
              <w:rPr>
                <w:position w:val="1"/>
              </w:rPr>
              <w:t>資源管理框架（</w:t>
            </w:r>
            <w:r>
              <w:rPr>
                <w:rFonts w:ascii="Times New Roman" w:eastAsia="Times New Roman"/>
                <w:position w:val="1"/>
              </w:rPr>
              <w:t>Resource</w:t>
            </w:r>
            <w:r>
              <w:rPr>
                <w:rFonts w:ascii="Times New Roman" w:eastAsia="Times New Roman"/>
                <w:spacing w:val="-4"/>
                <w:position w:val="1"/>
              </w:rPr>
              <w:t> </w:t>
            </w:r>
            <w:r>
              <w:rPr>
                <w:rFonts w:ascii="Times New Roman" w:eastAsia="Times New Roman"/>
                <w:spacing w:val="-2"/>
                <w:position w:val="1"/>
              </w:rPr>
              <w:t>Management</w:t>
            </w:r>
            <w:r>
              <w:rPr>
                <w:spacing w:val="-2"/>
                <w:position w:val="1"/>
              </w:rPr>
              <w:t>）</w:t>
            </w:r>
            <w:r>
              <w:rPr>
                <w:rFonts w:ascii="Times New Roman" w:eastAsia="Times New Roman"/>
                <w:position w:val="1"/>
              </w:rPr>
              <w:tab/>
            </w:r>
            <w:r>
              <w:rPr>
                <w:rFonts w:ascii="Times New Roman" w:eastAsia="Times New Roman"/>
                <w:spacing w:val="-5"/>
                <w:position w:val="1"/>
              </w:rPr>
              <w:t>22</w:t>
            </w:r>
          </w:hyperlink>
        </w:p>
        <w:p>
          <w:pPr>
            <w:pStyle w:val="TOC3"/>
            <w:tabs>
              <w:tab w:pos="2789" w:val="left" w:leader="none"/>
              <w:tab w:pos="9064" w:val="right" w:leader="dot"/>
            </w:tabs>
            <w:ind w:left="2008"/>
            <w:rPr>
              <w:rFonts w:ascii="Times New Roman" w:eastAsia="Times New Roman"/>
              <w:position w:val="1"/>
            </w:rPr>
          </w:pPr>
          <w:r>
            <w:rPr/>
            <w:drawing>
              <wp:inline distT="0" distB="0" distL="0" distR="0">
                <wp:extent cx="300989" cy="11201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300989" cy="112014"/>
                        </a:xfrm>
                        <a:prstGeom prst="rect">
                          <a:avLst/>
                        </a:prstGeom>
                      </pic:spPr>
                    </pic:pic>
                  </a:graphicData>
                </a:graphic>
              </wp:inline>
            </w:drawing>
          </w:r>
          <w:r>
            <w:rPr/>
          </w:r>
          <w:r>
            <w:rPr>
              <w:rFonts w:ascii="Times New Roman" w:eastAsia="Times New Roman"/>
              <w:position w:val="1"/>
              <w:sz w:val="20"/>
            </w:rPr>
            <w:tab/>
          </w:r>
          <w:hyperlink w:history="true" w:anchor="_bookmark28">
            <w:r>
              <w:rPr>
                <w:position w:val="1"/>
              </w:rPr>
              <w:t>資產動態諧合（</w:t>
            </w:r>
            <w:r>
              <w:rPr>
                <w:rFonts w:ascii="Times New Roman" w:eastAsia="Times New Roman"/>
                <w:position w:val="1"/>
              </w:rPr>
              <w:t>Asset</w:t>
            </w:r>
            <w:r>
              <w:rPr>
                <w:rFonts w:ascii="Times New Roman" w:eastAsia="Times New Roman"/>
                <w:spacing w:val="-1"/>
                <w:position w:val="1"/>
              </w:rPr>
              <w:t> </w:t>
            </w:r>
            <w:r>
              <w:rPr>
                <w:rFonts w:ascii="Times New Roman" w:eastAsia="Times New Roman"/>
                <w:spacing w:val="-2"/>
                <w:position w:val="1"/>
              </w:rPr>
              <w:t>Orchestration</w:t>
            </w:r>
            <w:r>
              <w:rPr>
                <w:spacing w:val="-2"/>
                <w:position w:val="1"/>
              </w:rPr>
              <w:t>）</w:t>
            </w:r>
            <w:r>
              <w:rPr>
                <w:rFonts w:ascii="Times New Roman" w:eastAsia="Times New Roman"/>
                <w:position w:val="1"/>
              </w:rPr>
              <w:tab/>
            </w:r>
            <w:r>
              <w:rPr>
                <w:rFonts w:ascii="Times New Roman" w:eastAsia="Times New Roman"/>
                <w:spacing w:val="-5"/>
                <w:position w:val="1"/>
              </w:rPr>
              <w:t>23</w:t>
            </w:r>
          </w:hyperlink>
        </w:p>
        <w:p>
          <w:pPr>
            <w:pStyle w:val="TOC3"/>
            <w:tabs>
              <w:tab w:pos="2789" w:val="left" w:leader="none"/>
              <w:tab w:pos="9064" w:val="right" w:leader="dot"/>
            </w:tabs>
            <w:ind w:left="2008"/>
            <w:rPr>
              <w:rFonts w:ascii="Times New Roman" w:eastAsia="Times New Roman"/>
              <w:position w:val="1"/>
            </w:rPr>
          </w:pPr>
          <w:r>
            <w:rPr/>
            <w:drawing>
              <wp:inline distT="0" distB="0" distL="0" distR="0">
                <wp:extent cx="294894" cy="11201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94894" cy="112014"/>
                        </a:xfrm>
                        <a:prstGeom prst="rect">
                          <a:avLst/>
                        </a:prstGeom>
                      </pic:spPr>
                    </pic:pic>
                  </a:graphicData>
                </a:graphic>
              </wp:inline>
            </w:drawing>
          </w:r>
          <w:r>
            <w:rPr/>
          </w:r>
          <w:r>
            <w:rPr>
              <w:rFonts w:ascii="Times New Roman" w:eastAsia="Times New Roman"/>
              <w:position w:val="1"/>
              <w:sz w:val="20"/>
            </w:rPr>
            <w:tab/>
          </w:r>
          <w:hyperlink w:history="true" w:anchor="_bookmark30">
            <w:r>
              <w:rPr>
                <w:position w:val="1"/>
              </w:rPr>
              <w:t>組織策略、跨界管理與資源和諧之關</w:t>
            </w:r>
            <w:r>
              <w:rPr>
                <w:spacing w:val="-10"/>
                <w:position w:val="1"/>
              </w:rPr>
              <w:t>聯</w:t>
            </w:r>
            <w:r>
              <w:rPr>
                <w:rFonts w:ascii="Times New Roman" w:eastAsia="Times New Roman"/>
                <w:position w:val="1"/>
              </w:rPr>
              <w:tab/>
            </w:r>
            <w:r>
              <w:rPr>
                <w:rFonts w:ascii="Times New Roman" w:eastAsia="Times New Roman"/>
                <w:spacing w:val="-5"/>
                <w:position w:val="1"/>
              </w:rPr>
              <w:t>25</w:t>
            </w:r>
          </w:hyperlink>
        </w:p>
        <w:p>
          <w:pPr>
            <w:pStyle w:val="TOC2"/>
            <w:numPr>
              <w:ilvl w:val="1"/>
              <w:numId w:val="2"/>
            </w:numPr>
            <w:tabs>
              <w:tab w:pos="2248" w:val="left" w:leader="none"/>
              <w:tab w:pos="9064" w:val="right" w:leader="dot"/>
            </w:tabs>
            <w:spacing w:line="240" w:lineRule="auto" w:before="344" w:after="0"/>
            <w:ind w:left="2248" w:right="0" w:hanging="720"/>
            <w:jc w:val="left"/>
            <w:rPr>
              <w:rFonts w:ascii="Times New Roman" w:eastAsia="Times New Roman"/>
            </w:rPr>
          </w:pPr>
          <w:hyperlink w:history="true" w:anchor="_bookmark31">
            <w:r>
              <w:rPr/>
              <w:t>服務生態系</w:t>
            </w:r>
            <w:r>
              <w:rPr>
                <w:spacing w:val="-10"/>
              </w:rPr>
              <w:t>統</w:t>
            </w:r>
            <w:r>
              <w:rPr>
                <w:rFonts w:ascii="Times New Roman" w:eastAsia="Times New Roman"/>
              </w:rPr>
              <w:tab/>
            </w:r>
            <w:r>
              <w:rPr>
                <w:rFonts w:ascii="Times New Roman" w:eastAsia="Times New Roman"/>
                <w:spacing w:val="-5"/>
              </w:rPr>
              <w:t>26</w:t>
            </w:r>
          </w:hyperlink>
        </w:p>
        <w:p>
          <w:pPr>
            <w:pStyle w:val="TOC1"/>
            <w:tabs>
              <w:tab w:pos="8867" w:val="right" w:leader="dot"/>
            </w:tabs>
            <w:rPr>
              <w:rFonts w:ascii="Times New Roman" w:eastAsia="Times New Roman"/>
            </w:rPr>
          </w:pPr>
          <w:hyperlink w:history="true" w:anchor="_bookmark32">
            <w:r>
              <w:rPr/>
              <w:t>第三章、研究方</w:t>
            </w:r>
            <w:r>
              <w:rPr>
                <w:spacing w:val="-10"/>
              </w:rPr>
              <w:t>法</w:t>
            </w:r>
            <w:r>
              <w:rPr>
                <w:rFonts w:ascii="Times New Roman" w:eastAsia="Times New Roman"/>
              </w:rPr>
              <w:tab/>
            </w:r>
            <w:r>
              <w:rPr>
                <w:rFonts w:ascii="Times New Roman" w:eastAsia="Times New Roman"/>
                <w:spacing w:val="-5"/>
              </w:rPr>
              <w:t>27</w:t>
            </w:r>
          </w:hyperlink>
        </w:p>
        <w:p>
          <w:pPr>
            <w:pStyle w:val="TOC2"/>
            <w:numPr>
              <w:ilvl w:val="1"/>
              <w:numId w:val="3"/>
            </w:numPr>
            <w:tabs>
              <w:tab w:pos="2248" w:val="left" w:leader="none"/>
              <w:tab w:pos="9064" w:val="right" w:leader="dot"/>
            </w:tabs>
            <w:spacing w:line="240" w:lineRule="auto" w:before="341" w:after="0"/>
            <w:ind w:left="2248" w:right="0" w:hanging="720"/>
            <w:jc w:val="left"/>
            <w:rPr>
              <w:rFonts w:ascii="Times New Roman" w:eastAsia="Times New Roman"/>
            </w:rPr>
          </w:pPr>
          <w:r>
            <w:rPr>
              <w:rFonts w:ascii="Times New Roman" w:eastAsia="Times New Roman"/>
            </w:rPr>
            <w:drawing>
              <wp:anchor distT="0" distB="0" distL="0" distR="0" allowOverlap="1" layoutInCell="1" locked="0" behindDoc="1" simplePos="0" relativeHeight="485776384">
                <wp:simplePos x="0" y="0"/>
                <wp:positionH relativeFrom="page">
                  <wp:posOffset>3312414</wp:posOffset>
                </wp:positionH>
                <wp:positionV relativeFrom="paragraph">
                  <wp:posOffset>148780</wp:posOffset>
                </wp:positionV>
                <wp:extent cx="929640" cy="978408"/>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929640" cy="978408"/>
                        </a:xfrm>
                        <a:prstGeom prst="rect">
                          <a:avLst/>
                        </a:prstGeom>
                      </pic:spPr>
                    </pic:pic>
                  </a:graphicData>
                </a:graphic>
              </wp:anchor>
            </w:drawing>
          </w:r>
          <w:hyperlink w:history="true" w:anchor="_bookmark33">
            <w:r>
              <w:rPr/>
              <w:t>研究方</w:t>
            </w:r>
            <w:r>
              <w:rPr>
                <w:spacing w:val="-10"/>
              </w:rPr>
              <w:t>法</w:t>
            </w:r>
            <w:r>
              <w:rPr>
                <w:rFonts w:ascii="Times New Roman" w:eastAsia="Times New Roman"/>
              </w:rPr>
              <w:tab/>
            </w:r>
            <w:r>
              <w:rPr>
                <w:rFonts w:ascii="Times New Roman" w:eastAsia="Times New Roman"/>
                <w:spacing w:val="-5"/>
              </w:rPr>
              <w:t>27</w:t>
            </w:r>
          </w:hyperlink>
        </w:p>
        <w:p>
          <w:pPr>
            <w:pStyle w:val="TOC2"/>
            <w:numPr>
              <w:ilvl w:val="1"/>
              <w:numId w:val="3"/>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35">
            <w:r>
              <w:rPr/>
              <w:t>質性研究（</w:t>
            </w:r>
            <w:r>
              <w:rPr>
                <w:rFonts w:ascii="Times New Roman" w:eastAsia="Times New Roman"/>
              </w:rPr>
              <w:t>Qualitative</w:t>
            </w:r>
            <w:r>
              <w:rPr>
                <w:rFonts w:ascii="Times New Roman" w:eastAsia="Times New Roman"/>
                <w:spacing w:val="-2"/>
              </w:rPr>
              <w:t> Research</w:t>
            </w:r>
            <w:r>
              <w:rPr>
                <w:spacing w:val="-2"/>
              </w:rPr>
              <w:t>）</w:t>
            </w:r>
            <w:r>
              <w:rPr>
                <w:rFonts w:ascii="Times New Roman" w:eastAsia="Times New Roman"/>
              </w:rPr>
              <w:tab/>
            </w:r>
            <w:r>
              <w:rPr>
                <w:rFonts w:ascii="Times New Roman" w:eastAsia="Times New Roman"/>
                <w:spacing w:val="-5"/>
              </w:rPr>
              <w:t>28</w:t>
            </w:r>
          </w:hyperlink>
        </w:p>
        <w:p>
          <w:pPr>
            <w:pStyle w:val="TOC2"/>
            <w:numPr>
              <w:ilvl w:val="1"/>
              <w:numId w:val="3"/>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36">
            <w:r>
              <w:rPr/>
              <w:t>個案研究（</w:t>
            </w:r>
            <w:r>
              <w:rPr>
                <w:rFonts w:ascii="Times New Roman" w:eastAsia="Times New Roman"/>
              </w:rPr>
              <w:t>Case</w:t>
            </w:r>
            <w:r>
              <w:rPr>
                <w:rFonts w:ascii="Times New Roman" w:eastAsia="Times New Roman"/>
                <w:spacing w:val="-2"/>
              </w:rPr>
              <w:t> Study</w:t>
            </w:r>
            <w:r>
              <w:rPr>
                <w:spacing w:val="-2"/>
              </w:rPr>
              <w:t>）</w:t>
            </w:r>
            <w:r>
              <w:rPr>
                <w:rFonts w:ascii="Times New Roman" w:eastAsia="Times New Roman"/>
              </w:rPr>
              <w:tab/>
            </w:r>
            <w:r>
              <w:rPr>
                <w:rFonts w:ascii="Times New Roman" w:eastAsia="Times New Roman"/>
                <w:spacing w:val="-5"/>
              </w:rPr>
              <w:t>29</w:t>
            </w:r>
          </w:hyperlink>
        </w:p>
        <w:p>
          <w:pPr>
            <w:pStyle w:val="TOC3"/>
            <w:tabs>
              <w:tab w:pos="2789" w:val="left" w:leader="none"/>
              <w:tab w:pos="9064" w:val="right" w:leader="dot"/>
            </w:tabs>
            <w:spacing w:before="337"/>
            <w:rPr>
              <w:rFonts w:ascii="Times New Roman" w:eastAsia="Times New Roman"/>
              <w:position w:val="1"/>
            </w:rPr>
          </w:pPr>
          <w:r>
            <w:rPr/>
            <w:drawing>
              <wp:inline distT="0" distB="0" distL="0" distR="0">
                <wp:extent cx="285750" cy="112013"/>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285750" cy="112013"/>
                        </a:xfrm>
                        <a:prstGeom prst="rect">
                          <a:avLst/>
                        </a:prstGeom>
                      </pic:spPr>
                    </pic:pic>
                  </a:graphicData>
                </a:graphic>
              </wp:inline>
            </w:drawing>
          </w:r>
          <w:r>
            <w:rPr/>
          </w:r>
          <w:r>
            <w:rPr>
              <w:rFonts w:ascii="Times New Roman" w:eastAsia="Times New Roman"/>
              <w:position w:val="1"/>
              <w:sz w:val="20"/>
            </w:rPr>
            <w:tab/>
          </w:r>
          <w:hyperlink w:history="true" w:anchor="_bookmark37">
            <w:r>
              <w:rPr>
                <w:position w:val="1"/>
              </w:rPr>
              <w:t>單一個案研究的設計與步</w:t>
            </w:r>
            <w:r>
              <w:rPr>
                <w:spacing w:val="-10"/>
                <w:position w:val="1"/>
              </w:rPr>
              <w:t>驟</w:t>
            </w:r>
            <w:r>
              <w:rPr>
                <w:rFonts w:ascii="Times New Roman" w:eastAsia="Times New Roman"/>
                <w:position w:val="1"/>
              </w:rPr>
              <w:tab/>
            </w:r>
            <w:r>
              <w:rPr>
                <w:rFonts w:ascii="Times New Roman" w:eastAsia="Times New Roman"/>
                <w:spacing w:val="-5"/>
                <w:position w:val="1"/>
              </w:rPr>
              <w:t>30</w:t>
            </w:r>
          </w:hyperlink>
        </w:p>
        <w:p>
          <w:pPr>
            <w:pStyle w:val="TOC2"/>
            <w:numPr>
              <w:ilvl w:val="1"/>
              <w:numId w:val="3"/>
            </w:numPr>
            <w:tabs>
              <w:tab w:pos="2248" w:val="left" w:leader="none"/>
              <w:tab w:pos="9064" w:val="right" w:leader="dot"/>
            </w:tabs>
            <w:spacing w:line="240" w:lineRule="auto" w:before="344" w:after="0"/>
            <w:ind w:left="2248" w:right="0" w:hanging="720"/>
            <w:jc w:val="left"/>
            <w:rPr>
              <w:rFonts w:ascii="Times New Roman" w:eastAsia="Times New Roman"/>
            </w:rPr>
          </w:pPr>
          <w:hyperlink w:history="true" w:anchor="_bookmark38">
            <w:r>
              <w:rPr/>
              <w:t>研究架</w:t>
            </w:r>
            <w:r>
              <w:rPr>
                <w:spacing w:val="-10"/>
              </w:rPr>
              <w:t>構</w:t>
            </w:r>
            <w:r>
              <w:rPr>
                <w:rFonts w:ascii="Times New Roman" w:eastAsia="Times New Roman"/>
              </w:rPr>
              <w:tab/>
            </w:r>
            <w:r>
              <w:rPr>
                <w:rFonts w:ascii="Times New Roman" w:eastAsia="Times New Roman"/>
                <w:spacing w:val="-5"/>
              </w:rPr>
              <w:t>31</w:t>
            </w:r>
          </w:hyperlink>
        </w:p>
        <w:p>
          <w:pPr>
            <w:pStyle w:val="TOC2"/>
            <w:numPr>
              <w:ilvl w:val="1"/>
              <w:numId w:val="3"/>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40">
            <w:r>
              <w:rPr/>
              <w:t>研究觀察重</w:t>
            </w:r>
            <w:r>
              <w:rPr>
                <w:spacing w:val="-10"/>
              </w:rPr>
              <w:t>點</w:t>
            </w:r>
            <w:r>
              <w:rPr>
                <w:rFonts w:ascii="Times New Roman" w:eastAsia="Times New Roman"/>
              </w:rPr>
              <w:tab/>
            </w:r>
            <w:r>
              <w:rPr>
                <w:rFonts w:ascii="Times New Roman" w:eastAsia="Times New Roman"/>
                <w:spacing w:val="-5"/>
              </w:rPr>
              <w:t>34</w:t>
            </w:r>
          </w:hyperlink>
        </w:p>
        <w:p>
          <w:pPr>
            <w:pStyle w:val="TOC2"/>
            <w:numPr>
              <w:ilvl w:val="1"/>
              <w:numId w:val="3"/>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42">
            <w:r>
              <w:rPr/>
              <w:t>研究對</w:t>
            </w:r>
            <w:r>
              <w:rPr>
                <w:spacing w:val="-10"/>
              </w:rPr>
              <w:t>象</w:t>
            </w:r>
            <w:r>
              <w:rPr>
                <w:rFonts w:ascii="Times New Roman" w:eastAsia="Times New Roman"/>
              </w:rPr>
              <w:tab/>
            </w:r>
            <w:r>
              <w:rPr>
                <w:rFonts w:ascii="Times New Roman" w:eastAsia="Times New Roman"/>
                <w:spacing w:val="-5"/>
              </w:rPr>
              <w:t>36</w:t>
            </w:r>
          </w:hyperlink>
        </w:p>
        <w:p>
          <w:pPr>
            <w:pStyle w:val="TOC2"/>
            <w:numPr>
              <w:ilvl w:val="1"/>
              <w:numId w:val="3"/>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44">
            <w:r>
              <w:rPr/>
              <w:t>資料蒐集與分</w:t>
            </w:r>
            <w:r>
              <w:rPr>
                <w:spacing w:val="-10"/>
              </w:rPr>
              <w:t>析</w:t>
            </w:r>
            <w:r>
              <w:rPr>
                <w:rFonts w:ascii="Times New Roman" w:eastAsia="Times New Roman"/>
              </w:rPr>
              <w:tab/>
            </w:r>
            <w:r>
              <w:rPr>
                <w:rFonts w:ascii="Times New Roman" w:eastAsia="Times New Roman"/>
                <w:spacing w:val="-5"/>
              </w:rPr>
              <w:t>37</w:t>
            </w:r>
          </w:hyperlink>
        </w:p>
        <w:p>
          <w:pPr>
            <w:pStyle w:val="TOC3"/>
            <w:tabs>
              <w:tab w:pos="2789" w:val="left" w:leader="none"/>
              <w:tab w:pos="9064" w:val="right" w:leader="dot"/>
            </w:tabs>
            <w:spacing w:before="337"/>
            <w:rPr>
              <w:rFonts w:ascii="Times New Roman" w:eastAsia="Times New Roman"/>
              <w:position w:val="1"/>
            </w:rPr>
          </w:pPr>
          <w:r>
            <w:rPr/>
            <w:drawing>
              <wp:inline distT="0" distB="0" distL="0" distR="0">
                <wp:extent cx="285750" cy="11201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285750" cy="112012"/>
                        </a:xfrm>
                        <a:prstGeom prst="rect">
                          <a:avLst/>
                        </a:prstGeom>
                      </pic:spPr>
                    </pic:pic>
                  </a:graphicData>
                </a:graphic>
              </wp:inline>
            </w:drawing>
          </w:r>
          <w:r>
            <w:rPr/>
          </w:r>
          <w:r>
            <w:rPr>
              <w:rFonts w:ascii="Times New Roman" w:eastAsia="Times New Roman"/>
              <w:position w:val="1"/>
              <w:sz w:val="20"/>
            </w:rPr>
            <w:tab/>
          </w:r>
          <w:hyperlink w:history="true" w:anchor="_bookmark45">
            <w:r>
              <w:rPr>
                <w:position w:val="1"/>
              </w:rPr>
              <w:t>資料蒐</w:t>
            </w:r>
            <w:r>
              <w:rPr>
                <w:spacing w:val="-10"/>
                <w:position w:val="1"/>
              </w:rPr>
              <w:t>集</w:t>
            </w:r>
            <w:r>
              <w:rPr>
                <w:rFonts w:ascii="Times New Roman" w:eastAsia="Times New Roman"/>
                <w:position w:val="1"/>
              </w:rPr>
              <w:tab/>
            </w:r>
            <w:r>
              <w:rPr>
                <w:rFonts w:ascii="Times New Roman" w:eastAsia="Times New Roman"/>
                <w:spacing w:val="-5"/>
                <w:position w:val="1"/>
              </w:rPr>
              <w:t>37</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7942" cy="11201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297942" cy="112012"/>
                        </a:xfrm>
                        <a:prstGeom prst="rect">
                          <a:avLst/>
                        </a:prstGeom>
                      </pic:spPr>
                    </pic:pic>
                  </a:graphicData>
                </a:graphic>
              </wp:inline>
            </w:drawing>
          </w:r>
          <w:r>
            <w:rPr/>
          </w:r>
          <w:r>
            <w:rPr>
              <w:rFonts w:ascii="Times New Roman" w:eastAsia="Times New Roman"/>
              <w:position w:val="1"/>
              <w:sz w:val="20"/>
            </w:rPr>
            <w:tab/>
          </w:r>
          <w:hyperlink w:history="true" w:anchor="_bookmark47">
            <w:r>
              <w:rPr>
                <w:position w:val="1"/>
              </w:rPr>
              <w:t>資料分</w:t>
            </w:r>
            <w:r>
              <w:rPr>
                <w:spacing w:val="-10"/>
                <w:position w:val="1"/>
              </w:rPr>
              <w:t>析</w:t>
            </w:r>
            <w:r>
              <w:rPr>
                <w:rFonts w:ascii="Times New Roman" w:eastAsia="Times New Roman"/>
                <w:position w:val="1"/>
              </w:rPr>
              <w:tab/>
            </w:r>
            <w:r>
              <w:rPr>
                <w:rFonts w:ascii="Times New Roman" w:eastAsia="Times New Roman"/>
                <w:spacing w:val="-5"/>
                <w:position w:val="1"/>
              </w:rPr>
              <w:t>40</w:t>
            </w:r>
          </w:hyperlink>
        </w:p>
        <w:p>
          <w:pPr>
            <w:pStyle w:val="TOC1"/>
            <w:tabs>
              <w:tab w:pos="8867" w:val="right" w:leader="dot"/>
            </w:tabs>
            <w:spacing w:before="417"/>
            <w:rPr>
              <w:rFonts w:ascii="Times New Roman" w:eastAsia="Times New Roman"/>
            </w:rPr>
          </w:pPr>
          <w:hyperlink w:history="true" w:anchor="_bookmark48">
            <w:r>
              <w:rPr/>
              <w:t>第四章、個案描</w:t>
            </w:r>
            <w:r>
              <w:rPr>
                <w:spacing w:val="-10"/>
              </w:rPr>
              <w:t>述</w:t>
            </w:r>
            <w:r>
              <w:rPr>
                <w:rFonts w:ascii="Times New Roman" w:eastAsia="Times New Roman"/>
              </w:rPr>
              <w:tab/>
            </w:r>
            <w:r>
              <w:rPr>
                <w:rFonts w:ascii="Times New Roman" w:eastAsia="Times New Roman"/>
                <w:spacing w:val="-5"/>
              </w:rPr>
              <w:t>41</w:t>
            </w:r>
          </w:hyperlink>
        </w:p>
        <w:p>
          <w:pPr>
            <w:pStyle w:val="TOC2"/>
            <w:numPr>
              <w:ilvl w:val="1"/>
              <w:numId w:val="4"/>
            </w:numPr>
            <w:tabs>
              <w:tab w:pos="2248" w:val="left" w:leader="none"/>
              <w:tab w:pos="9064" w:val="right" w:leader="dot"/>
            </w:tabs>
            <w:spacing w:line="240" w:lineRule="auto" w:before="340" w:after="20"/>
            <w:ind w:left="2248" w:right="0" w:hanging="720"/>
            <w:jc w:val="left"/>
            <w:rPr>
              <w:rFonts w:ascii="Times New Roman" w:eastAsia="Times New Roman"/>
            </w:rPr>
          </w:pPr>
          <w:hyperlink w:history="true" w:anchor="_bookmark49">
            <w:r>
              <w:rPr/>
              <w:t>產業概</w:t>
            </w:r>
            <w:r>
              <w:rPr>
                <w:spacing w:val="-10"/>
              </w:rPr>
              <w:t>況</w:t>
            </w:r>
            <w:r>
              <w:rPr>
                <w:rFonts w:ascii="Times New Roman" w:eastAsia="Times New Roman"/>
              </w:rPr>
              <w:tab/>
            </w:r>
            <w:r>
              <w:rPr>
                <w:rFonts w:ascii="Times New Roman" w:eastAsia="Times New Roman"/>
                <w:spacing w:val="-5"/>
              </w:rPr>
              <w:t>41</w:t>
            </w:r>
          </w:hyperlink>
        </w:p>
        <w:p>
          <w:pPr>
            <w:pStyle w:val="TOC3"/>
            <w:tabs>
              <w:tab w:pos="2789" w:val="left" w:leader="none"/>
              <w:tab w:pos="9064" w:val="right" w:leader="dot"/>
            </w:tabs>
            <w:spacing w:before="46"/>
            <w:ind w:left="2006"/>
            <w:rPr>
              <w:rFonts w:ascii="Times New Roman" w:eastAsia="Times New Roman"/>
              <w:position w:val="1"/>
            </w:rPr>
          </w:pPr>
          <w:r>
            <w:rPr/>
            <w:drawing>
              <wp:inline distT="0" distB="0" distL="0" distR="0">
                <wp:extent cx="290321" cy="11201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290321" cy="112012"/>
                        </a:xfrm>
                        <a:prstGeom prst="rect">
                          <a:avLst/>
                        </a:prstGeom>
                      </pic:spPr>
                    </pic:pic>
                  </a:graphicData>
                </a:graphic>
              </wp:inline>
            </w:drawing>
          </w:r>
          <w:r>
            <w:rPr/>
          </w:r>
          <w:r>
            <w:rPr>
              <w:rFonts w:ascii="Times New Roman" w:eastAsia="Times New Roman"/>
              <w:position w:val="1"/>
              <w:sz w:val="20"/>
            </w:rPr>
            <w:tab/>
          </w:r>
          <w:hyperlink w:history="true" w:anchor="_bookmark50">
            <w:r>
              <w:rPr>
                <w:position w:val="1"/>
              </w:rPr>
              <w:t>全球與台灣長照需求現</w:t>
            </w:r>
            <w:r>
              <w:rPr>
                <w:spacing w:val="-10"/>
                <w:position w:val="1"/>
              </w:rPr>
              <w:t>況</w:t>
            </w:r>
            <w:r>
              <w:rPr>
                <w:rFonts w:ascii="Times New Roman" w:eastAsia="Times New Roman"/>
                <w:position w:val="1"/>
              </w:rPr>
              <w:tab/>
            </w:r>
            <w:r>
              <w:rPr>
                <w:rFonts w:ascii="Times New Roman" w:eastAsia="Times New Roman"/>
                <w:spacing w:val="-5"/>
                <w:position w:val="1"/>
              </w:rPr>
              <w:t>41</w:t>
            </w:r>
          </w:hyperlink>
        </w:p>
        <w:p>
          <w:pPr>
            <w:pStyle w:val="TOC3"/>
            <w:tabs>
              <w:tab w:pos="2789" w:val="left" w:leader="none"/>
              <w:tab w:pos="9064" w:val="right" w:leader="dot"/>
            </w:tabs>
            <w:ind w:left="2006"/>
            <w:rPr>
              <w:rFonts w:ascii="Times New Roman" w:eastAsia="Times New Roman"/>
              <w:position w:val="1"/>
            </w:rPr>
          </w:pPr>
          <w:r>
            <w:rPr/>
            <w:drawing>
              <wp:inline distT="0" distB="0" distL="0" distR="0">
                <wp:extent cx="302513" cy="11201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302513" cy="112014"/>
                        </a:xfrm>
                        <a:prstGeom prst="rect">
                          <a:avLst/>
                        </a:prstGeom>
                      </pic:spPr>
                    </pic:pic>
                  </a:graphicData>
                </a:graphic>
              </wp:inline>
            </w:drawing>
          </w:r>
          <w:r>
            <w:rPr/>
          </w:r>
          <w:r>
            <w:rPr>
              <w:rFonts w:ascii="Times New Roman" w:eastAsia="Times New Roman"/>
              <w:position w:val="1"/>
              <w:sz w:val="20"/>
            </w:rPr>
            <w:tab/>
          </w:r>
          <w:hyperlink w:history="true" w:anchor="_bookmark51">
            <w:r>
              <w:rPr>
                <w:position w:val="1"/>
              </w:rPr>
              <w:t>照護產業面臨的挑</w:t>
            </w:r>
            <w:r>
              <w:rPr>
                <w:spacing w:val="-10"/>
                <w:position w:val="1"/>
              </w:rPr>
              <w:t>戰</w:t>
            </w:r>
            <w:r>
              <w:rPr>
                <w:rFonts w:ascii="Times New Roman" w:eastAsia="Times New Roman"/>
                <w:position w:val="1"/>
              </w:rPr>
              <w:tab/>
            </w:r>
            <w:r>
              <w:rPr>
                <w:rFonts w:ascii="Times New Roman" w:eastAsia="Times New Roman"/>
                <w:spacing w:val="-5"/>
                <w:position w:val="1"/>
              </w:rPr>
              <w:t>41</w:t>
            </w:r>
          </w:hyperlink>
        </w:p>
        <w:p>
          <w:pPr>
            <w:pStyle w:val="TOC3"/>
            <w:tabs>
              <w:tab w:pos="2789" w:val="left" w:leader="none"/>
              <w:tab w:pos="9064" w:val="right" w:leader="dot"/>
            </w:tabs>
            <w:ind w:left="2006"/>
            <w:rPr>
              <w:rFonts w:ascii="Times New Roman" w:eastAsia="Times New Roman"/>
              <w:position w:val="1"/>
            </w:rPr>
          </w:pPr>
          <w:r>
            <w:rPr/>
            <w:drawing>
              <wp:inline distT="0" distB="0" distL="0" distR="0">
                <wp:extent cx="296418" cy="11201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296418" cy="112014"/>
                        </a:xfrm>
                        <a:prstGeom prst="rect">
                          <a:avLst/>
                        </a:prstGeom>
                      </pic:spPr>
                    </pic:pic>
                  </a:graphicData>
                </a:graphic>
              </wp:inline>
            </w:drawing>
          </w:r>
          <w:r>
            <w:rPr/>
          </w:r>
          <w:r>
            <w:rPr>
              <w:rFonts w:ascii="Times New Roman" w:eastAsia="Times New Roman"/>
              <w:position w:val="1"/>
              <w:sz w:val="20"/>
            </w:rPr>
            <w:tab/>
          </w:r>
          <w:hyperlink w:history="true" w:anchor="_bookmark52">
            <w:r>
              <w:rPr>
                <w:position w:val="1"/>
              </w:rPr>
              <w:t>市場展望與產業趨</w:t>
            </w:r>
            <w:r>
              <w:rPr>
                <w:spacing w:val="-10"/>
                <w:position w:val="1"/>
              </w:rPr>
              <w:t>勢</w:t>
            </w:r>
            <w:r>
              <w:rPr>
                <w:rFonts w:ascii="Times New Roman" w:eastAsia="Times New Roman"/>
                <w:position w:val="1"/>
              </w:rPr>
              <w:tab/>
            </w:r>
            <w:r>
              <w:rPr>
                <w:rFonts w:ascii="Times New Roman" w:eastAsia="Times New Roman"/>
                <w:spacing w:val="-5"/>
                <w:position w:val="1"/>
              </w:rPr>
              <w:t>42</w:t>
            </w:r>
          </w:hyperlink>
        </w:p>
        <w:p>
          <w:pPr>
            <w:pStyle w:val="TOC3"/>
            <w:tabs>
              <w:tab w:pos="2789" w:val="left" w:leader="none"/>
              <w:tab w:pos="9064" w:val="right" w:leader="dot"/>
            </w:tabs>
            <w:spacing w:before="341"/>
            <w:ind w:left="2006"/>
            <w:rPr>
              <w:rFonts w:ascii="Times New Roman" w:eastAsia="Times New Roman"/>
              <w:position w:val="1"/>
            </w:rPr>
          </w:pPr>
          <w:r>
            <w:rPr/>
            <w:drawing>
              <wp:inline distT="0" distB="0" distL="0" distR="0">
                <wp:extent cx="304038" cy="11201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304038" cy="112014"/>
                        </a:xfrm>
                        <a:prstGeom prst="rect">
                          <a:avLst/>
                        </a:prstGeom>
                      </pic:spPr>
                    </pic:pic>
                  </a:graphicData>
                </a:graphic>
              </wp:inline>
            </w:drawing>
          </w:r>
          <w:r>
            <w:rPr/>
          </w:r>
          <w:r>
            <w:rPr>
              <w:rFonts w:ascii="Times New Roman" w:eastAsia="Times New Roman"/>
              <w:position w:val="1"/>
              <w:sz w:val="20"/>
            </w:rPr>
            <w:tab/>
          </w:r>
          <w:hyperlink w:history="true" w:anchor="_bookmark53">
            <w:r>
              <w:rPr>
                <w:position w:val="1"/>
              </w:rPr>
              <w:t>政策支持與未來展</w:t>
            </w:r>
            <w:r>
              <w:rPr>
                <w:spacing w:val="-10"/>
                <w:position w:val="1"/>
              </w:rPr>
              <w:t>望</w:t>
            </w:r>
            <w:r>
              <w:rPr>
                <w:rFonts w:ascii="Times New Roman" w:eastAsia="Times New Roman"/>
                <w:position w:val="1"/>
              </w:rPr>
              <w:tab/>
            </w:r>
            <w:r>
              <w:rPr>
                <w:rFonts w:ascii="Times New Roman" w:eastAsia="Times New Roman"/>
                <w:spacing w:val="-5"/>
                <w:position w:val="1"/>
              </w:rPr>
              <w:t>43</w:t>
            </w:r>
          </w:hyperlink>
        </w:p>
        <w:p>
          <w:pPr>
            <w:pStyle w:val="TOC2"/>
            <w:numPr>
              <w:ilvl w:val="1"/>
              <w:numId w:val="4"/>
            </w:numPr>
            <w:tabs>
              <w:tab w:pos="2248" w:val="left" w:leader="none"/>
              <w:tab w:pos="9064" w:val="right" w:leader="dot"/>
            </w:tabs>
            <w:spacing w:line="240" w:lineRule="auto" w:before="343" w:after="0"/>
            <w:ind w:left="2248" w:right="0" w:hanging="720"/>
            <w:jc w:val="left"/>
            <w:rPr>
              <w:rFonts w:ascii="Times New Roman" w:eastAsia="Times New Roman"/>
            </w:rPr>
          </w:pPr>
          <w:hyperlink w:history="true" w:anchor="_bookmark54">
            <w:r>
              <w:rPr/>
              <w:t>個案公司介</w:t>
            </w:r>
            <w:r>
              <w:rPr>
                <w:spacing w:val="-10"/>
              </w:rPr>
              <w:t>紹</w:t>
            </w:r>
            <w:r>
              <w:rPr>
                <w:rFonts w:ascii="Times New Roman" w:eastAsia="Times New Roman"/>
              </w:rPr>
              <w:tab/>
            </w:r>
            <w:r>
              <w:rPr>
                <w:rFonts w:ascii="Times New Roman" w:eastAsia="Times New Roman"/>
                <w:spacing w:val="-5"/>
              </w:rPr>
              <w:t>44</w:t>
            </w:r>
          </w:hyperlink>
        </w:p>
        <w:p>
          <w:pPr>
            <w:pStyle w:val="TOC3"/>
            <w:tabs>
              <w:tab w:pos="2789" w:val="left" w:leader="none"/>
              <w:tab w:pos="9064" w:val="right" w:leader="dot"/>
            </w:tabs>
            <w:spacing w:before="338"/>
            <w:ind w:left="2006"/>
            <w:rPr>
              <w:rFonts w:ascii="Times New Roman" w:eastAsia="Times New Roman"/>
              <w:position w:val="1"/>
            </w:rPr>
          </w:pPr>
          <w:r>
            <w:rPr/>
            <w:drawing>
              <wp:inline distT="0" distB="0" distL="0" distR="0">
                <wp:extent cx="290321" cy="11201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290321" cy="112014"/>
                        </a:xfrm>
                        <a:prstGeom prst="rect">
                          <a:avLst/>
                        </a:prstGeom>
                      </pic:spPr>
                    </pic:pic>
                  </a:graphicData>
                </a:graphic>
              </wp:inline>
            </w:drawing>
          </w:r>
          <w:r>
            <w:rPr/>
          </w:r>
          <w:r>
            <w:rPr>
              <w:rFonts w:ascii="Times New Roman" w:eastAsia="Times New Roman"/>
              <w:position w:val="1"/>
              <w:sz w:val="20"/>
            </w:rPr>
            <w:tab/>
          </w:r>
          <w:hyperlink w:history="true" w:anchor="_bookmark55">
            <w:r>
              <w:rPr>
                <w:position w:val="1"/>
              </w:rPr>
              <w:t>諾亞克品牌介</w:t>
            </w:r>
            <w:r>
              <w:rPr>
                <w:spacing w:val="-10"/>
                <w:position w:val="1"/>
              </w:rPr>
              <w:t>紹</w:t>
            </w:r>
            <w:r>
              <w:rPr>
                <w:rFonts w:ascii="Times New Roman" w:eastAsia="Times New Roman"/>
                <w:position w:val="1"/>
              </w:rPr>
              <w:tab/>
            </w:r>
            <w:r>
              <w:rPr>
                <w:rFonts w:ascii="Times New Roman" w:eastAsia="Times New Roman"/>
                <w:spacing w:val="-5"/>
                <w:position w:val="1"/>
              </w:rPr>
              <w:t>44</w:t>
            </w:r>
          </w:hyperlink>
        </w:p>
        <w:p>
          <w:pPr>
            <w:pStyle w:val="TOC3"/>
            <w:tabs>
              <w:tab w:pos="2789" w:val="left" w:leader="none"/>
              <w:tab w:pos="9064" w:val="right" w:leader="dot"/>
            </w:tabs>
            <w:spacing w:before="341"/>
            <w:ind w:left="2006"/>
            <w:rPr>
              <w:rFonts w:ascii="Times New Roman" w:eastAsia="Times New Roman"/>
              <w:position w:val="1"/>
            </w:rPr>
          </w:pPr>
          <w:r>
            <w:rPr/>
            <w:drawing>
              <wp:inline distT="0" distB="0" distL="0" distR="0">
                <wp:extent cx="302513" cy="11201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302513" cy="112014"/>
                        </a:xfrm>
                        <a:prstGeom prst="rect">
                          <a:avLst/>
                        </a:prstGeom>
                      </pic:spPr>
                    </pic:pic>
                  </a:graphicData>
                </a:graphic>
              </wp:inline>
            </w:drawing>
          </w:r>
          <w:r>
            <w:rPr/>
          </w:r>
          <w:r>
            <w:rPr>
              <w:rFonts w:ascii="Times New Roman" w:eastAsia="Times New Roman"/>
              <w:position w:val="1"/>
              <w:sz w:val="20"/>
            </w:rPr>
            <w:tab/>
          </w:r>
          <w:hyperlink w:history="true" w:anchor="_bookmark56">
            <w:r>
              <w:rPr>
                <w:position w:val="1"/>
              </w:rPr>
              <w:t>產品及服務介</w:t>
            </w:r>
            <w:r>
              <w:rPr>
                <w:spacing w:val="-10"/>
                <w:position w:val="1"/>
              </w:rPr>
              <w:t>紹</w:t>
            </w:r>
            <w:r>
              <w:rPr>
                <w:rFonts w:ascii="Times New Roman" w:eastAsia="Times New Roman"/>
                <w:position w:val="1"/>
              </w:rPr>
              <w:tab/>
            </w:r>
            <w:r>
              <w:rPr>
                <w:rFonts w:ascii="Times New Roman" w:eastAsia="Times New Roman"/>
                <w:spacing w:val="-5"/>
                <w:position w:val="1"/>
              </w:rPr>
              <w:t>45</w:t>
            </w:r>
          </w:hyperlink>
        </w:p>
        <w:p>
          <w:pPr>
            <w:pStyle w:val="TOC2"/>
            <w:numPr>
              <w:ilvl w:val="1"/>
              <w:numId w:val="4"/>
            </w:numPr>
            <w:tabs>
              <w:tab w:pos="2248" w:val="left" w:leader="none"/>
              <w:tab w:pos="9064" w:val="right" w:leader="dot"/>
            </w:tabs>
            <w:spacing w:line="240" w:lineRule="auto" w:before="343" w:after="0"/>
            <w:ind w:left="2248" w:right="0" w:hanging="720"/>
            <w:jc w:val="left"/>
            <w:rPr>
              <w:rFonts w:ascii="Times New Roman" w:eastAsia="Times New Roman"/>
            </w:rPr>
          </w:pPr>
          <w:hyperlink w:history="true" w:anchor="_bookmark57">
            <w:r>
              <w:rPr/>
              <w:t>發展歷</w:t>
            </w:r>
            <w:r>
              <w:rPr>
                <w:spacing w:val="-10"/>
              </w:rPr>
              <w:t>程</w:t>
            </w:r>
            <w:r>
              <w:rPr>
                <w:rFonts w:ascii="Times New Roman" w:eastAsia="Times New Roman"/>
              </w:rPr>
              <w:tab/>
            </w:r>
            <w:r>
              <w:rPr>
                <w:rFonts w:ascii="Times New Roman" w:eastAsia="Times New Roman"/>
                <w:spacing w:val="-5"/>
              </w:rPr>
              <w:t>47</w:t>
            </w:r>
          </w:hyperlink>
        </w:p>
        <w:p>
          <w:pPr>
            <w:pStyle w:val="TOC1"/>
            <w:tabs>
              <w:tab w:pos="8867" w:val="right" w:leader="dot"/>
            </w:tabs>
            <w:rPr>
              <w:rFonts w:ascii="Times New Roman" w:eastAsia="Times New Roman"/>
            </w:rPr>
          </w:pPr>
          <w:hyperlink w:history="true" w:anchor="_bookmark59">
            <w:r>
              <w:rPr/>
              <w:t>第五章、個案分</w:t>
            </w:r>
            <w:r>
              <w:rPr>
                <w:spacing w:val="-10"/>
              </w:rPr>
              <w:t>析</w:t>
            </w:r>
            <w:r>
              <w:rPr>
                <w:rFonts w:ascii="Times New Roman" w:eastAsia="Times New Roman"/>
              </w:rPr>
              <w:tab/>
            </w:r>
            <w:r>
              <w:rPr>
                <w:rFonts w:ascii="Times New Roman" w:eastAsia="Times New Roman"/>
                <w:spacing w:val="-5"/>
              </w:rPr>
              <w:t>48</w:t>
            </w:r>
          </w:hyperlink>
        </w:p>
        <w:p>
          <w:pPr>
            <w:pStyle w:val="TOC2"/>
            <w:numPr>
              <w:ilvl w:val="1"/>
              <w:numId w:val="5"/>
            </w:numPr>
            <w:tabs>
              <w:tab w:pos="2248" w:val="left" w:leader="none"/>
              <w:tab w:pos="9064" w:val="right" w:leader="dot"/>
            </w:tabs>
            <w:spacing w:line="240" w:lineRule="auto" w:before="341" w:after="0"/>
            <w:ind w:left="2248" w:right="0" w:hanging="720"/>
            <w:jc w:val="left"/>
            <w:rPr>
              <w:rFonts w:ascii="Times New Roman" w:eastAsia="Times New Roman"/>
            </w:rPr>
          </w:pPr>
          <w:r>
            <w:rPr>
              <w:rFonts w:ascii="Times New Roman" w:eastAsia="Times New Roman"/>
            </w:rPr>
            <w:drawing>
              <wp:anchor distT="0" distB="0" distL="0" distR="0" allowOverlap="1" layoutInCell="1" locked="0" behindDoc="1" simplePos="0" relativeHeight="485776896">
                <wp:simplePos x="0" y="0"/>
                <wp:positionH relativeFrom="page">
                  <wp:posOffset>3312414</wp:posOffset>
                </wp:positionH>
                <wp:positionV relativeFrom="paragraph">
                  <wp:posOffset>148780</wp:posOffset>
                </wp:positionV>
                <wp:extent cx="929640" cy="97840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6" cstate="print"/>
                        <a:stretch>
                          <a:fillRect/>
                        </a:stretch>
                      </pic:blipFill>
                      <pic:spPr>
                        <a:xfrm>
                          <a:off x="0" y="0"/>
                          <a:ext cx="929640" cy="978408"/>
                        </a:xfrm>
                        <a:prstGeom prst="rect">
                          <a:avLst/>
                        </a:prstGeom>
                      </pic:spPr>
                    </pic:pic>
                  </a:graphicData>
                </a:graphic>
              </wp:anchor>
            </w:drawing>
          </w:r>
          <w:hyperlink w:history="true" w:anchor="_bookmark60">
            <w:r>
              <w:rPr/>
              <w:t>第一階段：初期系統建</w:t>
            </w:r>
            <w:r>
              <w:rPr>
                <w:spacing w:val="-10"/>
              </w:rPr>
              <w:t>構</w:t>
            </w:r>
            <w:r>
              <w:rPr>
                <w:rFonts w:ascii="Times New Roman" w:eastAsia="Times New Roman"/>
              </w:rPr>
              <w:tab/>
            </w:r>
            <w:r>
              <w:rPr>
                <w:rFonts w:ascii="Times New Roman" w:eastAsia="Times New Roman"/>
                <w:spacing w:val="-5"/>
              </w:rPr>
              <w:t>48</w:t>
            </w:r>
          </w:hyperlink>
        </w:p>
        <w:p>
          <w:pPr>
            <w:pStyle w:val="TOC3"/>
            <w:tabs>
              <w:tab w:pos="2789" w:val="left" w:leader="none"/>
              <w:tab w:pos="9064" w:val="right" w:leader="dot"/>
            </w:tabs>
            <w:spacing w:before="338"/>
            <w:rPr>
              <w:rFonts w:ascii="Times New Roman" w:eastAsia="Times New Roman"/>
              <w:position w:val="1"/>
            </w:rPr>
          </w:pPr>
          <w:r>
            <w:rPr/>
            <w:drawing>
              <wp:inline distT="0" distB="0" distL="0" distR="0">
                <wp:extent cx="285750" cy="112013"/>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285750" cy="112013"/>
                        </a:xfrm>
                        <a:prstGeom prst="rect">
                          <a:avLst/>
                        </a:prstGeom>
                      </pic:spPr>
                    </pic:pic>
                  </a:graphicData>
                </a:graphic>
              </wp:inline>
            </w:drawing>
          </w:r>
          <w:r>
            <w:rPr/>
          </w:r>
          <w:r>
            <w:rPr>
              <w:rFonts w:ascii="Times New Roman" w:eastAsia="Times New Roman"/>
              <w:position w:val="1"/>
              <w:sz w:val="20"/>
            </w:rPr>
            <w:tab/>
          </w:r>
          <w:hyperlink w:history="true" w:anchor="_bookmark61">
            <w:r>
              <w:rPr>
                <w:position w:val="1"/>
              </w:rPr>
              <w:t>競爭環</w:t>
            </w:r>
            <w:r>
              <w:rPr>
                <w:spacing w:val="-10"/>
                <w:position w:val="1"/>
              </w:rPr>
              <w:t>境</w:t>
            </w:r>
            <w:r>
              <w:rPr>
                <w:rFonts w:ascii="Times New Roman" w:eastAsia="Times New Roman"/>
                <w:position w:val="1"/>
              </w:rPr>
              <w:tab/>
            </w:r>
            <w:r>
              <w:rPr>
                <w:rFonts w:ascii="Times New Roman" w:eastAsia="Times New Roman"/>
                <w:spacing w:val="-5"/>
                <w:position w:val="1"/>
              </w:rPr>
              <w:t>48</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7942" cy="112013"/>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297942" cy="112013"/>
                        </a:xfrm>
                        <a:prstGeom prst="rect">
                          <a:avLst/>
                        </a:prstGeom>
                      </pic:spPr>
                    </pic:pic>
                  </a:graphicData>
                </a:graphic>
              </wp:inline>
            </w:drawing>
          </w:r>
          <w:r>
            <w:rPr/>
          </w:r>
          <w:r>
            <w:rPr>
              <w:rFonts w:ascii="Times New Roman" w:eastAsia="Times New Roman"/>
              <w:position w:val="1"/>
              <w:sz w:val="20"/>
            </w:rPr>
            <w:tab/>
          </w:r>
          <w:hyperlink w:history="true" w:anchor="_bookmark62">
            <w:r>
              <w:rPr>
                <w:position w:val="1"/>
              </w:rPr>
              <w:t>組織策</w:t>
            </w:r>
            <w:r>
              <w:rPr>
                <w:spacing w:val="-10"/>
                <w:position w:val="1"/>
              </w:rPr>
              <w:t>略</w:t>
            </w:r>
            <w:r>
              <w:rPr>
                <w:rFonts w:ascii="Times New Roman" w:eastAsia="Times New Roman"/>
                <w:position w:val="1"/>
              </w:rPr>
              <w:tab/>
            </w:r>
            <w:r>
              <w:rPr>
                <w:rFonts w:ascii="Times New Roman" w:eastAsia="Times New Roman"/>
                <w:spacing w:val="-5"/>
                <w:position w:val="1"/>
              </w:rPr>
              <w:t>49</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1845" cy="11201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291845" cy="112013"/>
                        </a:xfrm>
                        <a:prstGeom prst="rect">
                          <a:avLst/>
                        </a:prstGeom>
                      </pic:spPr>
                    </pic:pic>
                  </a:graphicData>
                </a:graphic>
              </wp:inline>
            </w:drawing>
          </w:r>
          <w:r>
            <w:rPr/>
          </w:r>
          <w:r>
            <w:rPr>
              <w:rFonts w:ascii="Times New Roman" w:eastAsia="Times New Roman"/>
              <w:position w:val="1"/>
              <w:sz w:val="20"/>
            </w:rPr>
            <w:tab/>
          </w:r>
          <w:hyperlink w:history="true" w:anchor="_bookmark63">
            <w:r>
              <w:rPr>
                <w:position w:val="1"/>
              </w:rPr>
              <w:t>市場邊</w:t>
            </w:r>
            <w:r>
              <w:rPr>
                <w:spacing w:val="-10"/>
                <w:position w:val="1"/>
              </w:rPr>
              <w:t>界</w:t>
            </w:r>
            <w:r>
              <w:rPr>
                <w:rFonts w:ascii="Times New Roman" w:eastAsia="Times New Roman"/>
                <w:position w:val="1"/>
              </w:rPr>
              <w:tab/>
            </w:r>
            <w:r>
              <w:rPr>
                <w:rFonts w:ascii="Times New Roman" w:eastAsia="Times New Roman"/>
                <w:spacing w:val="-5"/>
                <w:position w:val="1"/>
              </w:rPr>
              <w:t>50</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9465" cy="11201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299465" cy="112012"/>
                        </a:xfrm>
                        <a:prstGeom prst="rect">
                          <a:avLst/>
                        </a:prstGeom>
                      </pic:spPr>
                    </pic:pic>
                  </a:graphicData>
                </a:graphic>
              </wp:inline>
            </w:drawing>
          </w:r>
          <w:r>
            <w:rPr/>
          </w:r>
          <w:r>
            <w:rPr>
              <w:rFonts w:ascii="Times New Roman" w:eastAsia="Times New Roman"/>
              <w:position w:val="1"/>
              <w:sz w:val="20"/>
            </w:rPr>
            <w:tab/>
          </w:r>
          <w:hyperlink w:history="true" w:anchor="_bookmark64">
            <w:r>
              <w:rPr>
                <w:position w:val="1"/>
              </w:rPr>
              <w:t>知識邊</w:t>
            </w:r>
            <w:r>
              <w:rPr>
                <w:spacing w:val="-10"/>
                <w:position w:val="1"/>
              </w:rPr>
              <w:t>界</w:t>
            </w:r>
            <w:r>
              <w:rPr>
                <w:rFonts w:ascii="Times New Roman" w:eastAsia="Times New Roman"/>
                <w:position w:val="1"/>
              </w:rPr>
              <w:tab/>
            </w:r>
            <w:r>
              <w:rPr>
                <w:rFonts w:ascii="Times New Roman" w:eastAsia="Times New Roman"/>
                <w:spacing w:val="-5"/>
                <w:position w:val="1"/>
              </w:rPr>
              <w:t>53</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4894" cy="11201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294894" cy="112012"/>
                        </a:xfrm>
                        <a:prstGeom prst="rect">
                          <a:avLst/>
                        </a:prstGeom>
                      </pic:spPr>
                    </pic:pic>
                  </a:graphicData>
                </a:graphic>
              </wp:inline>
            </w:drawing>
          </w:r>
          <w:r>
            <w:rPr/>
          </w:r>
          <w:r>
            <w:rPr>
              <w:rFonts w:ascii="Times New Roman" w:eastAsia="Times New Roman"/>
              <w:position w:val="1"/>
              <w:sz w:val="20"/>
            </w:rPr>
            <w:tab/>
          </w:r>
          <w:hyperlink w:history="true" w:anchor="_bookmark65">
            <w:r>
              <w:rPr>
                <w:position w:val="1"/>
              </w:rPr>
              <w:t>技術邊</w:t>
            </w:r>
            <w:r>
              <w:rPr>
                <w:spacing w:val="-10"/>
                <w:position w:val="1"/>
              </w:rPr>
              <w:t>界</w:t>
            </w:r>
            <w:r>
              <w:rPr>
                <w:rFonts w:ascii="Times New Roman" w:eastAsia="Times New Roman"/>
                <w:position w:val="1"/>
              </w:rPr>
              <w:tab/>
            </w:r>
            <w:r>
              <w:rPr>
                <w:rFonts w:ascii="Times New Roman" w:eastAsia="Times New Roman"/>
                <w:spacing w:val="-5"/>
                <w:position w:val="1"/>
              </w:rPr>
              <w:t>56</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9465" cy="11201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299465" cy="112012"/>
                        </a:xfrm>
                        <a:prstGeom prst="rect">
                          <a:avLst/>
                        </a:prstGeom>
                      </pic:spPr>
                    </pic:pic>
                  </a:graphicData>
                </a:graphic>
              </wp:inline>
            </w:drawing>
          </w:r>
          <w:r>
            <w:rPr/>
          </w:r>
          <w:r>
            <w:rPr>
              <w:rFonts w:ascii="Times New Roman" w:eastAsia="Times New Roman"/>
              <w:position w:val="1"/>
              <w:sz w:val="20"/>
            </w:rPr>
            <w:tab/>
          </w:r>
          <w:hyperlink w:history="true" w:anchor="_bookmark66">
            <w:r>
              <w:rPr>
                <w:position w:val="1"/>
              </w:rPr>
              <w:t>數位服務的拓</w:t>
            </w:r>
            <w:r>
              <w:rPr>
                <w:spacing w:val="-10"/>
                <w:position w:val="1"/>
              </w:rPr>
              <w:t>展</w:t>
            </w:r>
            <w:r>
              <w:rPr>
                <w:rFonts w:ascii="Times New Roman" w:eastAsia="Times New Roman"/>
                <w:position w:val="1"/>
              </w:rPr>
              <w:tab/>
            </w:r>
            <w:r>
              <w:rPr>
                <w:rFonts w:ascii="Times New Roman" w:eastAsia="Times New Roman"/>
                <w:spacing w:val="-5"/>
                <w:position w:val="1"/>
              </w:rPr>
              <w:t>58</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7942" cy="112012"/>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297942" cy="112012"/>
                        </a:xfrm>
                        <a:prstGeom prst="rect">
                          <a:avLst/>
                        </a:prstGeom>
                      </pic:spPr>
                    </pic:pic>
                  </a:graphicData>
                </a:graphic>
              </wp:inline>
            </w:drawing>
          </w:r>
          <w:r>
            <w:rPr/>
          </w:r>
          <w:r>
            <w:rPr>
              <w:rFonts w:ascii="Times New Roman" w:eastAsia="Times New Roman"/>
              <w:position w:val="1"/>
              <w:sz w:val="20"/>
            </w:rPr>
            <w:tab/>
          </w:r>
          <w:hyperlink w:history="true" w:anchor="_bookmark67">
            <w:r>
              <w:rPr>
                <w:position w:val="1"/>
              </w:rPr>
              <w:t>第一階段小</w:t>
            </w:r>
            <w:r>
              <w:rPr>
                <w:spacing w:val="-10"/>
                <w:position w:val="1"/>
              </w:rPr>
              <w:t>結</w:t>
            </w:r>
            <w:r>
              <w:rPr>
                <w:rFonts w:ascii="Times New Roman" w:eastAsia="Times New Roman"/>
                <w:position w:val="1"/>
              </w:rPr>
              <w:tab/>
            </w:r>
            <w:r>
              <w:rPr>
                <w:rFonts w:ascii="Times New Roman" w:eastAsia="Times New Roman"/>
                <w:spacing w:val="-5"/>
                <w:position w:val="1"/>
              </w:rPr>
              <w:t>59</w:t>
            </w:r>
          </w:hyperlink>
        </w:p>
        <w:p>
          <w:pPr>
            <w:pStyle w:val="TOC2"/>
            <w:numPr>
              <w:ilvl w:val="1"/>
              <w:numId w:val="5"/>
            </w:numPr>
            <w:tabs>
              <w:tab w:pos="2248" w:val="left" w:leader="none"/>
              <w:tab w:pos="9064" w:val="right" w:leader="dot"/>
            </w:tabs>
            <w:spacing w:line="240" w:lineRule="auto" w:before="344" w:after="0"/>
            <w:ind w:left="2248" w:right="0" w:hanging="720"/>
            <w:jc w:val="left"/>
            <w:rPr>
              <w:rFonts w:ascii="Times New Roman" w:eastAsia="Times New Roman"/>
            </w:rPr>
          </w:pPr>
          <w:hyperlink w:history="true" w:anchor="_bookmark69">
            <w:r>
              <w:rPr/>
              <w:t>第二階段：耗材供應鏈拓</w:t>
            </w:r>
            <w:r>
              <w:rPr>
                <w:spacing w:val="-10"/>
              </w:rPr>
              <w:t>展</w:t>
            </w:r>
            <w:r>
              <w:rPr>
                <w:rFonts w:ascii="Times New Roman" w:eastAsia="Times New Roman"/>
              </w:rPr>
              <w:tab/>
            </w:r>
            <w:r>
              <w:rPr>
                <w:rFonts w:ascii="Times New Roman" w:eastAsia="Times New Roman"/>
                <w:spacing w:val="-5"/>
              </w:rPr>
              <w:t>62</w:t>
            </w:r>
          </w:hyperlink>
        </w:p>
        <w:p>
          <w:pPr>
            <w:pStyle w:val="TOC3"/>
            <w:tabs>
              <w:tab w:pos="2789" w:val="left" w:leader="none"/>
              <w:tab w:pos="9064" w:val="right" w:leader="dot"/>
            </w:tabs>
            <w:spacing w:before="337"/>
            <w:rPr>
              <w:rFonts w:ascii="Times New Roman" w:eastAsia="Times New Roman"/>
              <w:position w:val="1"/>
            </w:rPr>
          </w:pPr>
          <w:r>
            <w:rPr/>
            <w:drawing>
              <wp:inline distT="0" distB="0" distL="0" distR="0">
                <wp:extent cx="285750" cy="112012"/>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6" cstate="print"/>
                        <a:stretch>
                          <a:fillRect/>
                        </a:stretch>
                      </pic:blipFill>
                      <pic:spPr>
                        <a:xfrm>
                          <a:off x="0" y="0"/>
                          <a:ext cx="285750" cy="112012"/>
                        </a:xfrm>
                        <a:prstGeom prst="rect">
                          <a:avLst/>
                        </a:prstGeom>
                      </pic:spPr>
                    </pic:pic>
                  </a:graphicData>
                </a:graphic>
              </wp:inline>
            </w:drawing>
          </w:r>
          <w:r>
            <w:rPr/>
          </w:r>
          <w:r>
            <w:rPr>
              <w:rFonts w:ascii="Times New Roman" w:eastAsia="Times New Roman"/>
              <w:position w:val="1"/>
              <w:sz w:val="20"/>
            </w:rPr>
            <w:tab/>
          </w:r>
          <w:hyperlink w:history="true" w:anchor="_bookmark70">
            <w:r>
              <w:rPr>
                <w:position w:val="1"/>
              </w:rPr>
              <w:t>競爭環</w:t>
            </w:r>
            <w:r>
              <w:rPr>
                <w:spacing w:val="-10"/>
                <w:position w:val="1"/>
              </w:rPr>
              <w:t>境</w:t>
            </w:r>
            <w:r>
              <w:rPr>
                <w:rFonts w:ascii="Times New Roman" w:eastAsia="Times New Roman"/>
                <w:position w:val="1"/>
              </w:rPr>
              <w:tab/>
            </w:r>
            <w:r>
              <w:rPr>
                <w:rFonts w:ascii="Times New Roman" w:eastAsia="Times New Roman"/>
                <w:spacing w:val="-5"/>
                <w:position w:val="1"/>
              </w:rPr>
              <w:t>62</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7942" cy="112012"/>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7" cstate="print"/>
                        <a:stretch>
                          <a:fillRect/>
                        </a:stretch>
                      </pic:blipFill>
                      <pic:spPr>
                        <a:xfrm>
                          <a:off x="0" y="0"/>
                          <a:ext cx="297942" cy="112012"/>
                        </a:xfrm>
                        <a:prstGeom prst="rect">
                          <a:avLst/>
                        </a:prstGeom>
                      </pic:spPr>
                    </pic:pic>
                  </a:graphicData>
                </a:graphic>
              </wp:inline>
            </w:drawing>
          </w:r>
          <w:r>
            <w:rPr/>
          </w:r>
          <w:r>
            <w:rPr>
              <w:rFonts w:ascii="Times New Roman" w:eastAsia="Times New Roman"/>
              <w:position w:val="1"/>
              <w:sz w:val="20"/>
            </w:rPr>
            <w:tab/>
          </w:r>
          <w:hyperlink w:history="true" w:anchor="_bookmark71">
            <w:r>
              <w:rPr>
                <w:position w:val="1"/>
              </w:rPr>
              <w:t>組織策</w:t>
            </w:r>
            <w:r>
              <w:rPr>
                <w:spacing w:val="-10"/>
                <w:position w:val="1"/>
              </w:rPr>
              <w:t>略</w:t>
            </w:r>
            <w:r>
              <w:rPr>
                <w:rFonts w:ascii="Times New Roman" w:eastAsia="Times New Roman"/>
                <w:position w:val="1"/>
              </w:rPr>
              <w:tab/>
            </w:r>
            <w:r>
              <w:rPr>
                <w:rFonts w:ascii="Times New Roman" w:eastAsia="Times New Roman"/>
                <w:spacing w:val="-5"/>
                <w:position w:val="1"/>
              </w:rPr>
              <w:t>63</w:t>
            </w:r>
          </w:hyperlink>
        </w:p>
        <w:p>
          <w:pPr>
            <w:pStyle w:val="TOC3"/>
            <w:tabs>
              <w:tab w:pos="2789" w:val="left" w:leader="none"/>
              <w:tab w:pos="9064" w:val="right" w:leader="dot"/>
            </w:tabs>
            <w:spacing w:before="341" w:after="95"/>
            <w:rPr>
              <w:rFonts w:ascii="Times New Roman" w:eastAsia="Times New Roman"/>
              <w:position w:val="1"/>
            </w:rPr>
          </w:pPr>
          <w:r>
            <w:rPr/>
            <w:drawing>
              <wp:inline distT="0" distB="0" distL="0" distR="0">
                <wp:extent cx="291845" cy="11201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8" cstate="print"/>
                        <a:stretch>
                          <a:fillRect/>
                        </a:stretch>
                      </pic:blipFill>
                      <pic:spPr>
                        <a:xfrm>
                          <a:off x="0" y="0"/>
                          <a:ext cx="291845" cy="112012"/>
                        </a:xfrm>
                        <a:prstGeom prst="rect">
                          <a:avLst/>
                        </a:prstGeom>
                      </pic:spPr>
                    </pic:pic>
                  </a:graphicData>
                </a:graphic>
              </wp:inline>
            </w:drawing>
          </w:r>
          <w:r>
            <w:rPr/>
          </w:r>
          <w:r>
            <w:rPr>
              <w:rFonts w:ascii="Times New Roman" w:eastAsia="Times New Roman"/>
              <w:position w:val="1"/>
              <w:sz w:val="20"/>
            </w:rPr>
            <w:tab/>
          </w:r>
          <w:hyperlink w:history="true" w:anchor="_bookmark72">
            <w:r>
              <w:rPr>
                <w:position w:val="1"/>
              </w:rPr>
              <w:t>市場邊</w:t>
            </w:r>
            <w:r>
              <w:rPr>
                <w:spacing w:val="-10"/>
                <w:position w:val="1"/>
              </w:rPr>
              <w:t>界</w:t>
            </w:r>
            <w:r>
              <w:rPr>
                <w:rFonts w:ascii="Times New Roman" w:eastAsia="Times New Roman"/>
                <w:position w:val="1"/>
              </w:rPr>
              <w:tab/>
            </w:r>
            <w:r>
              <w:rPr>
                <w:rFonts w:ascii="Times New Roman" w:eastAsia="Times New Roman"/>
                <w:spacing w:val="-5"/>
                <w:position w:val="1"/>
              </w:rPr>
              <w:t>64</w:t>
            </w:r>
          </w:hyperlink>
        </w:p>
        <w:p>
          <w:pPr>
            <w:pStyle w:val="TOC3"/>
            <w:tabs>
              <w:tab w:pos="2789" w:val="left" w:leader="none"/>
              <w:tab w:pos="9064" w:val="right" w:leader="dot"/>
            </w:tabs>
            <w:spacing w:before="46"/>
            <w:rPr>
              <w:rFonts w:ascii="Times New Roman" w:eastAsia="Times New Roman"/>
              <w:position w:val="1"/>
            </w:rPr>
          </w:pPr>
          <w:r>
            <w:rPr/>
            <w:drawing>
              <wp:inline distT="0" distB="0" distL="0" distR="0">
                <wp:extent cx="299465" cy="112012"/>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9" cstate="print"/>
                        <a:stretch>
                          <a:fillRect/>
                        </a:stretch>
                      </pic:blipFill>
                      <pic:spPr>
                        <a:xfrm>
                          <a:off x="0" y="0"/>
                          <a:ext cx="299465" cy="112012"/>
                        </a:xfrm>
                        <a:prstGeom prst="rect">
                          <a:avLst/>
                        </a:prstGeom>
                      </pic:spPr>
                    </pic:pic>
                  </a:graphicData>
                </a:graphic>
              </wp:inline>
            </w:drawing>
          </w:r>
          <w:r>
            <w:rPr/>
          </w:r>
          <w:r>
            <w:rPr>
              <w:rFonts w:ascii="Times New Roman" w:eastAsia="Times New Roman"/>
              <w:position w:val="1"/>
              <w:sz w:val="20"/>
            </w:rPr>
            <w:tab/>
          </w:r>
          <w:hyperlink w:history="true" w:anchor="_bookmark73">
            <w:r>
              <w:rPr>
                <w:position w:val="1"/>
              </w:rPr>
              <w:t>知識邊</w:t>
            </w:r>
            <w:r>
              <w:rPr>
                <w:spacing w:val="-10"/>
                <w:position w:val="1"/>
              </w:rPr>
              <w:t>界</w:t>
            </w:r>
            <w:r>
              <w:rPr>
                <w:rFonts w:ascii="Times New Roman" w:eastAsia="Times New Roman"/>
                <w:position w:val="1"/>
              </w:rPr>
              <w:tab/>
            </w:r>
            <w:r>
              <w:rPr>
                <w:rFonts w:ascii="Times New Roman" w:eastAsia="Times New Roman"/>
                <w:spacing w:val="-5"/>
                <w:position w:val="1"/>
              </w:rPr>
              <w:t>66</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4894" cy="112014"/>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40" cstate="print"/>
                        <a:stretch>
                          <a:fillRect/>
                        </a:stretch>
                      </pic:blipFill>
                      <pic:spPr>
                        <a:xfrm>
                          <a:off x="0" y="0"/>
                          <a:ext cx="294894" cy="112014"/>
                        </a:xfrm>
                        <a:prstGeom prst="rect">
                          <a:avLst/>
                        </a:prstGeom>
                      </pic:spPr>
                    </pic:pic>
                  </a:graphicData>
                </a:graphic>
              </wp:inline>
            </w:drawing>
          </w:r>
          <w:r>
            <w:rPr/>
          </w:r>
          <w:r>
            <w:rPr>
              <w:rFonts w:ascii="Times New Roman" w:eastAsia="Times New Roman"/>
              <w:position w:val="1"/>
              <w:sz w:val="20"/>
            </w:rPr>
            <w:tab/>
          </w:r>
          <w:hyperlink w:history="true" w:anchor="_bookmark74">
            <w:r>
              <w:rPr>
                <w:position w:val="1"/>
              </w:rPr>
              <w:t>技術邊</w:t>
            </w:r>
            <w:r>
              <w:rPr>
                <w:spacing w:val="-10"/>
                <w:position w:val="1"/>
              </w:rPr>
              <w:t>界</w:t>
            </w:r>
            <w:r>
              <w:rPr>
                <w:rFonts w:ascii="Times New Roman" w:eastAsia="Times New Roman"/>
                <w:position w:val="1"/>
              </w:rPr>
              <w:tab/>
            </w:r>
            <w:r>
              <w:rPr>
                <w:rFonts w:ascii="Times New Roman" w:eastAsia="Times New Roman"/>
                <w:spacing w:val="-5"/>
                <w:position w:val="1"/>
              </w:rPr>
              <w:t>69</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9465" cy="112014"/>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1" cstate="print"/>
                        <a:stretch>
                          <a:fillRect/>
                        </a:stretch>
                      </pic:blipFill>
                      <pic:spPr>
                        <a:xfrm>
                          <a:off x="0" y="0"/>
                          <a:ext cx="299465" cy="112014"/>
                        </a:xfrm>
                        <a:prstGeom prst="rect">
                          <a:avLst/>
                        </a:prstGeom>
                      </pic:spPr>
                    </pic:pic>
                  </a:graphicData>
                </a:graphic>
              </wp:inline>
            </w:drawing>
          </w:r>
          <w:r>
            <w:rPr/>
          </w:r>
          <w:r>
            <w:rPr>
              <w:rFonts w:ascii="Times New Roman" w:eastAsia="Times New Roman"/>
              <w:position w:val="1"/>
              <w:sz w:val="20"/>
            </w:rPr>
            <w:tab/>
          </w:r>
          <w:hyperlink w:history="true" w:anchor="_bookmark75">
            <w:r>
              <w:rPr>
                <w:position w:val="1"/>
              </w:rPr>
              <w:t>數位服務的拓</w:t>
            </w:r>
            <w:r>
              <w:rPr>
                <w:spacing w:val="-10"/>
                <w:position w:val="1"/>
              </w:rPr>
              <w:t>展</w:t>
            </w:r>
            <w:r>
              <w:rPr>
                <w:rFonts w:ascii="Times New Roman" w:eastAsia="Times New Roman"/>
                <w:position w:val="1"/>
              </w:rPr>
              <w:tab/>
            </w:r>
            <w:r>
              <w:rPr>
                <w:rFonts w:ascii="Times New Roman" w:eastAsia="Times New Roman"/>
                <w:spacing w:val="-5"/>
                <w:position w:val="1"/>
              </w:rPr>
              <w:t>71</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7942" cy="11201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2" cstate="print"/>
                        <a:stretch>
                          <a:fillRect/>
                        </a:stretch>
                      </pic:blipFill>
                      <pic:spPr>
                        <a:xfrm>
                          <a:off x="0" y="0"/>
                          <a:ext cx="297942" cy="112014"/>
                        </a:xfrm>
                        <a:prstGeom prst="rect">
                          <a:avLst/>
                        </a:prstGeom>
                      </pic:spPr>
                    </pic:pic>
                  </a:graphicData>
                </a:graphic>
              </wp:inline>
            </w:drawing>
          </w:r>
          <w:r>
            <w:rPr/>
          </w:r>
          <w:r>
            <w:rPr>
              <w:rFonts w:ascii="Times New Roman" w:eastAsia="Times New Roman"/>
              <w:position w:val="1"/>
              <w:sz w:val="20"/>
            </w:rPr>
            <w:tab/>
          </w:r>
          <w:hyperlink w:history="true" w:anchor="_bookmark76">
            <w:r>
              <w:rPr>
                <w:position w:val="1"/>
              </w:rPr>
              <w:t>第二階段小</w:t>
            </w:r>
            <w:r>
              <w:rPr>
                <w:spacing w:val="-10"/>
                <w:position w:val="1"/>
              </w:rPr>
              <w:t>結</w:t>
            </w:r>
            <w:r>
              <w:rPr>
                <w:rFonts w:ascii="Times New Roman" w:eastAsia="Times New Roman"/>
                <w:position w:val="1"/>
              </w:rPr>
              <w:tab/>
            </w:r>
            <w:r>
              <w:rPr>
                <w:rFonts w:ascii="Times New Roman" w:eastAsia="Times New Roman"/>
                <w:spacing w:val="-5"/>
                <w:position w:val="1"/>
              </w:rPr>
              <w:t>72</w:t>
            </w:r>
          </w:hyperlink>
        </w:p>
        <w:p>
          <w:pPr>
            <w:pStyle w:val="TOC2"/>
            <w:numPr>
              <w:ilvl w:val="1"/>
              <w:numId w:val="5"/>
            </w:numPr>
            <w:tabs>
              <w:tab w:pos="2248" w:val="left" w:leader="none"/>
              <w:tab w:pos="9064" w:val="right" w:leader="dot"/>
            </w:tabs>
            <w:spacing w:line="240" w:lineRule="auto" w:before="343" w:after="0"/>
            <w:ind w:left="2248" w:right="0" w:hanging="720"/>
            <w:jc w:val="left"/>
            <w:rPr>
              <w:rFonts w:ascii="Times New Roman" w:eastAsia="Times New Roman"/>
            </w:rPr>
          </w:pPr>
          <w:hyperlink w:history="true" w:anchor="_bookmark78">
            <w:r>
              <w:rPr/>
              <w:t>第三階段：生態協調模組拓</w:t>
            </w:r>
            <w:r>
              <w:rPr>
                <w:spacing w:val="-10"/>
              </w:rPr>
              <w:t>展</w:t>
            </w:r>
            <w:r>
              <w:rPr>
                <w:rFonts w:ascii="Times New Roman" w:eastAsia="Times New Roman"/>
              </w:rPr>
              <w:tab/>
            </w:r>
            <w:r>
              <w:rPr>
                <w:rFonts w:ascii="Times New Roman" w:eastAsia="Times New Roman"/>
                <w:spacing w:val="-5"/>
              </w:rPr>
              <w:t>75</w:t>
            </w:r>
          </w:hyperlink>
        </w:p>
        <w:p>
          <w:pPr>
            <w:pStyle w:val="TOC3"/>
            <w:tabs>
              <w:tab w:pos="2789" w:val="left" w:leader="none"/>
              <w:tab w:pos="9064" w:val="right" w:leader="dot"/>
            </w:tabs>
            <w:spacing w:before="338"/>
            <w:rPr>
              <w:rFonts w:ascii="Times New Roman" w:eastAsia="Times New Roman"/>
              <w:position w:val="1"/>
            </w:rPr>
          </w:pPr>
          <w:r>
            <w:rPr/>
            <w:drawing>
              <wp:inline distT="0" distB="0" distL="0" distR="0">
                <wp:extent cx="285750" cy="11201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3" cstate="print"/>
                        <a:stretch>
                          <a:fillRect/>
                        </a:stretch>
                      </pic:blipFill>
                      <pic:spPr>
                        <a:xfrm>
                          <a:off x="0" y="0"/>
                          <a:ext cx="285750" cy="112014"/>
                        </a:xfrm>
                        <a:prstGeom prst="rect">
                          <a:avLst/>
                        </a:prstGeom>
                      </pic:spPr>
                    </pic:pic>
                  </a:graphicData>
                </a:graphic>
              </wp:inline>
            </w:drawing>
          </w:r>
          <w:r>
            <w:rPr/>
          </w:r>
          <w:r>
            <w:rPr>
              <w:rFonts w:ascii="Times New Roman" w:eastAsia="Times New Roman"/>
              <w:position w:val="1"/>
              <w:sz w:val="20"/>
            </w:rPr>
            <w:tab/>
          </w:r>
          <w:hyperlink w:history="true" w:anchor="_bookmark79">
            <w:r>
              <w:rPr>
                <w:position w:val="1"/>
              </w:rPr>
              <w:t>競爭環</w:t>
            </w:r>
            <w:r>
              <w:rPr>
                <w:spacing w:val="-10"/>
                <w:position w:val="1"/>
              </w:rPr>
              <w:t>境</w:t>
            </w:r>
            <w:r>
              <w:rPr>
                <w:rFonts w:ascii="Times New Roman" w:eastAsia="Times New Roman"/>
                <w:position w:val="1"/>
              </w:rPr>
              <w:tab/>
            </w:r>
            <w:r>
              <w:rPr>
                <w:rFonts w:ascii="Times New Roman" w:eastAsia="Times New Roman"/>
                <w:spacing w:val="-5"/>
                <w:position w:val="1"/>
              </w:rPr>
              <w:t>75</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7942" cy="11201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4" cstate="print"/>
                        <a:stretch>
                          <a:fillRect/>
                        </a:stretch>
                      </pic:blipFill>
                      <pic:spPr>
                        <a:xfrm>
                          <a:off x="0" y="0"/>
                          <a:ext cx="297942" cy="112014"/>
                        </a:xfrm>
                        <a:prstGeom prst="rect">
                          <a:avLst/>
                        </a:prstGeom>
                      </pic:spPr>
                    </pic:pic>
                  </a:graphicData>
                </a:graphic>
              </wp:inline>
            </w:drawing>
          </w:r>
          <w:r>
            <w:rPr/>
          </w:r>
          <w:r>
            <w:rPr>
              <w:rFonts w:ascii="Times New Roman" w:eastAsia="Times New Roman"/>
              <w:position w:val="1"/>
              <w:sz w:val="20"/>
            </w:rPr>
            <w:tab/>
          </w:r>
          <w:hyperlink w:history="true" w:anchor="_bookmark80">
            <w:r>
              <w:rPr>
                <w:position w:val="1"/>
              </w:rPr>
              <w:t>組織策</w:t>
            </w:r>
            <w:r>
              <w:rPr>
                <w:spacing w:val="-10"/>
                <w:position w:val="1"/>
              </w:rPr>
              <w:t>略</w:t>
            </w:r>
            <w:r>
              <w:rPr>
                <w:rFonts w:ascii="Times New Roman" w:eastAsia="Times New Roman"/>
                <w:position w:val="1"/>
              </w:rPr>
              <w:tab/>
            </w:r>
            <w:r>
              <w:rPr>
                <w:rFonts w:ascii="Times New Roman" w:eastAsia="Times New Roman"/>
                <w:spacing w:val="-5"/>
                <w:position w:val="1"/>
              </w:rPr>
              <w:t>76</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1845" cy="112014"/>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5" cstate="print"/>
                        <a:stretch>
                          <a:fillRect/>
                        </a:stretch>
                      </pic:blipFill>
                      <pic:spPr>
                        <a:xfrm>
                          <a:off x="0" y="0"/>
                          <a:ext cx="291845" cy="112014"/>
                        </a:xfrm>
                        <a:prstGeom prst="rect">
                          <a:avLst/>
                        </a:prstGeom>
                      </pic:spPr>
                    </pic:pic>
                  </a:graphicData>
                </a:graphic>
              </wp:inline>
            </w:drawing>
          </w:r>
          <w:r>
            <w:rPr/>
          </w:r>
          <w:r>
            <w:rPr>
              <w:rFonts w:ascii="Times New Roman" w:eastAsia="Times New Roman"/>
              <w:position w:val="1"/>
              <w:sz w:val="20"/>
            </w:rPr>
            <w:tab/>
          </w:r>
          <w:hyperlink w:history="true" w:anchor="_bookmark81">
            <w:r>
              <w:rPr>
                <w:position w:val="1"/>
              </w:rPr>
              <w:t>藥局市場邊</w:t>
            </w:r>
            <w:r>
              <w:rPr>
                <w:spacing w:val="-10"/>
                <w:position w:val="1"/>
              </w:rPr>
              <w:t>界</w:t>
            </w:r>
            <w:r>
              <w:rPr>
                <w:rFonts w:ascii="Times New Roman" w:eastAsia="Times New Roman"/>
                <w:position w:val="1"/>
              </w:rPr>
              <w:tab/>
            </w:r>
            <w:r>
              <w:rPr>
                <w:rFonts w:ascii="Times New Roman" w:eastAsia="Times New Roman"/>
                <w:spacing w:val="-5"/>
                <w:position w:val="1"/>
              </w:rPr>
              <w:t>77</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9465" cy="112013"/>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6" cstate="print"/>
                        <a:stretch>
                          <a:fillRect/>
                        </a:stretch>
                      </pic:blipFill>
                      <pic:spPr>
                        <a:xfrm>
                          <a:off x="0" y="0"/>
                          <a:ext cx="299465" cy="112013"/>
                        </a:xfrm>
                        <a:prstGeom prst="rect">
                          <a:avLst/>
                        </a:prstGeom>
                      </pic:spPr>
                    </pic:pic>
                  </a:graphicData>
                </a:graphic>
              </wp:inline>
            </w:drawing>
          </w:r>
          <w:r>
            <w:rPr/>
          </w:r>
          <w:r>
            <w:rPr>
              <w:rFonts w:ascii="Times New Roman" w:eastAsia="Times New Roman"/>
              <w:position w:val="1"/>
              <w:sz w:val="20"/>
            </w:rPr>
            <w:tab/>
          </w:r>
          <w:hyperlink w:history="true" w:anchor="_bookmark82">
            <w:r>
              <w:rPr>
                <w:position w:val="1"/>
              </w:rPr>
              <w:t>藥局知識邊</w:t>
            </w:r>
            <w:r>
              <w:rPr>
                <w:spacing w:val="-10"/>
                <w:position w:val="1"/>
              </w:rPr>
              <w:t>界</w:t>
            </w:r>
            <w:r>
              <w:rPr>
                <w:rFonts w:ascii="Times New Roman" w:eastAsia="Times New Roman"/>
                <w:position w:val="1"/>
              </w:rPr>
              <w:tab/>
            </w:r>
            <w:r>
              <w:rPr>
                <w:rFonts w:ascii="Times New Roman" w:eastAsia="Times New Roman"/>
                <w:spacing w:val="-5"/>
                <w:position w:val="1"/>
              </w:rPr>
              <w:t>79</w:t>
            </w:r>
          </w:hyperlink>
        </w:p>
        <w:p>
          <w:pPr>
            <w:pStyle w:val="TOC3"/>
            <w:tabs>
              <w:tab w:pos="2789" w:val="left" w:leader="none"/>
              <w:tab w:pos="9064" w:val="right" w:leader="dot"/>
            </w:tabs>
            <w:rPr>
              <w:rFonts w:ascii="Times New Roman" w:eastAsia="Times New Roman"/>
              <w:position w:val="1"/>
            </w:rPr>
          </w:pPr>
          <w:r>
            <w:rPr>
              <w:rFonts w:ascii="Times New Roman" w:eastAsia="Times New Roman"/>
              <w:position w:val="1"/>
            </w:rPr>
            <w:drawing>
              <wp:anchor distT="0" distB="0" distL="0" distR="0" allowOverlap="1" layoutInCell="1" locked="0" behindDoc="1" simplePos="0" relativeHeight="485777408">
                <wp:simplePos x="0" y="0"/>
                <wp:positionH relativeFrom="page">
                  <wp:posOffset>3312414</wp:posOffset>
                </wp:positionH>
                <wp:positionV relativeFrom="paragraph">
                  <wp:posOffset>195770</wp:posOffset>
                </wp:positionV>
                <wp:extent cx="929640" cy="978408"/>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6" cstate="print"/>
                        <a:stretch>
                          <a:fillRect/>
                        </a:stretch>
                      </pic:blipFill>
                      <pic:spPr>
                        <a:xfrm>
                          <a:off x="0" y="0"/>
                          <a:ext cx="929640" cy="978408"/>
                        </a:xfrm>
                        <a:prstGeom prst="rect">
                          <a:avLst/>
                        </a:prstGeom>
                      </pic:spPr>
                    </pic:pic>
                  </a:graphicData>
                </a:graphic>
              </wp:anchor>
            </w:drawing>
          </w:r>
          <w:r>
            <w:rPr/>
            <w:drawing>
              <wp:inline distT="0" distB="0" distL="0" distR="0">
                <wp:extent cx="294894" cy="11201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7" cstate="print"/>
                        <a:stretch>
                          <a:fillRect/>
                        </a:stretch>
                      </pic:blipFill>
                      <pic:spPr>
                        <a:xfrm>
                          <a:off x="0" y="0"/>
                          <a:ext cx="294894" cy="112013"/>
                        </a:xfrm>
                        <a:prstGeom prst="rect">
                          <a:avLst/>
                        </a:prstGeom>
                      </pic:spPr>
                    </pic:pic>
                  </a:graphicData>
                </a:graphic>
              </wp:inline>
            </w:drawing>
          </w:r>
          <w:r>
            <w:rPr/>
          </w:r>
          <w:r>
            <w:rPr>
              <w:rFonts w:ascii="Times New Roman" w:eastAsia="Times New Roman"/>
              <w:position w:val="1"/>
              <w:sz w:val="20"/>
            </w:rPr>
            <w:tab/>
          </w:r>
          <w:hyperlink w:history="true" w:anchor="_bookmark83">
            <w:r>
              <w:rPr>
                <w:position w:val="1"/>
              </w:rPr>
              <w:t>藥局技術邊</w:t>
            </w:r>
            <w:r>
              <w:rPr>
                <w:spacing w:val="-10"/>
                <w:position w:val="1"/>
              </w:rPr>
              <w:t>界</w:t>
            </w:r>
            <w:r>
              <w:rPr>
                <w:rFonts w:ascii="Times New Roman" w:eastAsia="Times New Roman"/>
                <w:position w:val="1"/>
              </w:rPr>
              <w:tab/>
            </w:r>
            <w:r>
              <w:rPr>
                <w:rFonts w:ascii="Times New Roman" w:eastAsia="Times New Roman"/>
                <w:spacing w:val="-5"/>
                <w:position w:val="1"/>
              </w:rPr>
              <w:t>81</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9465" cy="112013"/>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299465" cy="112013"/>
                        </a:xfrm>
                        <a:prstGeom prst="rect">
                          <a:avLst/>
                        </a:prstGeom>
                      </pic:spPr>
                    </pic:pic>
                  </a:graphicData>
                </a:graphic>
              </wp:inline>
            </w:drawing>
          </w:r>
          <w:r>
            <w:rPr/>
          </w:r>
          <w:r>
            <w:rPr>
              <w:rFonts w:ascii="Times New Roman" w:eastAsia="Times New Roman"/>
              <w:position w:val="1"/>
              <w:sz w:val="20"/>
            </w:rPr>
            <w:tab/>
          </w:r>
          <w:hyperlink w:history="true" w:anchor="_bookmark84">
            <w:r>
              <w:rPr>
                <w:position w:val="1"/>
              </w:rPr>
              <w:t>美國市場邊</w:t>
            </w:r>
            <w:r>
              <w:rPr>
                <w:spacing w:val="-10"/>
                <w:position w:val="1"/>
              </w:rPr>
              <w:t>界</w:t>
            </w:r>
            <w:r>
              <w:rPr>
                <w:rFonts w:ascii="Times New Roman" w:eastAsia="Times New Roman"/>
                <w:position w:val="1"/>
              </w:rPr>
              <w:tab/>
            </w:r>
            <w:r>
              <w:rPr>
                <w:rFonts w:ascii="Times New Roman" w:eastAsia="Times New Roman"/>
                <w:spacing w:val="-5"/>
                <w:position w:val="1"/>
              </w:rPr>
              <w:t>83</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7942" cy="11201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9" cstate="print"/>
                        <a:stretch>
                          <a:fillRect/>
                        </a:stretch>
                      </pic:blipFill>
                      <pic:spPr>
                        <a:xfrm>
                          <a:off x="0" y="0"/>
                          <a:ext cx="297942" cy="112013"/>
                        </a:xfrm>
                        <a:prstGeom prst="rect">
                          <a:avLst/>
                        </a:prstGeom>
                      </pic:spPr>
                    </pic:pic>
                  </a:graphicData>
                </a:graphic>
              </wp:inline>
            </w:drawing>
          </w:r>
          <w:r>
            <w:rPr/>
          </w:r>
          <w:r>
            <w:rPr>
              <w:rFonts w:ascii="Times New Roman" w:eastAsia="Times New Roman"/>
              <w:position w:val="1"/>
              <w:sz w:val="20"/>
            </w:rPr>
            <w:tab/>
          </w:r>
          <w:hyperlink w:history="true" w:anchor="_bookmark85">
            <w:r>
              <w:rPr>
                <w:position w:val="1"/>
              </w:rPr>
              <w:t>美國知識邊</w:t>
            </w:r>
            <w:r>
              <w:rPr>
                <w:spacing w:val="-10"/>
                <w:position w:val="1"/>
              </w:rPr>
              <w:t>界</w:t>
            </w:r>
            <w:r>
              <w:rPr>
                <w:rFonts w:ascii="Times New Roman" w:eastAsia="Times New Roman"/>
                <w:position w:val="1"/>
              </w:rPr>
              <w:tab/>
            </w:r>
            <w:r>
              <w:rPr>
                <w:rFonts w:ascii="Times New Roman" w:eastAsia="Times New Roman"/>
                <w:spacing w:val="-5"/>
                <w:position w:val="1"/>
              </w:rPr>
              <w:t>86</w:t>
            </w:r>
          </w:hyperlink>
        </w:p>
        <w:p>
          <w:pPr>
            <w:pStyle w:val="TOC3"/>
            <w:tabs>
              <w:tab w:pos="2789" w:val="left" w:leader="none"/>
              <w:tab w:pos="9064" w:val="right" w:leader="dot"/>
            </w:tabs>
            <w:spacing w:before="341"/>
            <w:rPr>
              <w:rFonts w:ascii="Times New Roman" w:eastAsia="Times New Roman"/>
              <w:position w:val="1"/>
            </w:rPr>
          </w:pPr>
          <w:r>
            <w:rPr/>
            <w:drawing>
              <wp:inline distT="0" distB="0" distL="0" distR="0">
                <wp:extent cx="296418" cy="112013"/>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0" cstate="print"/>
                        <a:stretch>
                          <a:fillRect/>
                        </a:stretch>
                      </pic:blipFill>
                      <pic:spPr>
                        <a:xfrm>
                          <a:off x="0" y="0"/>
                          <a:ext cx="296418" cy="112013"/>
                        </a:xfrm>
                        <a:prstGeom prst="rect">
                          <a:avLst/>
                        </a:prstGeom>
                      </pic:spPr>
                    </pic:pic>
                  </a:graphicData>
                </a:graphic>
              </wp:inline>
            </w:drawing>
          </w:r>
          <w:r>
            <w:rPr/>
          </w:r>
          <w:r>
            <w:rPr>
              <w:rFonts w:ascii="Times New Roman" w:eastAsia="Times New Roman"/>
              <w:position w:val="1"/>
              <w:sz w:val="20"/>
            </w:rPr>
            <w:tab/>
          </w:r>
          <w:hyperlink w:history="true" w:anchor="_bookmark86">
            <w:r>
              <w:rPr>
                <w:position w:val="1"/>
              </w:rPr>
              <w:t>美國技術邊</w:t>
            </w:r>
            <w:r>
              <w:rPr>
                <w:spacing w:val="-10"/>
                <w:position w:val="1"/>
              </w:rPr>
              <w:t>界</w:t>
            </w:r>
            <w:r>
              <w:rPr>
                <w:rFonts w:ascii="Times New Roman" w:eastAsia="Times New Roman"/>
                <w:position w:val="1"/>
              </w:rPr>
              <w:tab/>
            </w:r>
            <w:r>
              <w:rPr>
                <w:rFonts w:ascii="Times New Roman" w:eastAsia="Times New Roman"/>
                <w:spacing w:val="-5"/>
                <w:position w:val="1"/>
              </w:rPr>
              <w:t>89</w:t>
            </w:r>
          </w:hyperlink>
        </w:p>
        <w:p>
          <w:pPr>
            <w:pStyle w:val="TOC3"/>
            <w:tabs>
              <w:tab w:pos="2789" w:val="left" w:leader="none"/>
              <w:tab w:pos="9064" w:val="right" w:leader="dot"/>
            </w:tabs>
            <w:rPr>
              <w:rFonts w:ascii="Times New Roman" w:eastAsia="Times New Roman"/>
              <w:position w:val="1"/>
            </w:rPr>
          </w:pPr>
          <w:r>
            <w:rPr/>
            <w:drawing>
              <wp:inline distT="0" distB="0" distL="0" distR="0">
                <wp:extent cx="297942" cy="112012"/>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51" cstate="print"/>
                        <a:stretch>
                          <a:fillRect/>
                        </a:stretch>
                      </pic:blipFill>
                      <pic:spPr>
                        <a:xfrm>
                          <a:off x="0" y="0"/>
                          <a:ext cx="297942" cy="112012"/>
                        </a:xfrm>
                        <a:prstGeom prst="rect">
                          <a:avLst/>
                        </a:prstGeom>
                      </pic:spPr>
                    </pic:pic>
                  </a:graphicData>
                </a:graphic>
              </wp:inline>
            </w:drawing>
          </w:r>
          <w:r>
            <w:rPr/>
          </w:r>
          <w:r>
            <w:rPr>
              <w:rFonts w:ascii="Times New Roman" w:eastAsia="Times New Roman"/>
              <w:position w:val="1"/>
              <w:sz w:val="20"/>
            </w:rPr>
            <w:tab/>
          </w:r>
          <w:hyperlink w:history="true" w:anchor="_bookmark87">
            <w:r>
              <w:rPr>
                <w:position w:val="1"/>
              </w:rPr>
              <w:t>數位服務的拓</w:t>
            </w:r>
            <w:r>
              <w:rPr>
                <w:spacing w:val="-10"/>
                <w:position w:val="1"/>
              </w:rPr>
              <w:t>展</w:t>
            </w:r>
            <w:r>
              <w:rPr>
                <w:rFonts w:ascii="Times New Roman" w:eastAsia="Times New Roman"/>
                <w:position w:val="1"/>
              </w:rPr>
              <w:tab/>
            </w:r>
            <w:r>
              <w:rPr>
                <w:rFonts w:ascii="Times New Roman" w:eastAsia="Times New Roman"/>
                <w:spacing w:val="-5"/>
                <w:position w:val="1"/>
              </w:rPr>
              <w:t>91</w:t>
            </w:r>
          </w:hyperlink>
        </w:p>
        <w:p>
          <w:pPr>
            <w:pStyle w:val="TOC3"/>
            <w:tabs>
              <w:tab w:pos="2909" w:val="left" w:leader="none"/>
              <w:tab w:pos="9064" w:val="right" w:leader="dot"/>
            </w:tabs>
            <w:spacing w:before="341"/>
            <w:rPr>
              <w:rFonts w:ascii="Times New Roman" w:eastAsia="Times New Roman"/>
              <w:position w:val="1"/>
            </w:rPr>
          </w:pPr>
          <w:r>
            <w:rPr/>
            <w:drawing>
              <wp:inline distT="0" distB="0" distL="0" distR="0">
                <wp:extent cx="375665" cy="11201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52" cstate="print"/>
                        <a:stretch>
                          <a:fillRect/>
                        </a:stretch>
                      </pic:blipFill>
                      <pic:spPr>
                        <a:xfrm>
                          <a:off x="0" y="0"/>
                          <a:ext cx="375665" cy="112012"/>
                        </a:xfrm>
                        <a:prstGeom prst="rect">
                          <a:avLst/>
                        </a:prstGeom>
                      </pic:spPr>
                    </pic:pic>
                  </a:graphicData>
                </a:graphic>
              </wp:inline>
            </w:drawing>
          </w:r>
          <w:r>
            <w:rPr/>
          </w:r>
          <w:r>
            <w:rPr>
              <w:rFonts w:ascii="Times New Roman" w:eastAsia="Times New Roman"/>
              <w:position w:val="1"/>
              <w:sz w:val="20"/>
            </w:rPr>
            <w:tab/>
          </w:r>
          <w:hyperlink w:history="true" w:anchor="_bookmark88">
            <w:r>
              <w:rPr>
                <w:position w:val="1"/>
              </w:rPr>
              <w:t>第三階段小</w:t>
            </w:r>
            <w:r>
              <w:rPr>
                <w:spacing w:val="-10"/>
                <w:position w:val="1"/>
              </w:rPr>
              <w:t>結</w:t>
            </w:r>
            <w:r>
              <w:rPr>
                <w:rFonts w:ascii="Times New Roman" w:eastAsia="Times New Roman"/>
                <w:position w:val="1"/>
              </w:rPr>
              <w:tab/>
            </w:r>
            <w:r>
              <w:rPr>
                <w:rFonts w:ascii="Times New Roman" w:eastAsia="Times New Roman"/>
                <w:spacing w:val="-5"/>
                <w:position w:val="1"/>
              </w:rPr>
              <w:t>92</w:t>
            </w:r>
          </w:hyperlink>
        </w:p>
        <w:p>
          <w:pPr>
            <w:pStyle w:val="TOC2"/>
            <w:numPr>
              <w:ilvl w:val="1"/>
              <w:numId w:val="5"/>
            </w:numPr>
            <w:tabs>
              <w:tab w:pos="2248" w:val="left" w:leader="none"/>
              <w:tab w:pos="9064" w:val="right" w:leader="dot"/>
            </w:tabs>
            <w:spacing w:line="240" w:lineRule="auto" w:before="343" w:after="0"/>
            <w:ind w:left="2248" w:right="0" w:hanging="720"/>
            <w:jc w:val="left"/>
            <w:rPr>
              <w:rFonts w:ascii="Times New Roman" w:eastAsia="Times New Roman"/>
            </w:rPr>
          </w:pPr>
          <w:hyperlink w:history="true" w:anchor="_bookmark90">
            <w:r>
              <w:rPr/>
              <w:t>跨階段分</w:t>
            </w:r>
            <w:r>
              <w:rPr>
                <w:spacing w:val="-10"/>
              </w:rPr>
              <w:t>析</w:t>
            </w:r>
            <w:r>
              <w:rPr>
                <w:rFonts w:ascii="Times New Roman" w:eastAsia="Times New Roman"/>
              </w:rPr>
              <w:tab/>
            </w:r>
            <w:r>
              <w:rPr>
                <w:rFonts w:ascii="Times New Roman" w:eastAsia="Times New Roman"/>
                <w:spacing w:val="-5"/>
              </w:rPr>
              <w:t>95</w:t>
            </w:r>
          </w:hyperlink>
        </w:p>
        <w:p>
          <w:pPr>
            <w:pStyle w:val="TOC1"/>
            <w:tabs>
              <w:tab w:pos="8867" w:val="right" w:leader="dot"/>
            </w:tabs>
            <w:spacing w:before="413"/>
            <w:rPr>
              <w:rFonts w:ascii="Times New Roman" w:eastAsia="Times New Roman"/>
            </w:rPr>
          </w:pPr>
          <w:hyperlink w:history="true" w:anchor="_bookmark92">
            <w:r>
              <w:rPr/>
              <w:t>第六章、研究結論與建</w:t>
            </w:r>
            <w:r>
              <w:rPr>
                <w:spacing w:val="-10"/>
              </w:rPr>
              <w:t>議</w:t>
            </w:r>
            <w:r>
              <w:rPr>
                <w:rFonts w:ascii="Times New Roman" w:eastAsia="Times New Roman"/>
              </w:rPr>
              <w:tab/>
            </w:r>
            <w:r>
              <w:rPr>
                <w:rFonts w:ascii="Times New Roman" w:eastAsia="Times New Roman"/>
                <w:spacing w:val="-5"/>
              </w:rPr>
              <w:t>100</w:t>
            </w:r>
          </w:hyperlink>
        </w:p>
        <w:p>
          <w:pPr>
            <w:pStyle w:val="TOC2"/>
            <w:numPr>
              <w:ilvl w:val="1"/>
              <w:numId w:val="6"/>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93">
            <w:r>
              <w:rPr/>
              <w:t>研究結論與研究貢</w:t>
            </w:r>
            <w:r>
              <w:rPr>
                <w:spacing w:val="-10"/>
              </w:rPr>
              <w:t>獻</w:t>
            </w:r>
            <w:r>
              <w:rPr>
                <w:rFonts w:ascii="Times New Roman" w:eastAsia="Times New Roman"/>
              </w:rPr>
              <w:tab/>
            </w:r>
            <w:r>
              <w:rPr>
                <w:rFonts w:ascii="Times New Roman" w:eastAsia="Times New Roman"/>
                <w:spacing w:val="-5"/>
              </w:rPr>
              <w:t>100</w:t>
            </w:r>
          </w:hyperlink>
        </w:p>
        <w:p>
          <w:pPr>
            <w:pStyle w:val="TOC2"/>
            <w:numPr>
              <w:ilvl w:val="1"/>
              <w:numId w:val="6"/>
            </w:numPr>
            <w:tabs>
              <w:tab w:pos="2248" w:val="left" w:leader="none"/>
              <w:tab w:pos="9064" w:val="right" w:leader="dot"/>
            </w:tabs>
            <w:spacing w:line="240" w:lineRule="auto" w:before="340" w:after="0"/>
            <w:ind w:left="2248" w:right="0" w:hanging="720"/>
            <w:jc w:val="left"/>
            <w:rPr>
              <w:rFonts w:ascii="Times New Roman" w:eastAsia="Times New Roman"/>
            </w:rPr>
          </w:pPr>
          <w:hyperlink w:history="true" w:anchor="_bookmark97">
            <w:r>
              <w:rPr/>
              <w:t>研究限</w:t>
            </w:r>
            <w:r>
              <w:rPr>
                <w:spacing w:val="-10"/>
              </w:rPr>
              <w:t>制</w:t>
            </w:r>
            <w:r>
              <w:rPr>
                <w:rFonts w:ascii="Times New Roman" w:eastAsia="Times New Roman"/>
              </w:rPr>
              <w:tab/>
            </w:r>
            <w:r>
              <w:rPr>
                <w:rFonts w:ascii="Times New Roman" w:eastAsia="Times New Roman"/>
                <w:spacing w:val="-5"/>
              </w:rPr>
              <w:t>104</w:t>
            </w:r>
          </w:hyperlink>
        </w:p>
        <w:p>
          <w:pPr>
            <w:pStyle w:val="TOC2"/>
            <w:numPr>
              <w:ilvl w:val="1"/>
              <w:numId w:val="6"/>
            </w:numPr>
            <w:tabs>
              <w:tab w:pos="2248" w:val="left" w:leader="none"/>
              <w:tab w:pos="9064" w:val="right" w:leader="dot"/>
            </w:tabs>
            <w:spacing w:line="240" w:lineRule="auto" w:before="341" w:after="0"/>
            <w:ind w:left="2248" w:right="0" w:hanging="720"/>
            <w:jc w:val="left"/>
            <w:rPr>
              <w:rFonts w:ascii="Times New Roman" w:eastAsia="Times New Roman"/>
            </w:rPr>
          </w:pPr>
          <w:hyperlink w:history="true" w:anchor="_bookmark98">
            <w:r>
              <w:rPr/>
              <w:t>未來研究方</w:t>
            </w:r>
            <w:r>
              <w:rPr>
                <w:spacing w:val="-10"/>
              </w:rPr>
              <w:t>向</w:t>
            </w:r>
            <w:r>
              <w:rPr>
                <w:rFonts w:ascii="Times New Roman" w:eastAsia="Times New Roman"/>
              </w:rPr>
              <w:tab/>
            </w:r>
            <w:r>
              <w:rPr>
                <w:rFonts w:ascii="Times New Roman" w:eastAsia="Times New Roman"/>
                <w:spacing w:val="-5"/>
              </w:rPr>
              <w:t>105</w:t>
            </w:r>
          </w:hyperlink>
        </w:p>
        <w:p>
          <w:pPr>
            <w:pStyle w:val="TOC1"/>
            <w:tabs>
              <w:tab w:pos="8867" w:val="right" w:leader="dot"/>
            </w:tabs>
            <w:rPr>
              <w:rFonts w:ascii="Times New Roman" w:eastAsia="Times New Roman"/>
            </w:rPr>
          </w:pPr>
          <w:hyperlink w:history="true" w:anchor="_bookmark99">
            <w:r>
              <w:rPr/>
              <w:t>第七章、參考文</w:t>
            </w:r>
            <w:r>
              <w:rPr>
                <w:spacing w:val="-10"/>
              </w:rPr>
              <w:t>獻</w:t>
            </w:r>
            <w:r>
              <w:rPr>
                <w:rFonts w:ascii="Times New Roman" w:eastAsia="Times New Roman"/>
              </w:rPr>
              <w:tab/>
            </w:r>
            <w:r>
              <w:rPr>
                <w:rFonts w:ascii="Times New Roman" w:eastAsia="Times New Roman"/>
                <w:spacing w:val="-5"/>
              </w:rPr>
              <w:t>106</w:t>
            </w:r>
          </w:hyperlink>
        </w:p>
      </w:sdtContent>
    </w:sdt>
    <w:p>
      <w:pPr>
        <w:pStyle w:val="TOC1"/>
        <w:spacing w:after="0"/>
        <w:rPr>
          <w:rFonts w:ascii="Times New Roman" w:eastAsia="Times New Roman"/>
        </w:rPr>
        <w:sectPr>
          <w:type w:val="continuous"/>
          <w:pgSz w:w="11910" w:h="16840"/>
          <w:pgMar w:header="0" w:footer="1197" w:top="1758" w:bottom="1600" w:left="1133" w:right="1133"/>
        </w:sectPr>
      </w:pPr>
    </w:p>
    <w:p>
      <w:pPr>
        <w:pStyle w:val="Heading1"/>
      </w:pPr>
      <w:r>
        <w:rPr/>
        <w:drawing>
          <wp:anchor distT="0" distB="0" distL="0" distR="0" allowOverlap="1" layoutInCell="1" locked="0" behindDoc="1" simplePos="0" relativeHeight="485777920">
            <wp:simplePos x="0" y="0"/>
            <wp:positionH relativeFrom="page">
              <wp:posOffset>3312414</wp:posOffset>
            </wp:positionH>
            <wp:positionV relativeFrom="page">
              <wp:posOffset>4828031</wp:posOffset>
            </wp:positionV>
            <wp:extent cx="929640" cy="978408"/>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6" cstate="print"/>
                    <a:stretch>
                      <a:fillRect/>
                    </a:stretch>
                  </pic:blipFill>
                  <pic:spPr>
                    <a:xfrm>
                      <a:off x="0" y="0"/>
                      <a:ext cx="929640" cy="978408"/>
                    </a:xfrm>
                    <a:prstGeom prst="rect">
                      <a:avLst/>
                    </a:prstGeom>
                  </pic:spPr>
                </pic:pic>
              </a:graphicData>
            </a:graphic>
          </wp:anchor>
        </w:drawing>
      </w:r>
      <w:bookmarkStart w:name="_bookmark3" w:id="4"/>
      <w:bookmarkEnd w:id="4"/>
      <w:r>
        <w:rPr>
          <w:b w:val="0"/>
        </w:rPr>
      </w:r>
      <w:r>
        <w:rPr>
          <w:spacing w:val="-4"/>
        </w:rPr>
        <w:t>圖目錄</w:t>
      </w:r>
    </w:p>
    <w:p>
      <w:pPr>
        <w:pStyle w:val="BodyText"/>
        <w:tabs>
          <w:tab w:pos="8944" w:val="left" w:leader="dot"/>
        </w:tabs>
        <w:spacing w:before="277"/>
        <w:ind w:left="569"/>
        <w:jc w:val="left"/>
        <w:rPr>
          <w:rFonts w:ascii="Times New Roman" w:eastAsia="Times New Roman"/>
        </w:rPr>
      </w:pPr>
      <w:hyperlink w:history="true" w:anchor="_bookmark9">
        <w:r>
          <w:rPr/>
          <w:t>圖</w:t>
        </w:r>
        <w:r>
          <w:rPr>
            <w:spacing w:val="-2"/>
          </w:rPr>
          <w:t> </w:t>
        </w:r>
        <w:r>
          <w:rPr>
            <w:rFonts w:ascii="Times New Roman" w:eastAsia="Times New Roman"/>
          </w:rPr>
          <w:t>1.3-1</w:t>
        </w:r>
        <w:r>
          <w:rPr>
            <w:rFonts w:ascii="Times New Roman" w:eastAsia="Times New Roman"/>
            <w:spacing w:val="60"/>
          </w:rPr>
          <w:t> </w:t>
        </w:r>
        <w:r>
          <w:rPr/>
          <w:t>研究流程</w:t>
        </w:r>
        <w:r>
          <w:rPr>
            <w:spacing w:val="-10"/>
          </w:rPr>
          <w:t>圖</w:t>
        </w:r>
        <w:r>
          <w:rPr>
            <w:rFonts w:ascii="Times New Roman" w:eastAsia="Times New Roman"/>
          </w:rPr>
          <w:tab/>
        </w:r>
        <w:r>
          <w:rPr>
            <w:rFonts w:ascii="Times New Roman" w:eastAsia="Times New Roman"/>
            <w:spacing w:val="-10"/>
          </w:rPr>
          <w:t>6</w:t>
        </w:r>
      </w:hyperlink>
    </w:p>
    <w:p>
      <w:pPr>
        <w:pStyle w:val="BodyText"/>
        <w:tabs>
          <w:tab w:pos="8824" w:val="left" w:leader="dot"/>
        </w:tabs>
        <w:spacing w:before="341"/>
        <w:ind w:left="569"/>
        <w:jc w:val="left"/>
        <w:rPr>
          <w:rFonts w:ascii="Times New Roman" w:eastAsia="Times New Roman"/>
        </w:rPr>
      </w:pPr>
      <w:hyperlink w:history="true" w:anchor="_bookmark39">
        <w:r>
          <w:rPr/>
          <w:t>圖</w:t>
        </w:r>
        <w:r>
          <w:rPr>
            <w:spacing w:val="-2"/>
          </w:rPr>
          <w:t> </w:t>
        </w:r>
        <w:r>
          <w:rPr>
            <w:rFonts w:ascii="Times New Roman" w:eastAsia="Times New Roman"/>
          </w:rPr>
          <w:t>3.4-1</w:t>
        </w:r>
        <w:r>
          <w:rPr>
            <w:rFonts w:ascii="Times New Roman" w:eastAsia="Times New Roman"/>
            <w:spacing w:val="60"/>
          </w:rPr>
          <w:t> </w:t>
        </w:r>
        <w:r>
          <w:rPr/>
          <w:t>研究架構</w:t>
        </w:r>
        <w:r>
          <w:rPr>
            <w:spacing w:val="-10"/>
          </w:rPr>
          <w:t>圖</w:t>
        </w:r>
        <w:r>
          <w:rPr>
            <w:rFonts w:ascii="Times New Roman" w:eastAsia="Times New Roman"/>
          </w:rPr>
          <w:tab/>
        </w:r>
        <w:r>
          <w:rPr>
            <w:rFonts w:ascii="Times New Roman" w:eastAsia="Times New Roman"/>
            <w:spacing w:val="-5"/>
          </w:rPr>
          <w:t>31</w:t>
        </w:r>
      </w:hyperlink>
    </w:p>
    <w:p>
      <w:pPr>
        <w:pStyle w:val="BodyText"/>
        <w:tabs>
          <w:tab w:pos="8704" w:val="left" w:leader="dot"/>
        </w:tabs>
        <w:spacing w:before="340"/>
        <w:ind w:left="569"/>
        <w:jc w:val="left"/>
        <w:rPr>
          <w:rFonts w:ascii="Times New Roman" w:eastAsia="Times New Roman"/>
        </w:rPr>
      </w:pPr>
      <w:hyperlink w:history="true" w:anchor="_bookmark96">
        <w:r>
          <w:rPr/>
          <w:t>圖</w:t>
        </w:r>
        <w:r>
          <w:rPr>
            <w:spacing w:val="-2"/>
          </w:rPr>
          <w:t> </w:t>
        </w:r>
        <w:r>
          <w:rPr>
            <w:rFonts w:ascii="Times New Roman" w:eastAsia="Times New Roman"/>
          </w:rPr>
          <w:t>6.1-1</w:t>
        </w:r>
        <w:r>
          <w:rPr>
            <w:rFonts w:ascii="Times New Roman" w:eastAsia="Times New Roman"/>
            <w:spacing w:val="60"/>
          </w:rPr>
          <w:t> </w:t>
        </w:r>
        <w:r>
          <w:rPr/>
          <w:t>照護科技公司跨界拓展服務生態系之架構</w:t>
        </w:r>
        <w:r>
          <w:rPr>
            <w:spacing w:val="-10"/>
          </w:rPr>
          <w:t>圖</w:t>
        </w:r>
        <w:r>
          <w:rPr>
            <w:rFonts w:ascii="Times New Roman" w:eastAsia="Times New Roman"/>
          </w:rPr>
          <w:tab/>
        </w:r>
        <w:r>
          <w:rPr>
            <w:rFonts w:ascii="Times New Roman" w:eastAsia="Times New Roman"/>
            <w:spacing w:val="-5"/>
          </w:rPr>
          <w:t>103</w:t>
        </w:r>
      </w:hyperlink>
    </w:p>
    <w:p>
      <w:pPr>
        <w:pStyle w:val="BodyText"/>
        <w:spacing w:after="0"/>
        <w:jc w:val="left"/>
        <w:rPr>
          <w:rFonts w:ascii="Times New Roman" w:eastAsia="Times New Roman"/>
        </w:rPr>
        <w:sectPr>
          <w:pgSz w:w="11910" w:h="16840"/>
          <w:pgMar w:header="0" w:footer="1197" w:top="1780" w:bottom="1380" w:left="1133" w:right="1133"/>
        </w:sectPr>
      </w:pPr>
    </w:p>
    <w:p>
      <w:pPr>
        <w:pStyle w:val="Heading1"/>
      </w:pPr>
      <w:bookmarkStart w:name="_bookmark4" w:id="5"/>
      <w:bookmarkEnd w:id="5"/>
      <w:r>
        <w:rPr>
          <w:b w:val="0"/>
        </w:rPr>
      </w:r>
      <w:r>
        <w:rPr>
          <w:spacing w:val="-4"/>
        </w:rPr>
        <w:t>表目錄</w:t>
      </w:r>
    </w:p>
    <w:p>
      <w:pPr>
        <w:pStyle w:val="BodyText"/>
        <w:tabs>
          <w:tab w:pos="8944" w:val="left" w:leader="dot"/>
        </w:tabs>
        <w:spacing w:before="277"/>
        <w:ind w:left="569"/>
        <w:jc w:val="left"/>
        <w:rPr>
          <w:rFonts w:ascii="Times New Roman" w:eastAsia="Times New Roman"/>
        </w:rPr>
      </w:pPr>
      <w:hyperlink w:history="true" w:anchor="_bookmark13">
        <w:r>
          <w:rPr/>
          <w:t>表</w:t>
        </w:r>
        <w:r>
          <w:rPr>
            <w:spacing w:val="-2"/>
          </w:rPr>
          <w:t> </w:t>
        </w:r>
        <w:r>
          <w:rPr>
            <w:rFonts w:ascii="Times New Roman" w:eastAsia="Times New Roman"/>
          </w:rPr>
          <w:t>2.1-1</w:t>
        </w:r>
        <w:r>
          <w:rPr>
            <w:rFonts w:ascii="Times New Roman" w:eastAsia="Times New Roman"/>
            <w:spacing w:val="60"/>
          </w:rPr>
          <w:t> </w:t>
        </w:r>
        <w:r>
          <w:rPr/>
          <w:t>智慧照護科技應用場</w:t>
        </w:r>
        <w:r>
          <w:rPr>
            <w:spacing w:val="-10"/>
          </w:rPr>
          <w:t>景</w:t>
        </w:r>
        <w:r>
          <w:rPr>
            <w:rFonts w:ascii="Times New Roman" w:eastAsia="Times New Roman"/>
          </w:rPr>
          <w:tab/>
        </w:r>
        <w:r>
          <w:rPr>
            <w:rFonts w:ascii="Times New Roman" w:eastAsia="Times New Roman"/>
            <w:spacing w:val="-10"/>
          </w:rPr>
          <w:t>8</w:t>
        </w:r>
      </w:hyperlink>
    </w:p>
    <w:p>
      <w:pPr>
        <w:pStyle w:val="BodyText"/>
        <w:spacing w:before="65"/>
        <w:ind w:left="0"/>
        <w:jc w:val="left"/>
        <w:rPr>
          <w:rFonts w:ascii="Times New Roman"/>
        </w:rPr>
      </w:pPr>
    </w:p>
    <w:p>
      <w:pPr>
        <w:pStyle w:val="BodyText"/>
        <w:tabs>
          <w:tab w:pos="1668" w:val="left" w:leader="none"/>
          <w:tab w:pos="8824" w:val="left" w:leader="dot"/>
        </w:tabs>
        <w:ind w:left="569"/>
        <w:jc w:val="left"/>
        <w:rPr>
          <w:rFonts w:ascii="Times New Roman" w:eastAsia="Times New Roman"/>
        </w:rPr>
      </w:pPr>
      <w:hyperlink w:history="true" w:anchor="_bookmark19">
        <w:r>
          <w:rPr/>
          <w:t>表</w:t>
        </w:r>
        <w:r>
          <w:rPr>
            <w:spacing w:val="-2"/>
          </w:rPr>
          <w:t> </w:t>
        </w:r>
        <w:r>
          <w:rPr>
            <w:rFonts w:ascii="Times New Roman" w:eastAsia="Times New Roman"/>
          </w:rPr>
          <w:t>2.3-</w:t>
        </w:r>
        <w:r>
          <w:rPr>
            <w:rFonts w:ascii="Times New Roman" w:eastAsia="Times New Roman"/>
            <w:spacing w:val="-10"/>
          </w:rPr>
          <w:t>1</w:t>
        </w:r>
        <w:r>
          <w:rPr>
            <w:rFonts w:ascii="Times New Roman" w:eastAsia="Times New Roman"/>
          </w:rPr>
          <w:tab/>
          <w:t>SaaS</w:t>
        </w:r>
        <w:r>
          <w:rPr>
            <w:rFonts w:ascii="Times New Roman" w:eastAsia="Times New Roman"/>
            <w:spacing w:val="-1"/>
          </w:rPr>
          <w:t> </w:t>
        </w:r>
        <w:r>
          <w:rPr/>
          <w:t>公司組織拓展策略之構</w:t>
        </w:r>
        <w:r>
          <w:rPr>
            <w:spacing w:val="-10"/>
          </w:rPr>
          <w:t>面</w:t>
        </w:r>
        <w:r>
          <w:rPr>
            <w:rFonts w:ascii="Times New Roman" w:eastAsia="Times New Roman"/>
          </w:rPr>
          <w:tab/>
        </w:r>
        <w:r>
          <w:rPr>
            <w:rFonts w:ascii="Times New Roman" w:eastAsia="Times New Roman"/>
            <w:spacing w:val="-5"/>
          </w:rPr>
          <w:t>14</w:t>
        </w:r>
      </w:hyperlink>
    </w:p>
    <w:p>
      <w:pPr>
        <w:pStyle w:val="BodyText"/>
        <w:spacing w:before="64"/>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25">
        <w:r>
          <w:rPr/>
          <w:t>表</w:t>
        </w:r>
        <w:r>
          <w:rPr>
            <w:spacing w:val="-2"/>
          </w:rPr>
          <w:t> </w:t>
        </w:r>
        <w:r>
          <w:rPr>
            <w:rFonts w:ascii="Times New Roman" w:eastAsia="Times New Roman"/>
          </w:rPr>
          <w:t>2.4-1</w:t>
        </w:r>
        <w:r>
          <w:rPr>
            <w:rFonts w:ascii="Times New Roman" w:eastAsia="Times New Roman"/>
            <w:spacing w:val="60"/>
          </w:rPr>
          <w:t> </w:t>
        </w:r>
        <w:r>
          <w:rPr/>
          <w:t>邊界之定</w:t>
        </w:r>
        <w:r>
          <w:rPr>
            <w:spacing w:val="-10"/>
          </w:rPr>
          <w:t>義</w:t>
        </w:r>
        <w:r>
          <w:rPr>
            <w:rFonts w:ascii="Times New Roman" w:eastAsia="Times New Roman"/>
          </w:rPr>
          <w:tab/>
        </w:r>
        <w:r>
          <w:rPr>
            <w:rFonts w:ascii="Times New Roman" w:eastAsia="Times New Roman"/>
            <w:spacing w:val="-5"/>
          </w:rPr>
          <w:t>21</w:t>
        </w:r>
      </w:hyperlink>
    </w:p>
    <w:p>
      <w:pPr>
        <w:pStyle w:val="BodyText"/>
        <w:spacing w:before="65"/>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29">
        <w:r>
          <w:rPr/>
          <w:t>表</w:t>
        </w:r>
        <w:r>
          <w:rPr>
            <w:spacing w:val="-2"/>
          </w:rPr>
          <w:t> </w:t>
        </w:r>
        <w:r>
          <w:rPr>
            <w:rFonts w:ascii="Times New Roman" w:eastAsia="Times New Roman"/>
          </w:rPr>
          <w:t>2.5-1</w:t>
        </w:r>
        <w:r>
          <w:rPr>
            <w:rFonts w:ascii="Times New Roman" w:eastAsia="Times New Roman"/>
            <w:spacing w:val="60"/>
          </w:rPr>
          <w:t> </w:t>
        </w:r>
        <w:r>
          <w:rPr/>
          <w:t>資源和諧之構</w:t>
        </w:r>
        <w:r>
          <w:rPr>
            <w:spacing w:val="-10"/>
          </w:rPr>
          <w:t>面</w:t>
        </w:r>
        <w:r>
          <w:rPr>
            <w:rFonts w:ascii="Times New Roman" w:eastAsia="Times New Roman"/>
          </w:rPr>
          <w:tab/>
        </w:r>
        <w:r>
          <w:rPr>
            <w:rFonts w:ascii="Times New Roman" w:eastAsia="Times New Roman"/>
            <w:spacing w:val="-5"/>
          </w:rPr>
          <w:t>24</w:t>
        </w:r>
      </w:hyperlink>
    </w:p>
    <w:p>
      <w:pPr>
        <w:pStyle w:val="BodyText"/>
        <w:spacing w:before="65"/>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34">
        <w:r>
          <w:rPr/>
          <w:t>表</w:t>
        </w:r>
        <w:r>
          <w:rPr>
            <w:spacing w:val="-2"/>
          </w:rPr>
          <w:t> </w:t>
        </w:r>
        <w:r>
          <w:rPr>
            <w:rFonts w:ascii="Times New Roman" w:eastAsia="Times New Roman"/>
          </w:rPr>
          <w:t>3.1-1</w:t>
        </w:r>
        <w:r>
          <w:rPr>
            <w:rFonts w:ascii="Times New Roman" w:eastAsia="Times New Roman"/>
            <w:spacing w:val="60"/>
          </w:rPr>
          <w:t> </w:t>
        </w:r>
        <w:r>
          <w:rPr/>
          <w:t>量化研究法與質化研究法之差異比</w:t>
        </w:r>
        <w:r>
          <w:rPr>
            <w:spacing w:val="-10"/>
          </w:rPr>
          <w:t>較</w:t>
        </w:r>
        <w:r>
          <w:rPr>
            <w:rFonts w:ascii="Times New Roman" w:eastAsia="Times New Roman"/>
          </w:rPr>
          <w:tab/>
        </w:r>
        <w:r>
          <w:rPr>
            <w:rFonts w:ascii="Times New Roman" w:eastAsia="Times New Roman"/>
            <w:spacing w:val="-5"/>
          </w:rPr>
          <w:t>27</w:t>
        </w:r>
      </w:hyperlink>
    </w:p>
    <w:p>
      <w:pPr>
        <w:pStyle w:val="BodyText"/>
        <w:spacing w:before="64"/>
        <w:ind w:left="0"/>
        <w:jc w:val="left"/>
        <w:rPr>
          <w:rFonts w:ascii="Times New Roman"/>
        </w:rPr>
      </w:pPr>
    </w:p>
    <w:p>
      <w:pPr>
        <w:pStyle w:val="BodyText"/>
        <w:tabs>
          <w:tab w:pos="8824" w:val="left" w:leader="dot"/>
        </w:tabs>
        <w:spacing w:before="1"/>
        <w:ind w:left="569"/>
        <w:jc w:val="left"/>
        <w:rPr>
          <w:rFonts w:ascii="Times New Roman" w:eastAsia="Times New Roman"/>
        </w:rPr>
      </w:pPr>
      <w:hyperlink w:history="true" w:anchor="_bookmark41">
        <w:r>
          <w:rPr/>
          <w:t>表</w:t>
        </w:r>
        <w:r>
          <w:rPr>
            <w:spacing w:val="-2"/>
          </w:rPr>
          <w:t> </w:t>
        </w:r>
        <w:r>
          <w:rPr>
            <w:rFonts w:ascii="Times New Roman" w:eastAsia="Times New Roman"/>
          </w:rPr>
          <w:t>3.5-1</w:t>
        </w:r>
        <w:r>
          <w:rPr>
            <w:rFonts w:ascii="Times New Roman" w:eastAsia="Times New Roman"/>
            <w:spacing w:val="60"/>
          </w:rPr>
          <w:t> </w:t>
        </w:r>
        <w:r>
          <w:rPr/>
          <w:t>理論模型與研究觀察重</w:t>
        </w:r>
        <w:r>
          <w:rPr>
            <w:spacing w:val="-10"/>
          </w:rPr>
          <w:t>點</w:t>
        </w:r>
        <w:r>
          <w:rPr>
            <w:rFonts w:ascii="Times New Roman" w:eastAsia="Times New Roman"/>
          </w:rPr>
          <w:tab/>
        </w:r>
        <w:r>
          <w:rPr>
            <w:rFonts w:ascii="Times New Roman" w:eastAsia="Times New Roman"/>
            <w:spacing w:val="-5"/>
          </w:rPr>
          <w:t>34</w:t>
        </w:r>
      </w:hyperlink>
    </w:p>
    <w:p>
      <w:pPr>
        <w:pStyle w:val="BodyText"/>
        <w:spacing w:before="64"/>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43">
        <w:r>
          <w:rPr/>
          <w:t>表</w:t>
        </w:r>
        <w:r>
          <w:rPr>
            <w:spacing w:val="-2"/>
          </w:rPr>
          <w:t> </w:t>
        </w:r>
        <w:r>
          <w:rPr>
            <w:rFonts w:ascii="Times New Roman" w:eastAsia="Times New Roman"/>
          </w:rPr>
          <w:t>3.6-1</w:t>
        </w:r>
        <w:r>
          <w:rPr>
            <w:rFonts w:ascii="Times New Roman" w:eastAsia="Times New Roman"/>
            <w:spacing w:val="60"/>
          </w:rPr>
          <w:t> </w:t>
        </w:r>
        <w:r>
          <w:rPr/>
          <w:t>受訪對象</w:t>
        </w:r>
        <w:r>
          <w:rPr>
            <w:spacing w:val="-10"/>
          </w:rPr>
          <w:t>表</w:t>
        </w:r>
        <w:r>
          <w:rPr>
            <w:rFonts w:ascii="Times New Roman" w:eastAsia="Times New Roman"/>
          </w:rPr>
          <w:tab/>
        </w:r>
        <w:r>
          <w:rPr>
            <w:rFonts w:ascii="Times New Roman" w:eastAsia="Times New Roman"/>
            <w:spacing w:val="-5"/>
          </w:rPr>
          <w:t>36</w:t>
        </w:r>
      </w:hyperlink>
    </w:p>
    <w:p>
      <w:pPr>
        <w:pStyle w:val="BodyText"/>
        <w:spacing w:before="64"/>
        <w:ind w:left="0"/>
        <w:jc w:val="left"/>
        <w:rPr>
          <w:rFonts w:ascii="Times New Roman"/>
        </w:rPr>
      </w:pPr>
    </w:p>
    <w:p>
      <w:pPr>
        <w:pStyle w:val="BodyText"/>
        <w:tabs>
          <w:tab w:pos="8824" w:val="left" w:leader="dot"/>
        </w:tabs>
        <w:spacing w:before="1"/>
        <w:ind w:left="569"/>
        <w:jc w:val="left"/>
        <w:rPr>
          <w:rFonts w:ascii="Times New Roman" w:eastAsia="Times New Roman"/>
        </w:rPr>
      </w:pPr>
      <w:r>
        <w:rPr>
          <w:rFonts w:ascii="Times New Roman" w:eastAsia="Times New Roman"/>
        </w:rPr>
        <w:drawing>
          <wp:anchor distT="0" distB="0" distL="0" distR="0" allowOverlap="1" layoutInCell="1" locked="0" behindDoc="1" simplePos="0" relativeHeight="485778432">
            <wp:simplePos x="0" y="0"/>
            <wp:positionH relativeFrom="page">
              <wp:posOffset>3312414</wp:posOffset>
            </wp:positionH>
            <wp:positionV relativeFrom="paragraph">
              <wp:posOffset>275780</wp:posOffset>
            </wp:positionV>
            <wp:extent cx="929640" cy="978408"/>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6" cstate="print"/>
                    <a:stretch>
                      <a:fillRect/>
                    </a:stretch>
                  </pic:blipFill>
                  <pic:spPr>
                    <a:xfrm>
                      <a:off x="0" y="0"/>
                      <a:ext cx="929640" cy="978408"/>
                    </a:xfrm>
                    <a:prstGeom prst="rect">
                      <a:avLst/>
                    </a:prstGeom>
                  </pic:spPr>
                </pic:pic>
              </a:graphicData>
            </a:graphic>
          </wp:anchor>
        </w:drawing>
      </w:r>
      <w:hyperlink w:history="true" w:anchor="_bookmark46">
        <w:r>
          <w:rPr/>
          <w:t>表</w:t>
        </w:r>
        <w:r>
          <w:rPr>
            <w:spacing w:val="-2"/>
          </w:rPr>
          <w:t> </w:t>
        </w:r>
        <w:r>
          <w:rPr>
            <w:rFonts w:ascii="Times New Roman" w:eastAsia="Times New Roman"/>
          </w:rPr>
          <w:t>3.7-1</w:t>
        </w:r>
        <w:r>
          <w:rPr>
            <w:rFonts w:ascii="Times New Roman" w:eastAsia="Times New Roman"/>
            <w:spacing w:val="60"/>
          </w:rPr>
          <w:t> </w:t>
        </w:r>
        <w:r>
          <w:rPr/>
          <w:t>資料蒐集架構</w:t>
        </w:r>
        <w:r>
          <w:rPr>
            <w:spacing w:val="-10"/>
          </w:rPr>
          <w:t>表</w:t>
        </w:r>
        <w:r>
          <w:rPr>
            <w:rFonts w:ascii="Times New Roman" w:eastAsia="Times New Roman"/>
          </w:rPr>
          <w:tab/>
        </w:r>
        <w:r>
          <w:rPr>
            <w:rFonts w:ascii="Times New Roman" w:eastAsia="Times New Roman"/>
            <w:spacing w:val="-5"/>
          </w:rPr>
          <w:t>39</w:t>
        </w:r>
      </w:hyperlink>
    </w:p>
    <w:p>
      <w:pPr>
        <w:pStyle w:val="BodyText"/>
        <w:spacing w:before="64"/>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58">
        <w:r>
          <w:rPr/>
          <w:t>表</w:t>
        </w:r>
        <w:r>
          <w:rPr>
            <w:spacing w:val="-2"/>
          </w:rPr>
          <w:t> </w:t>
        </w:r>
        <w:r>
          <w:rPr>
            <w:rFonts w:ascii="Times New Roman" w:eastAsia="Times New Roman"/>
          </w:rPr>
          <w:t>4.3-1</w:t>
        </w:r>
        <w:r>
          <w:rPr>
            <w:rFonts w:ascii="Times New Roman" w:eastAsia="Times New Roman"/>
            <w:spacing w:val="60"/>
          </w:rPr>
          <w:t> </w:t>
        </w:r>
        <w:r>
          <w:rPr/>
          <w:t>諾亞克歷史沿</w:t>
        </w:r>
        <w:r>
          <w:rPr>
            <w:spacing w:val="-10"/>
          </w:rPr>
          <w:t>革</w:t>
        </w:r>
        <w:r>
          <w:rPr>
            <w:rFonts w:ascii="Times New Roman" w:eastAsia="Times New Roman"/>
          </w:rPr>
          <w:tab/>
        </w:r>
        <w:r>
          <w:rPr>
            <w:rFonts w:ascii="Times New Roman" w:eastAsia="Times New Roman"/>
            <w:spacing w:val="-5"/>
          </w:rPr>
          <w:t>47</w:t>
        </w:r>
      </w:hyperlink>
    </w:p>
    <w:p>
      <w:pPr>
        <w:pStyle w:val="BodyText"/>
        <w:spacing w:before="64"/>
        <w:ind w:left="0"/>
        <w:jc w:val="left"/>
        <w:rPr>
          <w:rFonts w:ascii="Times New Roman"/>
        </w:rPr>
      </w:pPr>
    </w:p>
    <w:p>
      <w:pPr>
        <w:pStyle w:val="BodyText"/>
        <w:tabs>
          <w:tab w:pos="8824" w:val="left" w:leader="dot"/>
        </w:tabs>
        <w:spacing w:before="1"/>
        <w:ind w:left="569"/>
        <w:jc w:val="left"/>
        <w:rPr>
          <w:rFonts w:ascii="Times New Roman" w:eastAsia="Times New Roman"/>
        </w:rPr>
      </w:pPr>
      <w:hyperlink w:history="true" w:anchor="_bookmark68">
        <w:r>
          <w:rPr/>
          <w:t>表</w:t>
        </w:r>
        <w:r>
          <w:rPr>
            <w:spacing w:val="-2"/>
          </w:rPr>
          <w:t> </w:t>
        </w:r>
        <w:r>
          <w:rPr>
            <w:rFonts w:ascii="Times New Roman" w:eastAsia="Times New Roman"/>
          </w:rPr>
          <w:t>5.1.7-1</w:t>
        </w:r>
        <w:r>
          <w:rPr>
            <w:rFonts w:ascii="Times New Roman" w:eastAsia="Times New Roman"/>
            <w:spacing w:val="60"/>
          </w:rPr>
          <w:t> </w:t>
        </w:r>
        <w:r>
          <w:rPr/>
          <w:t>第一階段分析</w:t>
        </w:r>
        <w:r>
          <w:rPr>
            <w:spacing w:val="-10"/>
          </w:rPr>
          <w:t>表</w:t>
        </w:r>
        <w:r>
          <w:rPr>
            <w:rFonts w:ascii="Times New Roman" w:eastAsia="Times New Roman"/>
          </w:rPr>
          <w:tab/>
        </w:r>
        <w:r>
          <w:rPr>
            <w:rFonts w:ascii="Times New Roman" w:eastAsia="Times New Roman"/>
            <w:spacing w:val="-5"/>
          </w:rPr>
          <w:t>60</w:t>
        </w:r>
      </w:hyperlink>
    </w:p>
    <w:p>
      <w:pPr>
        <w:pStyle w:val="BodyText"/>
        <w:spacing w:before="64"/>
        <w:ind w:left="0"/>
        <w:jc w:val="left"/>
        <w:rPr>
          <w:rFonts w:ascii="Times New Roman"/>
        </w:rPr>
      </w:pPr>
    </w:p>
    <w:p>
      <w:pPr>
        <w:pStyle w:val="BodyText"/>
        <w:tabs>
          <w:tab w:pos="8824" w:val="left" w:leader="dot"/>
        </w:tabs>
        <w:spacing w:before="1"/>
        <w:ind w:left="569"/>
        <w:jc w:val="left"/>
        <w:rPr>
          <w:rFonts w:ascii="Times New Roman" w:eastAsia="Times New Roman"/>
        </w:rPr>
      </w:pPr>
      <w:hyperlink w:history="true" w:anchor="_bookmark77">
        <w:r>
          <w:rPr/>
          <w:t>表</w:t>
        </w:r>
        <w:r>
          <w:rPr>
            <w:spacing w:val="-2"/>
          </w:rPr>
          <w:t> </w:t>
        </w:r>
        <w:r>
          <w:rPr>
            <w:rFonts w:ascii="Times New Roman" w:eastAsia="Times New Roman"/>
          </w:rPr>
          <w:t>5.2.7-1</w:t>
        </w:r>
        <w:r>
          <w:rPr>
            <w:rFonts w:ascii="Times New Roman" w:eastAsia="Times New Roman"/>
            <w:spacing w:val="60"/>
          </w:rPr>
          <w:t> </w:t>
        </w:r>
        <w:r>
          <w:rPr/>
          <w:t>第二階段分析</w:t>
        </w:r>
        <w:r>
          <w:rPr>
            <w:spacing w:val="-10"/>
          </w:rPr>
          <w:t>表</w:t>
        </w:r>
        <w:r>
          <w:rPr>
            <w:rFonts w:ascii="Times New Roman" w:eastAsia="Times New Roman"/>
          </w:rPr>
          <w:tab/>
        </w:r>
        <w:r>
          <w:rPr>
            <w:rFonts w:ascii="Times New Roman" w:eastAsia="Times New Roman"/>
            <w:spacing w:val="-5"/>
          </w:rPr>
          <w:t>73</w:t>
        </w:r>
      </w:hyperlink>
    </w:p>
    <w:p>
      <w:pPr>
        <w:pStyle w:val="BodyText"/>
        <w:spacing w:before="64"/>
        <w:ind w:left="0"/>
        <w:jc w:val="left"/>
        <w:rPr>
          <w:rFonts w:ascii="Times New Roman"/>
        </w:rPr>
      </w:pPr>
    </w:p>
    <w:p>
      <w:pPr>
        <w:pStyle w:val="BodyText"/>
        <w:tabs>
          <w:tab w:pos="8824" w:val="left" w:leader="dot"/>
        </w:tabs>
        <w:ind w:left="569"/>
        <w:jc w:val="left"/>
        <w:rPr>
          <w:rFonts w:ascii="Times New Roman" w:eastAsia="Times New Roman"/>
        </w:rPr>
      </w:pPr>
      <w:hyperlink w:history="true" w:anchor="_bookmark89">
        <w:r>
          <w:rPr/>
          <w:t>表</w:t>
        </w:r>
        <w:r>
          <w:rPr>
            <w:spacing w:val="-2"/>
          </w:rPr>
          <w:t> </w:t>
        </w:r>
        <w:r>
          <w:rPr>
            <w:rFonts w:ascii="Times New Roman" w:eastAsia="Times New Roman"/>
          </w:rPr>
          <w:t>5.3.7-1</w:t>
        </w:r>
        <w:r>
          <w:rPr>
            <w:rFonts w:ascii="Times New Roman" w:eastAsia="Times New Roman"/>
            <w:spacing w:val="60"/>
          </w:rPr>
          <w:t> </w:t>
        </w:r>
        <w:r>
          <w:rPr/>
          <w:t>第三階段分析</w:t>
        </w:r>
        <w:r>
          <w:rPr>
            <w:spacing w:val="-10"/>
          </w:rPr>
          <w:t>表</w:t>
        </w:r>
        <w:r>
          <w:rPr>
            <w:rFonts w:ascii="Times New Roman" w:eastAsia="Times New Roman"/>
          </w:rPr>
          <w:tab/>
        </w:r>
        <w:r>
          <w:rPr>
            <w:rFonts w:ascii="Times New Roman" w:eastAsia="Times New Roman"/>
            <w:spacing w:val="-5"/>
          </w:rPr>
          <w:t>93</w:t>
        </w:r>
      </w:hyperlink>
    </w:p>
    <w:p>
      <w:pPr>
        <w:pStyle w:val="BodyText"/>
        <w:spacing w:before="64"/>
        <w:ind w:left="0"/>
        <w:jc w:val="left"/>
        <w:rPr>
          <w:rFonts w:ascii="Times New Roman"/>
        </w:rPr>
      </w:pPr>
    </w:p>
    <w:p>
      <w:pPr>
        <w:pStyle w:val="BodyText"/>
        <w:tabs>
          <w:tab w:pos="1668" w:val="left" w:leader="none"/>
          <w:tab w:pos="8824" w:val="left" w:leader="dot"/>
        </w:tabs>
        <w:spacing w:before="1"/>
        <w:ind w:left="569"/>
        <w:jc w:val="left"/>
        <w:rPr>
          <w:rFonts w:ascii="Times New Roman" w:eastAsia="Times New Roman"/>
        </w:rPr>
      </w:pPr>
      <w:hyperlink w:history="true" w:anchor="_bookmark91">
        <w:r>
          <w:rPr/>
          <w:t>表</w:t>
        </w:r>
        <w:r>
          <w:rPr>
            <w:spacing w:val="-2"/>
          </w:rPr>
          <w:t> </w:t>
        </w:r>
        <w:r>
          <w:rPr>
            <w:rFonts w:ascii="Times New Roman" w:eastAsia="Times New Roman"/>
          </w:rPr>
          <w:t>5.4-</w:t>
        </w:r>
        <w:r>
          <w:rPr>
            <w:rFonts w:ascii="Times New Roman" w:eastAsia="Times New Roman"/>
            <w:spacing w:val="-10"/>
          </w:rPr>
          <w:t>1</w:t>
        </w:r>
        <w:r>
          <w:rPr>
            <w:rFonts w:ascii="Times New Roman" w:eastAsia="Times New Roman"/>
          </w:rPr>
          <w:tab/>
        </w:r>
        <w:r>
          <w:rPr/>
          <w:t>個案跨階段分析</w:t>
        </w:r>
        <w:r>
          <w:rPr>
            <w:spacing w:val="-10"/>
          </w:rPr>
          <w:t>表</w:t>
        </w:r>
        <w:r>
          <w:rPr>
            <w:rFonts w:ascii="Times New Roman" w:eastAsia="Times New Roman"/>
          </w:rPr>
          <w:tab/>
        </w:r>
        <w:r>
          <w:rPr>
            <w:rFonts w:ascii="Times New Roman" w:eastAsia="Times New Roman"/>
            <w:spacing w:val="-5"/>
          </w:rPr>
          <w:t>97</w:t>
        </w:r>
      </w:hyperlink>
    </w:p>
    <w:p>
      <w:pPr>
        <w:pStyle w:val="BodyText"/>
        <w:spacing w:before="64"/>
        <w:ind w:left="0"/>
        <w:jc w:val="left"/>
        <w:rPr>
          <w:rFonts w:ascii="Times New Roman"/>
        </w:rPr>
      </w:pPr>
    </w:p>
    <w:p>
      <w:pPr>
        <w:pStyle w:val="BodyText"/>
        <w:tabs>
          <w:tab w:pos="1668" w:val="left" w:leader="none"/>
          <w:tab w:pos="8704" w:val="left" w:leader="dot"/>
        </w:tabs>
        <w:ind w:left="569"/>
        <w:jc w:val="left"/>
        <w:rPr>
          <w:rFonts w:ascii="Times New Roman" w:eastAsia="Times New Roman"/>
        </w:rPr>
      </w:pPr>
      <w:hyperlink w:history="true" w:anchor="_bookmark94">
        <w:r>
          <w:rPr/>
          <w:t>表</w:t>
        </w:r>
        <w:r>
          <w:rPr>
            <w:spacing w:val="-2"/>
          </w:rPr>
          <w:t> </w:t>
        </w:r>
        <w:r>
          <w:rPr>
            <w:rFonts w:ascii="Times New Roman" w:eastAsia="Times New Roman"/>
          </w:rPr>
          <w:t>6.1-</w:t>
        </w:r>
        <w:r>
          <w:rPr>
            <w:rFonts w:ascii="Times New Roman" w:eastAsia="Times New Roman"/>
            <w:spacing w:val="-10"/>
          </w:rPr>
          <w:t>1</w:t>
        </w:r>
        <w:r>
          <w:rPr>
            <w:rFonts w:ascii="Times New Roman" w:eastAsia="Times New Roman"/>
          </w:rPr>
          <w:tab/>
        </w:r>
        <w:r>
          <w:rPr/>
          <w:t>競爭環境與組織策略之關</w:t>
        </w:r>
        <w:r>
          <w:rPr>
            <w:spacing w:val="-10"/>
          </w:rPr>
          <w:t>係</w:t>
        </w:r>
        <w:r>
          <w:rPr>
            <w:rFonts w:ascii="Times New Roman" w:eastAsia="Times New Roman"/>
          </w:rPr>
          <w:tab/>
        </w:r>
        <w:r>
          <w:rPr>
            <w:rFonts w:ascii="Times New Roman" w:eastAsia="Times New Roman"/>
            <w:spacing w:val="-5"/>
          </w:rPr>
          <w:t>100</w:t>
        </w:r>
      </w:hyperlink>
    </w:p>
    <w:p>
      <w:pPr>
        <w:pStyle w:val="BodyText"/>
        <w:spacing w:before="64"/>
        <w:ind w:left="0"/>
        <w:jc w:val="left"/>
        <w:rPr>
          <w:rFonts w:ascii="Times New Roman"/>
        </w:rPr>
      </w:pPr>
    </w:p>
    <w:p>
      <w:pPr>
        <w:pStyle w:val="BodyText"/>
        <w:tabs>
          <w:tab w:pos="1668" w:val="left" w:leader="none"/>
          <w:tab w:pos="8704" w:val="left" w:leader="dot"/>
        </w:tabs>
        <w:spacing w:before="1"/>
        <w:ind w:left="569"/>
        <w:jc w:val="left"/>
        <w:rPr>
          <w:rFonts w:ascii="Times New Roman" w:eastAsia="Times New Roman"/>
        </w:rPr>
      </w:pPr>
      <w:hyperlink w:history="true" w:anchor="_bookmark95">
        <w:r>
          <w:rPr/>
          <w:t>表</w:t>
        </w:r>
        <w:r>
          <w:rPr>
            <w:spacing w:val="-2"/>
          </w:rPr>
          <w:t> </w:t>
        </w:r>
        <w:r>
          <w:rPr>
            <w:rFonts w:ascii="Times New Roman" w:eastAsia="Times New Roman"/>
          </w:rPr>
          <w:t>6.1-</w:t>
        </w:r>
        <w:r>
          <w:rPr>
            <w:rFonts w:ascii="Times New Roman" w:eastAsia="Times New Roman"/>
            <w:spacing w:val="-10"/>
          </w:rPr>
          <w:t>2</w:t>
        </w:r>
        <w:r>
          <w:rPr>
            <w:rFonts w:ascii="Times New Roman" w:eastAsia="Times New Roman"/>
          </w:rPr>
          <w:tab/>
        </w:r>
        <w:r>
          <w:rPr/>
          <w:t>跨界管理與資源和諧機制之關聯分</w:t>
        </w:r>
        <w:r>
          <w:rPr>
            <w:spacing w:val="-10"/>
          </w:rPr>
          <w:t>析</w:t>
        </w:r>
        <w:r>
          <w:rPr>
            <w:rFonts w:ascii="Times New Roman" w:eastAsia="Times New Roman"/>
          </w:rPr>
          <w:tab/>
        </w:r>
        <w:r>
          <w:rPr>
            <w:rFonts w:ascii="Times New Roman" w:eastAsia="Times New Roman"/>
            <w:spacing w:val="-5"/>
          </w:rPr>
          <w:t>101</w:t>
        </w:r>
      </w:hyperlink>
    </w:p>
    <w:p>
      <w:pPr>
        <w:pStyle w:val="BodyText"/>
        <w:spacing w:after="0"/>
        <w:jc w:val="left"/>
        <w:rPr>
          <w:rFonts w:ascii="Times New Roman" w:eastAsia="Times New Roman"/>
        </w:rPr>
        <w:sectPr>
          <w:pgSz w:w="11910" w:h="16840"/>
          <w:pgMar w:header="0" w:footer="1197" w:top="1780" w:bottom="1380" w:left="1133" w:right="1133"/>
        </w:sectPr>
      </w:pPr>
    </w:p>
    <w:p>
      <w:pPr>
        <w:pStyle w:val="Heading1"/>
        <w:ind w:right="597"/>
      </w:pPr>
      <w:bookmarkStart w:name="_bookmark5" w:id="6"/>
      <w:bookmarkEnd w:id="6"/>
      <w:r>
        <w:rPr>
          <w:b w:val="0"/>
        </w:rPr>
      </w:r>
      <w:r>
        <w:rPr>
          <w:spacing w:val="-2"/>
        </w:rPr>
        <w:t>第一章、緒論</w:t>
      </w:r>
    </w:p>
    <w:p>
      <w:pPr>
        <w:pStyle w:val="Heading2"/>
        <w:numPr>
          <w:ilvl w:val="1"/>
          <w:numId w:val="7"/>
        </w:numPr>
        <w:tabs>
          <w:tab w:pos="1047" w:val="left" w:leader="none"/>
        </w:tabs>
        <w:spacing w:line="240" w:lineRule="auto" w:before="205" w:after="0"/>
        <w:ind w:left="1047" w:right="0" w:hanging="478"/>
        <w:jc w:val="left"/>
      </w:pPr>
      <w:bookmarkStart w:name="_bookmark6" w:id="7"/>
      <w:bookmarkEnd w:id="7"/>
      <w:r>
        <w:rPr>
          <w:b w:val="0"/>
        </w:rPr>
      </w:r>
      <w:r>
        <w:rPr>
          <w:spacing w:val="-5"/>
        </w:rPr>
        <w:t>研究背景與動機</w:t>
      </w:r>
    </w:p>
    <w:p>
      <w:pPr>
        <w:pStyle w:val="BodyText"/>
        <w:spacing w:before="384"/>
        <w:ind w:left="1168"/>
        <w:jc w:val="left"/>
      </w:pPr>
      <w:r>
        <w:rPr>
          <w:spacing w:val="3"/>
        </w:rPr>
        <w:t>根據行政院主計總處發布的最新人口統計數據和預測報告，台灣預計於</w:t>
      </w:r>
    </w:p>
    <w:p>
      <w:pPr>
        <w:pStyle w:val="BodyText"/>
        <w:spacing w:before="232"/>
      </w:pPr>
      <w:r>
        <w:rPr>
          <w:rFonts w:ascii="Times New Roman" w:eastAsia="Times New Roman"/>
        </w:rPr>
        <w:t>2025</w:t>
      </w:r>
      <w:r>
        <w:rPr>
          <w:rFonts w:ascii="Times New Roman" w:eastAsia="Times New Roman"/>
          <w:spacing w:val="27"/>
        </w:rPr>
        <w:t> </w:t>
      </w:r>
      <w:r>
        <w:rPr>
          <w:spacing w:val="-11"/>
        </w:rPr>
        <w:t>年邁入「超高齡社會」，</w:t>
      </w:r>
      <w:r>
        <w:rPr>
          <w:rFonts w:ascii="Times New Roman" w:eastAsia="Times New Roman"/>
        </w:rPr>
        <w:t>65</w:t>
      </w:r>
      <w:r>
        <w:rPr>
          <w:rFonts w:ascii="Times New Roman" w:eastAsia="Times New Roman"/>
          <w:spacing w:val="28"/>
        </w:rPr>
        <w:t> </w:t>
      </w:r>
      <w:r>
        <w:rPr>
          <w:spacing w:val="-3"/>
        </w:rPr>
        <w:t>歲以上人口比例將將突破 </w:t>
      </w:r>
      <w:r>
        <w:rPr>
          <w:rFonts w:ascii="Times New Roman" w:eastAsia="Times New Roman"/>
        </w:rPr>
        <w:t>20%</w:t>
      </w:r>
      <w:r>
        <w:rPr>
          <w:spacing w:val="-2"/>
        </w:rPr>
        <w:t>的重要門檻。至</w:t>
      </w:r>
    </w:p>
    <w:p>
      <w:pPr>
        <w:pStyle w:val="BodyText"/>
        <w:spacing w:line="422" w:lineRule="auto" w:before="233"/>
        <w:ind w:right="682"/>
      </w:pPr>
      <w:r>
        <w:rPr>
          <w:rFonts w:ascii="Times New Roman" w:eastAsia="Times New Roman"/>
          <w:spacing w:val="-2"/>
        </w:rPr>
        <w:t>2040</w:t>
      </w:r>
      <w:r>
        <w:rPr>
          <w:rFonts w:ascii="Times New Roman" w:eastAsia="Times New Roman"/>
          <w:spacing w:val="-13"/>
        </w:rPr>
        <w:t> </w:t>
      </w:r>
      <w:r>
        <w:rPr>
          <w:spacing w:val="-4"/>
        </w:rPr>
        <w:t>年，台灣的扶老比預計將從目前的 </w:t>
      </w:r>
      <w:r>
        <w:rPr>
          <w:rFonts w:ascii="Times New Roman" w:eastAsia="Times New Roman"/>
          <w:spacing w:val="-2"/>
        </w:rPr>
        <w:t>1:4</w:t>
      </w:r>
      <w:r>
        <w:rPr>
          <w:rFonts w:ascii="Times New Roman" w:eastAsia="Times New Roman"/>
          <w:spacing w:val="-13"/>
        </w:rPr>
        <w:t> </w:t>
      </w:r>
      <w:r>
        <w:rPr>
          <w:spacing w:val="-9"/>
        </w:rPr>
        <w:t>下降至 </w:t>
      </w:r>
      <w:r>
        <w:rPr>
          <w:rFonts w:ascii="Times New Roman" w:eastAsia="Times New Roman"/>
          <w:spacing w:val="-2"/>
        </w:rPr>
        <w:t>1:2</w:t>
      </w:r>
      <w:r>
        <w:rPr>
          <w:spacing w:val="-2"/>
        </w:rPr>
        <w:t>，這意味著每兩名勞動人</w:t>
      </w:r>
      <w:r>
        <w:rPr>
          <w:spacing w:val="-4"/>
        </w:rPr>
        <w:t>口將需要撫養一名高齡者，顯著加重了社會的照護負擔。這一人口結構的轉變帶</w:t>
      </w:r>
      <w:r>
        <w:rPr>
          <w:spacing w:val="-2"/>
        </w:rPr>
        <w:t>來了諸多社會經濟挑戰，其中最為重要的是慢性疾病發病率的上升和長期照護需求的增加。這些變化對台灣現有的醫療系統和健康管理服務體系造成了前所未有的壓力，亟需創新方法來應對。</w:t>
      </w:r>
    </w:p>
    <w:p>
      <w:pPr>
        <w:pStyle w:val="BodyText"/>
        <w:spacing w:line="422" w:lineRule="auto" w:before="174"/>
        <w:ind w:right="470" w:firstLine="479"/>
        <w:jc w:val="left"/>
      </w:pPr>
      <w:r>
        <w:rPr/>
        <w:drawing>
          <wp:anchor distT="0" distB="0" distL="0" distR="0" allowOverlap="1" layoutInCell="1" locked="0" behindDoc="1" simplePos="0" relativeHeight="485778944">
            <wp:simplePos x="0" y="0"/>
            <wp:positionH relativeFrom="page">
              <wp:posOffset>3312414</wp:posOffset>
            </wp:positionH>
            <wp:positionV relativeFrom="paragraph">
              <wp:posOffset>180465</wp:posOffset>
            </wp:positionV>
            <wp:extent cx="929640" cy="978408"/>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除此之外，醫療人力資源不足已成為台灣長期面臨的一項重大社會問題。根據衛生福利部的最新調查報告，台灣不僅面臨醫療人力總量嚴重不足的問題，還因現有醫護人員年齡結構老化和工作時間延長而加劇了醫護人力的壓力。這導</w:t>
      </w:r>
      <w:r>
        <w:rPr>
          <w:spacing w:val="80"/>
        </w:rPr>
        <w:t> </w:t>
      </w:r>
      <w:r>
        <w:rPr>
          <w:spacing w:val="-6"/>
        </w:rPr>
        <w:t>致了照護服務覆蓋範圍受限，許多有需求的患者無法獲得及時、充分的醫療照護。</w:t>
      </w:r>
    </w:p>
    <w:p>
      <w:pPr>
        <w:pStyle w:val="BodyText"/>
        <w:spacing w:line="422" w:lineRule="auto" w:before="176"/>
        <w:ind w:right="682" w:firstLine="479"/>
      </w:pPr>
      <w:r>
        <w:rPr>
          <w:spacing w:val="-2"/>
        </w:rPr>
        <w:t>台灣的高齡化和醫護人口不足問題討論已久，面對難以逆轉的人口趨勢和有限的照顧資源，利用科技減輕醫療人員的負擔以提升照護品質已成為應對老</w:t>
      </w:r>
      <w:r>
        <w:rPr>
          <w:spacing w:val="-4"/>
        </w:rPr>
        <w:t>化問題的關鍵策略。政府正探索通過科技來槓桿社會政策，以產生綜效。行政院</w:t>
      </w:r>
      <w:r>
        <w:rPr>
          <w:spacing w:val="-31"/>
        </w:rPr>
        <w:t>於 </w:t>
      </w:r>
      <w:r>
        <w:rPr>
          <w:rFonts w:ascii="Times New Roman" w:eastAsia="Times New Roman"/>
        </w:rPr>
        <w:t>2023</w:t>
      </w:r>
      <w:r>
        <w:rPr>
          <w:rFonts w:ascii="Times New Roman" w:eastAsia="Times New Roman"/>
          <w:spacing w:val="-10"/>
        </w:rPr>
        <w:t> </w:t>
      </w:r>
      <w:r>
        <w:rPr>
          <w:spacing w:val="-30"/>
        </w:rPr>
        <w:t>年 </w:t>
      </w:r>
      <w:r>
        <w:rPr>
          <w:rFonts w:ascii="Times New Roman" w:eastAsia="Times New Roman"/>
        </w:rPr>
        <w:t>9</w:t>
      </w:r>
      <w:r>
        <w:rPr>
          <w:rFonts w:ascii="Times New Roman" w:eastAsia="Times New Roman"/>
          <w:spacing w:val="-2"/>
        </w:rPr>
        <w:t> </w:t>
      </w:r>
      <w:r>
        <w:rPr>
          <w:spacing w:val="-3"/>
        </w:rPr>
        <w:t>月核定的《高齡科技產業行動計畫》計劃在 </w:t>
      </w:r>
      <w:r>
        <w:rPr>
          <w:rFonts w:ascii="Times New Roman" w:eastAsia="Times New Roman"/>
        </w:rPr>
        <w:t>2024</w:t>
      </w:r>
      <w:r>
        <w:rPr>
          <w:rFonts w:ascii="Times New Roman" w:eastAsia="Times New Roman"/>
          <w:spacing w:val="-2"/>
        </w:rPr>
        <w:t> </w:t>
      </w:r>
      <w:r>
        <w:rPr>
          <w:spacing w:val="-30"/>
        </w:rPr>
        <w:t>至 </w:t>
      </w:r>
      <w:r>
        <w:rPr>
          <w:rFonts w:ascii="Times New Roman" w:eastAsia="Times New Roman"/>
        </w:rPr>
        <w:t>2027</w:t>
      </w:r>
      <w:r>
        <w:rPr>
          <w:rFonts w:ascii="Times New Roman" w:eastAsia="Times New Roman"/>
          <w:spacing w:val="-2"/>
        </w:rPr>
        <w:t> </w:t>
      </w:r>
      <w:r>
        <w:rPr>
          <w:spacing w:val="-3"/>
        </w:rPr>
        <w:t>年間投入</w:t>
      </w:r>
    </w:p>
    <w:p>
      <w:pPr>
        <w:pStyle w:val="BodyText"/>
        <w:spacing w:line="422" w:lineRule="auto"/>
        <w:ind w:right="682"/>
      </w:pPr>
      <w:r>
        <w:rPr>
          <w:spacing w:val="-9"/>
        </w:rPr>
        <w:t>新台幣 </w:t>
      </w:r>
      <w:r>
        <w:rPr>
          <w:rFonts w:ascii="Times New Roman" w:eastAsia="Times New Roman"/>
          <w:spacing w:val="-2"/>
        </w:rPr>
        <w:t>95</w:t>
      </w:r>
      <w:r>
        <w:rPr>
          <w:rFonts w:ascii="Times New Roman" w:eastAsia="Times New Roman"/>
          <w:spacing w:val="-13"/>
        </w:rPr>
        <w:t> </w:t>
      </w:r>
      <w:r>
        <w:rPr>
          <w:spacing w:val="-6"/>
        </w:rPr>
        <w:t>億元，並預計到 </w:t>
      </w:r>
      <w:r>
        <w:rPr>
          <w:rFonts w:ascii="Times New Roman" w:eastAsia="Times New Roman"/>
          <w:spacing w:val="-2"/>
        </w:rPr>
        <w:t>2025</w:t>
      </w:r>
      <w:r>
        <w:rPr>
          <w:rFonts w:ascii="Times New Roman" w:eastAsia="Times New Roman"/>
          <w:spacing w:val="-13"/>
        </w:rPr>
        <w:t> </w:t>
      </w:r>
      <w:r>
        <w:rPr>
          <w:spacing w:val="-4"/>
        </w:rPr>
        <w:t>年，健康福祉產業的產值將突破 </w:t>
      </w:r>
      <w:r>
        <w:rPr>
          <w:rFonts w:ascii="Times New Roman" w:eastAsia="Times New Roman"/>
          <w:spacing w:val="-2"/>
        </w:rPr>
        <w:t>3000</w:t>
      </w:r>
      <w:r>
        <w:rPr>
          <w:rFonts w:ascii="Times New Roman" w:eastAsia="Times New Roman"/>
          <w:spacing w:val="-13"/>
        </w:rPr>
        <w:t> </w:t>
      </w:r>
      <w:r>
        <w:rPr>
          <w:spacing w:val="-2"/>
        </w:rPr>
        <w:t>億元。該</w:t>
      </w:r>
      <w:r>
        <w:rPr>
          <w:spacing w:val="-4"/>
        </w:rPr>
        <w:t>計畫旨在建立跨部會及跨領域的合作機制，推動高齡社會的科技應用，以建立一</w:t>
      </w:r>
      <w:r>
        <w:rPr>
          <w:spacing w:val="-2"/>
        </w:rPr>
        <w:t>個以人為本的銀髮生態系統。</w:t>
      </w:r>
    </w:p>
    <w:p>
      <w:pPr>
        <w:pStyle w:val="BodyText"/>
        <w:spacing w:line="422" w:lineRule="auto" w:before="172"/>
        <w:ind w:right="683" w:firstLine="479"/>
      </w:pPr>
      <w:r>
        <w:rPr>
          <w:spacing w:val="-2"/>
        </w:rPr>
        <w:t>在全球數位健康產業快速發展的背景下，照護科技公司迎來了重塑傳統醫</w:t>
      </w:r>
      <w:r>
        <w:rPr>
          <w:spacing w:val="-4"/>
        </w:rPr>
        <w:t>療模式的機遇。透過人工智慧、物聯網和大數據，數位健康解決方案得以提供更</w:t>
      </w:r>
      <w:r>
        <w:rPr>
          <w:spacing w:val="-7"/>
        </w:rPr>
        <w:t>精準的健康監測、個性化的治療方案，以及以患者為中心的全方位服務。特別是</w:t>
      </w:r>
    </w:p>
    <w:p>
      <w:pPr>
        <w:pStyle w:val="BodyText"/>
        <w:spacing w:after="0" w:line="422" w:lineRule="auto"/>
        <w:sectPr>
          <w:footerReference w:type="default" r:id="rId53"/>
          <w:pgSz w:w="11910" w:h="16840"/>
          <w:pgMar w:header="0" w:footer="1197" w:top="1780" w:bottom="1380" w:left="1133" w:right="1133"/>
          <w:pgNumType w:start="1"/>
        </w:sectPr>
      </w:pPr>
    </w:p>
    <w:p>
      <w:pPr>
        <w:pStyle w:val="BodyText"/>
        <w:spacing w:line="422" w:lineRule="auto" w:before="27"/>
        <w:ind w:right="683"/>
        <w:jc w:val="left"/>
      </w:pPr>
      <w:r>
        <w:rPr>
          <w:spacing w:val="-4"/>
        </w:rPr>
        <w:t>數位平台的應用，能夠有效整合醫療資源，連接不同層級的照護服務，並促進醫</w:t>
      </w:r>
      <w:r>
        <w:rPr>
          <w:spacing w:val="-2"/>
        </w:rPr>
        <w:t>療數據的即時共享，極大提升了醫療系統的運作效率。</w:t>
      </w:r>
    </w:p>
    <w:p>
      <w:pPr>
        <w:pStyle w:val="BodyText"/>
        <w:spacing w:line="422" w:lineRule="auto" w:before="177"/>
        <w:ind w:right="683" w:firstLine="479"/>
      </w:pPr>
      <w:r>
        <w:rPr>
          <w:spacing w:val="-2"/>
        </w:rPr>
        <w:t>與此同時，全球範圍內的照護科技發展路徑因文化需求和市場特性呈現多</w:t>
      </w:r>
      <w:r>
        <w:rPr>
          <w:spacing w:val="-4"/>
        </w:rPr>
        <w:t>樣化特徵。例如，日本市場偏好設計簡約、功能精煉的產品，以迎合高齡社會對便利性和實用性的需求；美國則傾向於開發單一功能但覆蓋面廣的解決方案，以快速佔領市場份額。相比之下，台灣因市場規模較小且具備高度靈活性，更容易進行創新功能的試驗與推廣，為科技研發創造了特有的機遇。然而，有限的市場</w:t>
      </w:r>
      <w:r>
        <w:rPr>
          <w:spacing w:val="-2"/>
        </w:rPr>
        <w:t>規模也對照護科技公司的可持續發展帶來挑戰，如何在產品的功能深度與市場拓展廣度之間實現平衡，成為企業保持競爭力與創新力的關鍵課題。</w:t>
      </w:r>
    </w:p>
    <w:p>
      <w:pPr>
        <w:pStyle w:val="BodyText"/>
        <w:spacing w:line="422" w:lineRule="auto" w:before="172"/>
        <w:ind w:right="682" w:firstLine="479"/>
      </w:pPr>
      <w:r>
        <w:rPr/>
        <w:drawing>
          <wp:anchor distT="0" distB="0" distL="0" distR="0" allowOverlap="1" layoutInCell="1" locked="0" behindDoc="1" simplePos="0" relativeHeight="485779456">
            <wp:simplePos x="0" y="0"/>
            <wp:positionH relativeFrom="page">
              <wp:posOffset>3312414</wp:posOffset>
            </wp:positionH>
            <wp:positionV relativeFrom="paragraph">
              <wp:posOffset>476249</wp:posOffset>
            </wp:positionV>
            <wp:extent cx="929640" cy="978408"/>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6" cstate="print"/>
                    <a:stretch>
                      <a:fillRect/>
                    </a:stretch>
                  </pic:blipFill>
                  <pic:spPr>
                    <a:xfrm>
                      <a:off x="0" y="0"/>
                      <a:ext cx="929640" cy="978408"/>
                    </a:xfrm>
                    <a:prstGeom prst="rect">
                      <a:avLst/>
                    </a:prstGeom>
                  </pic:spPr>
                </pic:pic>
              </a:graphicData>
            </a:graphic>
          </wp:anchor>
        </w:drawing>
      </w:r>
      <w:r>
        <w:rPr/>
        <w:t>綜上所述，台灣的照護科技公司在快速變化和高度競爭的市場環境中面臨</w:t>
      </w:r>
      <w:r>
        <w:rPr>
          <w:spacing w:val="-4"/>
        </w:rPr>
        <w:t>著重大挑戰與機遇。本研究將以諾亞克科技股份有限公司為主要研究對象，深入探討其如何在資源有限的情況下，運用跨界管理機制提升競爭力，有效管理和配</w:t>
      </w:r>
      <w:r>
        <w:rPr>
          <w:spacing w:val="-2"/>
        </w:rPr>
        <w:t>置資源組合，實現可持續發展。</w:t>
      </w:r>
    </w:p>
    <w:p>
      <w:pPr>
        <w:pStyle w:val="BodyText"/>
        <w:spacing w:after="0" w:line="422" w:lineRule="auto"/>
        <w:sectPr>
          <w:pgSz w:w="11910" w:h="16840"/>
          <w:pgMar w:header="0" w:footer="1197" w:top="1760" w:bottom="1380" w:left="1133" w:right="1133"/>
        </w:sectPr>
      </w:pPr>
    </w:p>
    <w:p>
      <w:pPr>
        <w:pStyle w:val="Heading2"/>
        <w:numPr>
          <w:ilvl w:val="1"/>
          <w:numId w:val="7"/>
        </w:numPr>
        <w:tabs>
          <w:tab w:pos="1047" w:val="left" w:leader="none"/>
        </w:tabs>
        <w:spacing w:line="522" w:lineRule="exact" w:before="0" w:after="0"/>
        <w:ind w:left="1047" w:right="0" w:hanging="478"/>
        <w:jc w:val="left"/>
      </w:pPr>
      <w:bookmarkStart w:name="_bookmark7" w:id="8"/>
      <w:bookmarkEnd w:id="8"/>
      <w:r>
        <w:rPr>
          <w:b w:val="0"/>
        </w:rPr>
      </w:r>
      <w:r>
        <w:rPr>
          <w:spacing w:val="-5"/>
        </w:rPr>
        <w:t>研究目的與問題</w:t>
      </w:r>
    </w:p>
    <w:p>
      <w:pPr>
        <w:pStyle w:val="BodyText"/>
        <w:spacing w:line="422" w:lineRule="auto" w:before="384"/>
        <w:ind w:right="683" w:firstLine="479"/>
      </w:pPr>
      <w:r>
        <w:rPr>
          <w:spacing w:val="-6"/>
        </w:rPr>
        <w:t>隨著數位化技術的進步，照護科技公司需在技術創新領域持續突破，同時重</w:t>
      </w:r>
      <w:r>
        <w:rPr>
          <w:spacing w:val="-4"/>
        </w:rPr>
        <w:t>塑傳統組織架構和思維模式。這需要建立一個涵蓋醫療機構、政府部門、技術供</w:t>
      </w:r>
      <w:r>
        <w:rPr>
          <w:spacing w:val="-23"/>
        </w:rPr>
        <w:t>應商、學術研究機構，以及患者和其家屬的廣泛合作網路。透過這種多方位合作，</w:t>
      </w:r>
      <w:r>
        <w:rPr>
          <w:spacing w:val="-2"/>
        </w:rPr>
        <w:t>照護科技公司能更有效地整合資源與專業知識，推動跨領域創新。</w:t>
      </w:r>
    </w:p>
    <w:p>
      <w:pPr>
        <w:pStyle w:val="BodyText"/>
        <w:spacing w:line="422" w:lineRule="auto" w:before="176"/>
        <w:ind w:right="685" w:firstLine="479"/>
      </w:pPr>
      <w:r>
        <w:rPr>
          <w:spacing w:val="-6"/>
        </w:rPr>
        <w:t>本研究將以台灣具指標性的照護科技公司 </w:t>
      </w:r>
      <w:r>
        <w:rPr>
          <w:rFonts w:ascii="Times New Roman" w:eastAsia="Times New Roman"/>
          <w:spacing w:val="-4"/>
        </w:rPr>
        <w:t>U-ARK</w:t>
      </w:r>
      <w:r>
        <w:rPr>
          <w:rFonts w:ascii="Times New Roman" w:eastAsia="Times New Roman"/>
          <w:spacing w:val="12"/>
        </w:rPr>
        <w:t> </w:t>
      </w:r>
      <w:r>
        <w:rPr>
          <w:spacing w:val="-4"/>
        </w:rPr>
        <w:t>諾亞克為研究對象，探討</w:t>
      </w:r>
      <w:r>
        <w:rPr>
          <w:spacing w:val="-2"/>
        </w:rPr>
        <w:t>在台灣市場競爭環境相對有限的情況下，照護科技公司如何精確管理和分配資源，以拓展其平台架構和商業運營。</w:t>
      </w:r>
    </w:p>
    <w:p>
      <w:pPr>
        <w:pStyle w:val="Heading4"/>
        <w:spacing w:before="97"/>
        <w:ind w:left="1168"/>
      </w:pPr>
      <w:r>
        <w:rPr>
          <w:spacing w:val="-1"/>
        </w:rPr>
        <w:t>本研究欲探討目的如下：</w:t>
      </w:r>
    </w:p>
    <w:p>
      <w:pPr>
        <w:pStyle w:val="ListParagraph"/>
        <w:numPr>
          <w:ilvl w:val="2"/>
          <w:numId w:val="7"/>
        </w:numPr>
        <w:tabs>
          <w:tab w:pos="2248" w:val="left" w:leader="none"/>
        </w:tabs>
        <w:spacing w:line="422" w:lineRule="auto" w:before="358" w:after="0"/>
        <w:ind w:left="1528" w:right="685" w:firstLine="480"/>
        <w:jc w:val="both"/>
        <w:rPr>
          <w:rFonts w:ascii="Times New Roman" w:eastAsia="Times New Roman"/>
          <w:sz w:val="24"/>
        </w:rPr>
      </w:pPr>
      <w:r>
        <w:rPr>
          <w:rFonts w:ascii="Times New Roman" w:eastAsia="Times New Roman"/>
          <w:sz w:val="24"/>
        </w:rPr>
        <w:drawing>
          <wp:anchor distT="0" distB="0" distL="0" distR="0" allowOverlap="1" layoutInCell="1" locked="0" behindDoc="1" simplePos="0" relativeHeight="485779968">
            <wp:simplePos x="0" y="0"/>
            <wp:positionH relativeFrom="page">
              <wp:posOffset>3312414</wp:posOffset>
            </wp:positionH>
            <wp:positionV relativeFrom="paragraph">
              <wp:posOffset>251243</wp:posOffset>
            </wp:positionV>
            <wp:extent cx="929640" cy="978408"/>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6" cstate="print"/>
                    <a:stretch>
                      <a:fillRect/>
                    </a:stretch>
                  </pic:blipFill>
                  <pic:spPr>
                    <a:xfrm>
                      <a:off x="0" y="0"/>
                      <a:ext cx="929640" cy="978408"/>
                    </a:xfrm>
                    <a:prstGeom prst="rect">
                      <a:avLst/>
                    </a:prstGeom>
                  </pic:spPr>
                </pic:pic>
              </a:graphicData>
            </a:graphic>
          </wp:anchor>
        </w:drawing>
      </w:r>
      <w:r>
        <w:rPr>
          <w:spacing w:val="-2"/>
          <w:sz w:val="24"/>
        </w:rPr>
        <w:t>在有限市場環境下，照護科技公司如何管理和配置資源組合以支撐平台架構和商業運營。</w:t>
      </w:r>
    </w:p>
    <w:p>
      <w:pPr>
        <w:pStyle w:val="ListParagraph"/>
        <w:numPr>
          <w:ilvl w:val="2"/>
          <w:numId w:val="7"/>
        </w:numPr>
        <w:tabs>
          <w:tab w:pos="2248" w:val="left" w:leader="none"/>
        </w:tabs>
        <w:spacing w:line="422" w:lineRule="auto" w:before="178" w:after="0"/>
        <w:ind w:left="1528" w:right="685" w:firstLine="480"/>
        <w:jc w:val="both"/>
        <w:rPr>
          <w:rFonts w:ascii="Times New Roman" w:eastAsia="Times New Roman"/>
          <w:sz w:val="24"/>
        </w:rPr>
      </w:pPr>
      <w:r>
        <w:rPr>
          <w:spacing w:val="-2"/>
          <w:sz w:val="24"/>
        </w:rPr>
        <w:t>照護科技公司如何打破傳統組織框架，與利害關係人合作以促進創新和可持續發展。</w:t>
      </w:r>
    </w:p>
    <w:p>
      <w:pPr>
        <w:pStyle w:val="Heading4"/>
        <w:spacing w:before="98"/>
        <w:ind w:left="1168"/>
      </w:pPr>
      <w:r>
        <w:rPr>
          <w:spacing w:val="-1"/>
        </w:rPr>
        <w:t>為達成上述目的，本研究將深入探討以下問題：</w:t>
      </w:r>
    </w:p>
    <w:p>
      <w:pPr>
        <w:pStyle w:val="ListParagraph"/>
        <w:numPr>
          <w:ilvl w:val="0"/>
          <w:numId w:val="8"/>
        </w:numPr>
        <w:tabs>
          <w:tab w:pos="2248" w:val="left" w:leader="none"/>
        </w:tabs>
        <w:spacing w:line="422" w:lineRule="auto" w:before="358" w:after="0"/>
        <w:ind w:left="1528" w:right="683" w:firstLine="480"/>
        <w:jc w:val="both"/>
        <w:rPr>
          <w:sz w:val="24"/>
        </w:rPr>
      </w:pPr>
      <w:r>
        <w:rPr>
          <w:spacing w:val="-2"/>
          <w:sz w:val="24"/>
        </w:rPr>
        <w:t>照護科技公司如何針對不同競爭環境採取治理策略，以拓展服務範疇並增強市場應變能力？</w:t>
      </w:r>
    </w:p>
    <w:p>
      <w:pPr>
        <w:pStyle w:val="ListParagraph"/>
        <w:numPr>
          <w:ilvl w:val="0"/>
          <w:numId w:val="8"/>
        </w:numPr>
        <w:tabs>
          <w:tab w:pos="2248" w:val="left" w:leader="none"/>
        </w:tabs>
        <w:spacing w:line="422" w:lineRule="auto" w:before="178" w:after="0"/>
        <w:ind w:left="1528" w:right="907" w:firstLine="480"/>
        <w:jc w:val="both"/>
        <w:rPr>
          <w:sz w:val="24"/>
        </w:rPr>
      </w:pPr>
      <w:r>
        <w:rPr>
          <w:spacing w:val="-2"/>
          <w:sz w:val="24"/>
        </w:rPr>
        <w:t>以資源和諧的跨界管理機制為觀點，探討照護科技公司如何整合有形與無形資源，破傳統框架補足自身不足，強化競爭力並拓展生態系統中的營運？</w:t>
      </w:r>
    </w:p>
    <w:p>
      <w:pPr>
        <w:pStyle w:val="ListParagraph"/>
        <w:spacing w:after="0" w:line="422" w:lineRule="auto"/>
        <w:jc w:val="both"/>
        <w:rPr>
          <w:sz w:val="24"/>
        </w:rPr>
        <w:sectPr>
          <w:pgSz w:w="11910" w:h="16840"/>
          <w:pgMar w:header="0" w:footer="1197" w:top="1780" w:bottom="1380" w:left="1133" w:right="1133"/>
        </w:sectPr>
      </w:pPr>
    </w:p>
    <w:p>
      <w:pPr>
        <w:pStyle w:val="Heading2"/>
        <w:numPr>
          <w:ilvl w:val="1"/>
          <w:numId w:val="7"/>
        </w:numPr>
        <w:tabs>
          <w:tab w:pos="1047" w:val="left" w:leader="none"/>
        </w:tabs>
        <w:spacing w:line="522" w:lineRule="exact" w:before="0" w:after="0"/>
        <w:ind w:left="1047" w:right="0" w:hanging="478"/>
        <w:jc w:val="left"/>
      </w:pPr>
      <w:bookmarkStart w:name="_bookmark8" w:id="9"/>
      <w:bookmarkEnd w:id="9"/>
      <w:r>
        <w:rPr>
          <w:b w:val="0"/>
        </w:rPr>
      </w:r>
      <w:r>
        <w:rPr>
          <w:spacing w:val="-4"/>
        </w:rPr>
        <w:t>研究流程</w:t>
      </w:r>
    </w:p>
    <w:p>
      <w:pPr>
        <w:pStyle w:val="BodyText"/>
        <w:spacing w:line="422" w:lineRule="auto" w:before="384"/>
        <w:ind w:right="683" w:firstLine="479"/>
      </w:pPr>
      <w:r>
        <w:rPr/>
        <w:t>本研究以照護科技公司 </w:t>
      </w:r>
      <w:r>
        <w:rPr>
          <w:rFonts w:ascii="Times New Roman" w:eastAsia="Times New Roman"/>
        </w:rPr>
        <w:t>U-ARK</w:t>
      </w:r>
      <w:r>
        <w:rPr>
          <w:rFonts w:ascii="Times New Roman" w:eastAsia="Times New Roman"/>
          <w:spacing w:val="40"/>
        </w:rPr>
        <w:t> </w:t>
      </w:r>
      <w:r>
        <w:rPr/>
        <w:t>諾亞克為研究核心，採用個案分析方法，</w:t>
      </w:r>
      <w:r>
        <w:rPr>
          <w:spacing w:val="-2"/>
        </w:rPr>
        <w:t>旨在揭示台灣照護科技公司面對快速變化的市場需求與長期結構性挑戰時，如</w:t>
      </w:r>
      <w:r>
        <w:rPr>
          <w:spacing w:val="-4"/>
        </w:rPr>
        <w:t>何透過創新策略在有限市場中拓展服務範疇，並奠定企業永續發展的基礎，同時</w:t>
      </w:r>
      <w:r>
        <w:rPr>
          <w:spacing w:val="-2"/>
        </w:rPr>
        <w:t>為相關實務與學術研究提供具體參考。</w:t>
      </w:r>
    </w:p>
    <w:p>
      <w:pPr>
        <w:pStyle w:val="BodyText"/>
        <w:spacing w:before="176"/>
        <w:ind w:left="1048"/>
        <w:jc w:val="left"/>
      </w:pPr>
      <w:r>
        <w:rPr>
          <w:spacing w:val="-1"/>
        </w:rPr>
        <w:t>本研究之研究流程依序為以下步驟：</w:t>
      </w:r>
    </w:p>
    <w:p>
      <w:pPr>
        <w:pStyle w:val="BodyText"/>
        <w:spacing w:before="25"/>
        <w:ind w:left="0"/>
        <w:jc w:val="left"/>
      </w:pPr>
    </w:p>
    <w:p>
      <w:pPr>
        <w:pStyle w:val="Heading4"/>
        <w:numPr>
          <w:ilvl w:val="2"/>
          <w:numId w:val="7"/>
        </w:numPr>
        <w:tabs>
          <w:tab w:pos="1288" w:val="left" w:leader="none"/>
        </w:tabs>
        <w:spacing w:line="240" w:lineRule="auto" w:before="1" w:after="0"/>
        <w:ind w:left="1288" w:right="0" w:hanging="240"/>
        <w:jc w:val="left"/>
        <w:rPr>
          <w:rFonts w:ascii="Times New Roman" w:eastAsia="Times New Roman"/>
        </w:rPr>
      </w:pPr>
      <w:r>
        <w:rPr>
          <w:spacing w:val="-1"/>
        </w:rPr>
        <w:t>確定研究對象與主題方向</w:t>
      </w:r>
    </w:p>
    <w:p>
      <w:pPr>
        <w:pStyle w:val="BodyText"/>
        <w:spacing w:line="422" w:lineRule="auto" w:before="358"/>
        <w:ind w:left="569" w:right="683" w:firstLine="479"/>
      </w:pPr>
      <w:r>
        <w:rPr/>
        <w:drawing>
          <wp:anchor distT="0" distB="0" distL="0" distR="0" allowOverlap="1" layoutInCell="1" locked="0" behindDoc="1" simplePos="0" relativeHeight="485780480">
            <wp:simplePos x="0" y="0"/>
            <wp:positionH relativeFrom="page">
              <wp:posOffset>3312414</wp:posOffset>
            </wp:positionH>
            <wp:positionV relativeFrom="paragraph">
              <wp:posOffset>936789</wp:posOffset>
            </wp:positionV>
            <wp:extent cx="929640" cy="978408"/>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確立研究對象與研究範疇，分析照護科技公司在資源有限的情境下所面臨的共同挑戰與潛在機會，並進一步聚焦研究重點，例如企業內部優勢的運用及市場拓展的策略方向。</w:t>
      </w:r>
    </w:p>
    <w:p>
      <w:pPr>
        <w:pStyle w:val="Heading4"/>
        <w:numPr>
          <w:ilvl w:val="2"/>
          <w:numId w:val="7"/>
        </w:numPr>
        <w:tabs>
          <w:tab w:pos="1288" w:val="left" w:leader="none"/>
        </w:tabs>
        <w:spacing w:line="240" w:lineRule="auto" w:before="97" w:after="0"/>
        <w:ind w:left="1288" w:right="0" w:hanging="240"/>
        <w:jc w:val="left"/>
        <w:rPr>
          <w:rFonts w:ascii="Times New Roman" w:eastAsia="Times New Roman"/>
        </w:rPr>
      </w:pPr>
      <w:r>
        <w:rPr>
          <w:spacing w:val="-2"/>
        </w:rPr>
        <w:t>初步資料收集與分析</w:t>
      </w:r>
    </w:p>
    <w:p>
      <w:pPr>
        <w:pStyle w:val="BodyText"/>
        <w:spacing w:line="422" w:lineRule="auto" w:before="358"/>
        <w:ind w:left="1048" w:right="683" w:firstLine="480"/>
      </w:pPr>
      <w:r>
        <w:rPr>
          <w:spacing w:val="-2"/>
        </w:rPr>
        <w:t>透過次級資料收集概覽研究對象的背景資訊，包括公開報告、學術文獻及相關行業數據等，系統性梳理其過往的經營歷程與當前的運作現況，以構建研究脈絡並初步鎖定研究主題。</w:t>
      </w:r>
    </w:p>
    <w:p>
      <w:pPr>
        <w:pStyle w:val="Heading4"/>
        <w:numPr>
          <w:ilvl w:val="2"/>
          <w:numId w:val="7"/>
        </w:numPr>
        <w:tabs>
          <w:tab w:pos="1288" w:val="left" w:leader="none"/>
        </w:tabs>
        <w:spacing w:line="240" w:lineRule="auto" w:before="97" w:after="0"/>
        <w:ind w:left="1288" w:right="0" w:hanging="240"/>
        <w:jc w:val="left"/>
        <w:rPr>
          <w:rFonts w:ascii="Times New Roman" w:eastAsia="Times New Roman"/>
        </w:rPr>
      </w:pPr>
      <w:r>
        <w:rPr>
          <w:spacing w:val="-2"/>
        </w:rPr>
        <w:t>聚焦研究主題</w:t>
      </w:r>
    </w:p>
    <w:p>
      <w:pPr>
        <w:pStyle w:val="BodyText"/>
        <w:spacing w:line="422" w:lineRule="auto" w:before="358"/>
        <w:ind w:left="1048" w:right="679" w:firstLine="480"/>
        <w:jc w:val="left"/>
      </w:pPr>
      <w:r>
        <w:rPr>
          <w:spacing w:val="-2"/>
        </w:rPr>
        <w:t>根據初步資料分析結果，明確本研究的核心主題，聚焦於個案公司的資</w:t>
      </w:r>
      <w:r>
        <w:rPr>
          <w:spacing w:val="-2"/>
        </w:rPr>
        <w:t>源管理策略與服務拓展過程，揭示其如何藉由策略性行動提升組織效能。</w:t>
      </w:r>
    </w:p>
    <w:p>
      <w:pPr>
        <w:pStyle w:val="Heading4"/>
        <w:numPr>
          <w:ilvl w:val="2"/>
          <w:numId w:val="7"/>
        </w:numPr>
        <w:tabs>
          <w:tab w:pos="1288" w:val="left" w:leader="none"/>
        </w:tabs>
        <w:spacing w:line="240" w:lineRule="auto" w:before="99" w:after="0"/>
        <w:ind w:left="1288" w:right="0" w:hanging="240"/>
        <w:jc w:val="left"/>
        <w:rPr>
          <w:rFonts w:ascii="Times New Roman" w:eastAsia="Times New Roman"/>
        </w:rPr>
      </w:pPr>
      <w:r>
        <w:rPr>
          <w:spacing w:val="-1"/>
        </w:rPr>
        <w:t>文獻回顧與初步理論框架建立</w:t>
      </w:r>
    </w:p>
    <w:p>
      <w:pPr>
        <w:pStyle w:val="BodyText"/>
        <w:spacing w:line="422" w:lineRule="auto" w:before="358"/>
        <w:ind w:left="1048" w:right="683" w:firstLine="480"/>
      </w:pPr>
      <w:r>
        <w:rPr>
          <w:spacing w:val="-2"/>
        </w:rPr>
        <w:t>觀察個案公司在照護科技領域的發展為核心，聚焦於其在外部市場壓力</w:t>
      </w:r>
      <w:r>
        <w:rPr>
          <w:spacing w:val="-17"/>
        </w:rPr>
        <w:t>與內部資源不足的挑戰下，如何通過資源調整與策略性行動進行應對。同時，</w:t>
      </w:r>
      <w:r>
        <w:rPr>
          <w:spacing w:val="-3"/>
        </w:rPr>
        <w:t>結合相關理論對觀察到的現象進行分析與解釋，並透過文獻回顧涵蓋智慧照</w:t>
      </w:r>
    </w:p>
    <w:p>
      <w:pPr>
        <w:pStyle w:val="BodyText"/>
        <w:spacing w:after="0" w:line="422" w:lineRule="auto"/>
        <w:sectPr>
          <w:pgSz w:w="11910" w:h="16840"/>
          <w:pgMar w:header="0" w:footer="1197" w:top="1780" w:bottom="1380" w:left="1133" w:right="1133"/>
        </w:sectPr>
      </w:pPr>
    </w:p>
    <w:p>
      <w:pPr>
        <w:pStyle w:val="BodyText"/>
        <w:spacing w:line="422" w:lineRule="auto" w:before="47"/>
        <w:ind w:left="1048" w:right="683"/>
        <w:jc w:val="left"/>
      </w:pPr>
      <w:r>
        <w:rPr>
          <w:spacing w:val="-4"/>
        </w:rPr>
        <w:t>護科技、</w:t>
      </w:r>
      <w:r>
        <w:rPr>
          <w:rFonts w:ascii="Times New Roman" w:eastAsia="Times New Roman"/>
          <w:spacing w:val="-4"/>
        </w:rPr>
        <w:t>SaaS</w:t>
      </w:r>
      <w:r>
        <w:rPr>
          <w:rFonts w:ascii="Times New Roman" w:eastAsia="Times New Roman"/>
          <w:spacing w:val="32"/>
        </w:rPr>
        <w:t> </w:t>
      </w:r>
      <w:r>
        <w:rPr>
          <w:spacing w:val="-4"/>
        </w:rPr>
        <w:t>組織策略、跨界管理、資源和諧及服務主導邏輯等領域，將實</w:t>
      </w:r>
      <w:r>
        <w:rPr>
          <w:spacing w:val="-2"/>
        </w:rPr>
        <w:t>際觀察結果與理論結合，進一步歸納並構建初步的研究框架。</w:t>
      </w:r>
    </w:p>
    <w:p>
      <w:pPr>
        <w:pStyle w:val="Heading4"/>
        <w:numPr>
          <w:ilvl w:val="2"/>
          <w:numId w:val="7"/>
        </w:numPr>
        <w:tabs>
          <w:tab w:pos="1408" w:val="left" w:leader="none"/>
        </w:tabs>
        <w:spacing w:line="240" w:lineRule="auto" w:before="98" w:after="0"/>
        <w:ind w:left="1408" w:right="0" w:hanging="273"/>
        <w:jc w:val="left"/>
        <w:rPr>
          <w:rFonts w:ascii="Times New Roman" w:eastAsia="Times New Roman"/>
        </w:rPr>
      </w:pPr>
      <w:r>
        <w:rPr>
          <w:spacing w:val="-2"/>
        </w:rPr>
        <w:t>發展研究議題</w:t>
      </w:r>
    </w:p>
    <w:p>
      <w:pPr>
        <w:pStyle w:val="BodyText"/>
        <w:spacing w:line="422" w:lineRule="auto" w:before="358"/>
        <w:ind w:left="1048" w:right="686" w:firstLine="480"/>
      </w:pPr>
      <w:r>
        <w:rPr>
          <w:spacing w:val="-2"/>
        </w:rPr>
        <w:t>基於研究主題的確認以及現象與理論的歸納分析，確立本研究的核心議</w:t>
      </w:r>
      <w:r>
        <w:rPr>
          <w:spacing w:val="-4"/>
        </w:rPr>
        <w:t>題，聚焦於「照護科技生態圈的跨界管理機制</w:t>
      </w:r>
      <w:r>
        <w:rPr>
          <w:spacing w:val="-17"/>
        </w:rPr>
        <w:t>」，以探索其在多元資源整合與</w:t>
      </w:r>
      <w:r>
        <w:rPr>
          <w:spacing w:val="-2"/>
        </w:rPr>
        <w:t>協作中的關鍵作用。</w:t>
      </w:r>
    </w:p>
    <w:p>
      <w:pPr>
        <w:pStyle w:val="Heading4"/>
        <w:numPr>
          <w:ilvl w:val="2"/>
          <w:numId w:val="7"/>
        </w:numPr>
        <w:tabs>
          <w:tab w:pos="1288" w:val="left" w:leader="none"/>
        </w:tabs>
        <w:spacing w:line="240" w:lineRule="auto" w:before="98" w:after="0"/>
        <w:ind w:left="1288" w:right="0" w:hanging="240"/>
        <w:jc w:val="left"/>
        <w:rPr>
          <w:rFonts w:ascii="Times New Roman" w:eastAsia="Times New Roman"/>
        </w:rPr>
      </w:pPr>
      <w:r>
        <w:rPr>
          <w:spacing w:val="-1"/>
        </w:rPr>
        <w:t>提出研究架構與觀察維度</w:t>
      </w:r>
    </w:p>
    <w:p>
      <w:pPr>
        <w:pStyle w:val="BodyText"/>
        <w:spacing w:line="422" w:lineRule="auto" w:before="357"/>
        <w:ind w:left="1048" w:right="686" w:firstLine="480"/>
        <w:jc w:val="left"/>
      </w:pPr>
      <w:r>
        <w:rPr>
          <w:spacing w:val="-2"/>
        </w:rPr>
        <w:t>圍繞分析單元以建構研究架構與觀察重點，從個案公司的核心策略與驅動因素切入，探討其資源組合、管理模式以及數位化實踐。</w:t>
      </w:r>
    </w:p>
    <w:p>
      <w:pPr>
        <w:pStyle w:val="Heading4"/>
        <w:numPr>
          <w:ilvl w:val="2"/>
          <w:numId w:val="7"/>
        </w:numPr>
        <w:tabs>
          <w:tab w:pos="1288" w:val="left" w:leader="none"/>
        </w:tabs>
        <w:spacing w:line="240" w:lineRule="auto" w:before="99" w:after="0"/>
        <w:ind w:left="1288" w:right="0" w:hanging="240"/>
        <w:jc w:val="left"/>
        <w:rPr>
          <w:rFonts w:ascii="Times New Roman" w:eastAsia="Times New Roman"/>
        </w:rPr>
      </w:pPr>
      <w:r>
        <w:rPr>
          <w:rFonts w:ascii="Times New Roman" w:eastAsia="Times New Roman"/>
        </w:rPr>
        <w:drawing>
          <wp:anchor distT="0" distB="0" distL="0" distR="0" allowOverlap="1" layoutInCell="1" locked="0" behindDoc="1" simplePos="0" relativeHeight="485780992">
            <wp:simplePos x="0" y="0"/>
            <wp:positionH relativeFrom="page">
              <wp:posOffset>3312414</wp:posOffset>
            </wp:positionH>
            <wp:positionV relativeFrom="paragraph">
              <wp:posOffset>136997</wp:posOffset>
            </wp:positionV>
            <wp:extent cx="929640" cy="978408"/>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個案訪談與資料收集</w:t>
      </w:r>
    </w:p>
    <w:p>
      <w:pPr>
        <w:pStyle w:val="BodyText"/>
        <w:spacing w:line="422" w:lineRule="auto" w:before="358"/>
        <w:ind w:left="1048" w:right="630" w:firstLine="480"/>
      </w:pPr>
      <w:r>
        <w:rPr>
          <w:spacing w:val="-2"/>
        </w:rPr>
        <w:t>根據研究議題、架構及觀察重點設計個案訪談，並持續進行資料蒐集、整理與分析。在訪談過程中，隨著新資料的獲取，適時調整研究架構，使其更符合個案實際情況，同時進一步強化與理論的連結與應用。</w:t>
      </w:r>
    </w:p>
    <w:p>
      <w:pPr>
        <w:pStyle w:val="Heading4"/>
        <w:numPr>
          <w:ilvl w:val="2"/>
          <w:numId w:val="7"/>
        </w:numPr>
        <w:tabs>
          <w:tab w:pos="1288" w:val="left" w:leader="none"/>
        </w:tabs>
        <w:spacing w:line="240" w:lineRule="auto" w:before="97" w:after="0"/>
        <w:ind w:left="1288" w:right="0" w:hanging="240"/>
        <w:jc w:val="left"/>
        <w:rPr>
          <w:rFonts w:ascii="Times New Roman" w:eastAsia="Times New Roman"/>
        </w:rPr>
      </w:pPr>
      <w:r>
        <w:rPr>
          <w:spacing w:val="-2"/>
        </w:rPr>
        <w:t>個案資料彙整與分析</w:t>
      </w:r>
    </w:p>
    <w:p>
      <w:pPr>
        <w:pStyle w:val="BodyText"/>
        <w:spacing w:line="422" w:lineRule="auto" w:before="358"/>
        <w:ind w:left="1048" w:right="626" w:firstLine="480"/>
        <w:jc w:val="left"/>
      </w:pPr>
      <w:r>
        <w:rPr>
          <w:spacing w:val="-2"/>
        </w:rPr>
        <w:t>將訪談資料、次級資料以及文獻回顧的內容進行整合，根據研究架構的</w:t>
      </w:r>
      <w:r>
        <w:rPr>
          <w:spacing w:val="-1"/>
        </w:rPr>
        <w:t>指引找到核心觀察重點，對資料進行系統性分析，以揭示研究問題的答案。</w:t>
      </w:r>
    </w:p>
    <w:p>
      <w:pPr>
        <w:pStyle w:val="Heading4"/>
        <w:numPr>
          <w:ilvl w:val="2"/>
          <w:numId w:val="7"/>
        </w:numPr>
        <w:tabs>
          <w:tab w:pos="1288" w:val="left" w:leader="none"/>
        </w:tabs>
        <w:spacing w:line="240" w:lineRule="auto" w:before="99" w:after="0"/>
        <w:ind w:left="1288" w:right="0" w:hanging="240"/>
        <w:jc w:val="left"/>
        <w:rPr>
          <w:rFonts w:ascii="Times New Roman" w:eastAsia="Times New Roman"/>
        </w:rPr>
      </w:pPr>
      <w:r>
        <w:rPr>
          <w:spacing w:val="-2"/>
        </w:rPr>
        <w:t>提出研究結論與建議</w:t>
      </w:r>
    </w:p>
    <w:p>
      <w:pPr>
        <w:pStyle w:val="BodyText"/>
        <w:spacing w:line="422" w:lineRule="auto" w:before="358"/>
        <w:ind w:left="1048" w:right="683" w:firstLine="480"/>
      </w:pPr>
      <w:r>
        <w:rPr>
          <w:spacing w:val="-2"/>
        </w:rPr>
        <w:t>針對核心研究問題進提供具體解答，系統化彙總研究成果，提出理論與實務層面的貢獻。同時，基於研究結果，對未來研究方向及業界應用提出具體建議，以進一步提升本研究在學術探討與實務操作中的價值與影響力。</w:t>
      </w:r>
    </w:p>
    <w:p>
      <w:pPr>
        <w:pStyle w:val="BodyText"/>
        <w:spacing w:after="0" w:line="422" w:lineRule="auto"/>
        <w:sectPr>
          <w:pgSz w:w="11910" w:h="16840"/>
          <w:pgMar w:header="0" w:footer="1197" w:top="1740" w:bottom="1380" w:left="1133" w:right="1133"/>
        </w:sectPr>
      </w:pPr>
    </w:p>
    <w:p>
      <w:pPr>
        <w:pStyle w:val="BodyText"/>
        <w:spacing w:line="422" w:lineRule="auto" w:before="27"/>
        <w:ind w:right="683" w:firstLine="479"/>
      </w:pPr>
      <w:r>
        <w:rPr/>
        <w:drawing>
          <wp:anchor distT="0" distB="0" distL="0" distR="0" allowOverlap="1" layoutInCell="1" locked="0" behindDoc="1" simplePos="0" relativeHeight="485782016">
            <wp:simplePos x="0" y="0"/>
            <wp:positionH relativeFrom="page">
              <wp:posOffset>3312414</wp:posOffset>
            </wp:positionH>
            <wp:positionV relativeFrom="paragraph">
              <wp:posOffset>3698747</wp:posOffset>
            </wp:positionV>
            <wp:extent cx="929640" cy="978408"/>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本研究採用系統化的研究流程，過程涵蓋背景資訊的蒐集、文獻回顧、理論</w:t>
      </w:r>
      <w:r>
        <w:rPr>
          <w:spacing w:val="-4"/>
        </w:rPr>
        <w:t>架構的發展以及個案訪談，最終通過個案分析得出研究結論，旨在全面探討照護</w:t>
      </w:r>
      <w:r>
        <w:rPr>
          <w:spacing w:val="-1"/>
        </w:rPr>
        <w:t>科技企業在資源調整與策略應用方面的成功經驗。研究流程圖如圖 </w:t>
      </w:r>
      <w:r>
        <w:rPr>
          <w:rFonts w:ascii="Times New Roman" w:eastAsia="Times New Roman"/>
        </w:rPr>
        <w:t>1-3</w:t>
      </w:r>
      <w:r>
        <w:rPr>
          <w:rFonts w:ascii="Times New Roman" w:eastAsia="Times New Roman"/>
          <w:spacing w:val="40"/>
        </w:rPr>
        <w:t> </w:t>
      </w:r>
      <w:r>
        <w:rPr/>
        <w:t>所示，</w:t>
      </w:r>
      <w:r>
        <w:rPr>
          <w:spacing w:val="-2"/>
        </w:rPr>
        <w:t>展示了研究各階段的設計與相互之間的關聯。</w:t>
      </w:r>
    </w:p>
    <w:p>
      <w:pPr>
        <w:pStyle w:val="BodyText"/>
        <w:spacing w:before="11"/>
        <w:ind w:left="0"/>
        <w:jc w:val="left"/>
        <w:rPr>
          <w:sz w:val="3"/>
        </w:rPr>
      </w:pPr>
      <w:r>
        <w:rPr>
          <w:sz w:val="3"/>
        </w:rPr>
        <w:drawing>
          <wp:anchor distT="0" distB="0" distL="0" distR="0" allowOverlap="1" layoutInCell="1" locked="0" behindDoc="1" simplePos="0" relativeHeight="487598592">
            <wp:simplePos x="0" y="0"/>
            <wp:positionH relativeFrom="page">
              <wp:posOffset>2110485</wp:posOffset>
            </wp:positionH>
            <wp:positionV relativeFrom="paragraph">
              <wp:posOffset>46863</wp:posOffset>
            </wp:positionV>
            <wp:extent cx="3671154" cy="6120765"/>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4" cstate="print"/>
                    <a:stretch>
                      <a:fillRect/>
                    </a:stretch>
                  </pic:blipFill>
                  <pic:spPr>
                    <a:xfrm>
                      <a:off x="0" y="0"/>
                      <a:ext cx="3671154" cy="6120765"/>
                    </a:xfrm>
                    <a:prstGeom prst="rect">
                      <a:avLst/>
                    </a:prstGeom>
                  </pic:spPr>
                </pic:pic>
              </a:graphicData>
            </a:graphic>
          </wp:anchor>
        </w:drawing>
      </w:r>
    </w:p>
    <w:p>
      <w:pPr>
        <w:spacing w:line="396" w:lineRule="auto" w:before="140"/>
        <w:ind w:left="3859" w:right="3378" w:firstLine="2"/>
        <w:jc w:val="center"/>
        <w:rPr>
          <w:sz w:val="24"/>
        </w:rPr>
      </w:pPr>
      <w:bookmarkStart w:name="_bookmark9" w:id="10"/>
      <w:bookmarkEnd w:id="10"/>
      <w:r>
        <w:rPr/>
      </w:r>
      <w:r>
        <w:rPr>
          <w:rFonts w:ascii="Microsoft JhengHei" w:eastAsia="Microsoft JhengHei"/>
          <w:b/>
          <w:spacing w:val="40"/>
          <w:sz w:val="24"/>
        </w:rPr>
        <w:t>圖 </w:t>
      </w:r>
      <w:r>
        <w:rPr>
          <w:rFonts w:ascii="Times New Roman" w:eastAsia="Times New Roman"/>
          <w:b/>
          <w:sz w:val="24"/>
        </w:rPr>
        <w:t>1.3-1</w:t>
      </w:r>
      <w:r>
        <w:rPr>
          <w:rFonts w:ascii="Times New Roman" w:eastAsia="Times New Roman"/>
          <w:b/>
          <w:spacing w:val="80"/>
          <w:sz w:val="24"/>
        </w:rPr>
        <w:t> </w:t>
      </w:r>
      <w:r>
        <w:rPr>
          <w:rFonts w:ascii="Microsoft JhengHei" w:eastAsia="Microsoft JhengHei"/>
          <w:b/>
          <w:sz w:val="24"/>
        </w:rPr>
        <w:t>研究流程圖</w:t>
      </w:r>
      <w:r>
        <w:rPr>
          <w:spacing w:val="-1"/>
          <w:sz w:val="24"/>
        </w:rPr>
        <w:t>資料來源：本研究整理</w:t>
      </w:r>
    </w:p>
    <w:p>
      <w:pPr>
        <w:spacing w:after="0" w:line="396" w:lineRule="auto"/>
        <w:jc w:val="center"/>
        <w:rPr>
          <w:sz w:val="24"/>
        </w:rPr>
        <w:sectPr>
          <w:pgSz w:w="11910" w:h="16840"/>
          <w:pgMar w:header="0" w:footer="1197" w:top="1760" w:bottom="1380" w:left="1133" w:right="1133"/>
        </w:sectPr>
      </w:pPr>
    </w:p>
    <w:p>
      <w:pPr>
        <w:pStyle w:val="Heading2"/>
        <w:numPr>
          <w:ilvl w:val="1"/>
          <w:numId w:val="7"/>
        </w:numPr>
        <w:tabs>
          <w:tab w:pos="1047" w:val="left" w:leader="none"/>
        </w:tabs>
        <w:spacing w:line="522" w:lineRule="exact" w:before="0" w:after="0"/>
        <w:ind w:left="1047" w:right="0" w:hanging="478"/>
        <w:jc w:val="left"/>
      </w:pPr>
      <w:bookmarkStart w:name="_bookmark10" w:id="11"/>
      <w:bookmarkEnd w:id="11"/>
      <w:r>
        <w:rPr>
          <w:b w:val="0"/>
        </w:rPr>
      </w:r>
      <w:r>
        <w:rPr>
          <w:spacing w:val="-4"/>
        </w:rPr>
        <w:t>論文架構</w:t>
      </w:r>
    </w:p>
    <w:p>
      <w:pPr>
        <w:spacing w:line="720" w:lineRule="exact" w:before="48"/>
        <w:ind w:left="689" w:right="4149" w:firstLine="479"/>
        <w:jc w:val="left"/>
        <w:rPr>
          <w:rFonts w:ascii="Microsoft JhengHei" w:eastAsia="Microsoft JhengHei"/>
          <w:b/>
          <w:sz w:val="24"/>
        </w:rPr>
      </w:pPr>
      <w:r>
        <w:rPr>
          <w:spacing w:val="-2"/>
          <w:sz w:val="24"/>
        </w:rPr>
        <w:t>本研究共分為六個章節，分別說明如下：</w:t>
      </w:r>
      <w:r>
        <w:rPr>
          <w:rFonts w:ascii="Microsoft JhengHei" w:eastAsia="Microsoft JhengHei"/>
          <w:b/>
          <w:spacing w:val="-2"/>
          <w:sz w:val="24"/>
        </w:rPr>
        <w:t>第一章、緒論</w:t>
      </w:r>
    </w:p>
    <w:p>
      <w:pPr>
        <w:pStyle w:val="BodyText"/>
        <w:spacing w:line="720" w:lineRule="exact"/>
        <w:ind w:right="470" w:firstLine="479"/>
        <w:jc w:val="left"/>
        <w:rPr>
          <w:rFonts w:ascii="Microsoft JhengHei" w:eastAsia="Microsoft JhengHei"/>
          <w:b/>
        </w:rPr>
      </w:pPr>
      <w:r>
        <w:rPr>
          <w:spacing w:val="-6"/>
        </w:rPr>
        <w:t>本章介紹研究背景，進一步提出研究的動機與目的，並基於此說明研究問題。</w:t>
      </w:r>
      <w:r>
        <w:rPr>
          <w:rFonts w:ascii="Microsoft JhengHei" w:eastAsia="Microsoft JhengHei"/>
          <w:b/>
          <w:spacing w:val="-2"/>
        </w:rPr>
        <w:t>第二章、文獻探討</w:t>
      </w:r>
    </w:p>
    <w:p>
      <w:pPr>
        <w:pStyle w:val="BodyText"/>
        <w:spacing w:line="422" w:lineRule="auto" w:before="337"/>
        <w:ind w:right="682" w:firstLine="479"/>
        <w:jc w:val="left"/>
      </w:pPr>
      <w:r>
        <w:rPr>
          <w:spacing w:val="-6"/>
        </w:rPr>
        <w:t>本章彙整智慧照顧科技、資源和諧理論與跨界管理等相關研究文獻，並在探</w:t>
      </w:r>
      <w:r>
        <w:rPr>
          <w:spacing w:val="-2"/>
        </w:rPr>
        <w:t>討過程中推導出本研究的理論架構。</w:t>
      </w:r>
    </w:p>
    <w:p>
      <w:pPr>
        <w:pStyle w:val="Heading4"/>
        <w:spacing w:before="98"/>
        <w:ind w:left="689"/>
      </w:pPr>
      <w:r>
        <w:rPr>
          <w:spacing w:val="-2"/>
        </w:rPr>
        <w:t>第三章、研究方法</w:t>
      </w:r>
    </w:p>
    <w:p>
      <w:pPr>
        <w:pStyle w:val="BodyText"/>
        <w:spacing w:line="422" w:lineRule="auto" w:before="358"/>
        <w:ind w:right="682" w:firstLine="479"/>
        <w:jc w:val="left"/>
      </w:pPr>
      <w:r>
        <w:rPr/>
        <w:drawing>
          <wp:anchor distT="0" distB="0" distL="0" distR="0" allowOverlap="1" layoutInCell="1" locked="0" behindDoc="1" simplePos="0" relativeHeight="485782528">
            <wp:simplePos x="0" y="0"/>
            <wp:positionH relativeFrom="page">
              <wp:posOffset>3312414</wp:posOffset>
            </wp:positionH>
            <wp:positionV relativeFrom="paragraph">
              <wp:posOffset>251243</wp:posOffset>
            </wp:positionV>
            <wp:extent cx="929640" cy="978408"/>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本章介紹本研究採用的個案研究法，主要採用單一個案的單一分析單元，並</w:t>
      </w:r>
      <w:r>
        <w:rPr>
          <w:spacing w:val="-7"/>
        </w:rPr>
        <w:t>詳細說明研究設計、流程與架構、個案研究的資料收集方法與訪談數據的來源。</w:t>
      </w:r>
    </w:p>
    <w:p>
      <w:pPr>
        <w:pStyle w:val="Heading4"/>
        <w:spacing w:before="99"/>
        <w:ind w:left="689"/>
      </w:pPr>
      <w:r>
        <w:rPr>
          <w:spacing w:val="-2"/>
        </w:rPr>
        <w:t>第四章、個案介紹</w:t>
      </w:r>
    </w:p>
    <w:p>
      <w:pPr>
        <w:spacing w:line="720" w:lineRule="exact" w:before="22"/>
        <w:ind w:left="689" w:right="1027" w:firstLine="479"/>
        <w:jc w:val="left"/>
        <w:rPr>
          <w:rFonts w:ascii="Microsoft JhengHei" w:eastAsia="Microsoft JhengHei"/>
          <w:b/>
          <w:sz w:val="24"/>
        </w:rPr>
      </w:pPr>
      <w:r>
        <w:rPr>
          <w:spacing w:val="-2"/>
          <w:sz w:val="24"/>
        </w:rPr>
        <w:t>本章先概述我國照護產業現況，並介紹研究個案及其公司發展的歷程。</w:t>
      </w:r>
      <w:r>
        <w:rPr>
          <w:rFonts w:ascii="Microsoft JhengHei" w:eastAsia="Microsoft JhengHei"/>
          <w:b/>
          <w:spacing w:val="-2"/>
          <w:sz w:val="24"/>
        </w:rPr>
        <w:t>第五章、個案分析</w:t>
      </w:r>
    </w:p>
    <w:p>
      <w:pPr>
        <w:pStyle w:val="BodyText"/>
        <w:spacing w:line="422" w:lineRule="auto" w:before="336"/>
        <w:ind w:right="683" w:firstLine="479"/>
      </w:pPr>
      <w:r>
        <w:rPr>
          <w:spacing w:val="-6"/>
        </w:rPr>
        <w:t>本章彙整訪談資料及外部蒐集的相關資料，針對個案觀察的重點現象，透過</w:t>
      </w:r>
      <w:r>
        <w:rPr>
          <w:spacing w:val="-4"/>
        </w:rPr>
        <w:t>理論視角以結構化的方式進行具體分析，進而得出分析結果，包括對個案的階段</w:t>
      </w:r>
      <w:r>
        <w:rPr>
          <w:spacing w:val="-2"/>
        </w:rPr>
        <w:t>性分析，以及跨階段的比較。</w:t>
      </w:r>
    </w:p>
    <w:p>
      <w:pPr>
        <w:pStyle w:val="Heading4"/>
        <w:spacing w:before="97"/>
        <w:ind w:left="689"/>
      </w:pPr>
      <w:r>
        <w:rPr>
          <w:spacing w:val="-1"/>
        </w:rPr>
        <w:t>第六章、研究結論與建議</w:t>
      </w:r>
    </w:p>
    <w:p>
      <w:pPr>
        <w:pStyle w:val="BodyText"/>
        <w:spacing w:line="422" w:lineRule="auto" w:before="358"/>
        <w:ind w:right="470" w:firstLine="479"/>
        <w:jc w:val="left"/>
      </w:pPr>
      <w:r>
        <w:rPr>
          <w:spacing w:val="-6"/>
        </w:rPr>
        <w:t>本章總結研究結論，結合產業現況提出具體建議，並闡述研究的貢獻與限制，</w:t>
      </w:r>
      <w:r>
        <w:rPr>
          <w:spacing w:val="-2"/>
        </w:rPr>
        <w:t>最後提供未來研究方向，作為後續研究的參考依據。</w:t>
      </w:r>
    </w:p>
    <w:p>
      <w:pPr>
        <w:pStyle w:val="BodyText"/>
        <w:spacing w:after="0" w:line="422" w:lineRule="auto"/>
        <w:jc w:val="left"/>
        <w:sectPr>
          <w:pgSz w:w="11910" w:h="16840"/>
          <w:pgMar w:header="0" w:footer="1197" w:top="1780" w:bottom="1380" w:left="1133" w:right="1133"/>
        </w:sectPr>
      </w:pPr>
    </w:p>
    <w:p>
      <w:pPr>
        <w:pStyle w:val="Heading1"/>
        <w:ind w:left="3320" w:right="0"/>
        <w:jc w:val="left"/>
      </w:pPr>
      <w:bookmarkStart w:name="_bookmark11" w:id="12"/>
      <w:bookmarkEnd w:id="12"/>
      <w:r>
        <w:rPr>
          <w:b w:val="0"/>
        </w:rPr>
      </w:r>
      <w:r>
        <w:rPr>
          <w:spacing w:val="-2"/>
        </w:rPr>
        <w:t>第二章、文獻探討</w:t>
      </w:r>
    </w:p>
    <w:p>
      <w:pPr>
        <w:pStyle w:val="BodyText"/>
        <w:spacing w:line="422" w:lineRule="auto" w:before="349"/>
        <w:ind w:left="569" w:right="683" w:firstLine="479"/>
      </w:pPr>
      <w:r>
        <w:rPr>
          <w:spacing w:val="-2"/>
        </w:rPr>
        <w:t>為了深入了解本研究所探討的現象，本章進行了理論文獻的梳理，並結合當前社會的實際情境進行分析。研究主題涵蓋以下幾個重要領域：智慧健康照護科技、組織策略、跨界管理、資源整合與和諧，以及服務生態系統。</w:t>
      </w:r>
    </w:p>
    <w:p>
      <w:pPr>
        <w:pStyle w:val="Heading2"/>
        <w:numPr>
          <w:ilvl w:val="1"/>
          <w:numId w:val="9"/>
        </w:numPr>
        <w:tabs>
          <w:tab w:pos="1047" w:val="left" w:leader="none"/>
        </w:tabs>
        <w:spacing w:line="240" w:lineRule="auto" w:before="104" w:after="0"/>
        <w:ind w:left="1047" w:right="0" w:hanging="478"/>
        <w:jc w:val="left"/>
      </w:pPr>
      <w:bookmarkStart w:name="_bookmark12" w:id="13"/>
      <w:bookmarkEnd w:id="13"/>
      <w:r>
        <w:rPr>
          <w:rFonts w:ascii="Times New Roman" w:eastAsia="Times New Roman"/>
          <w:spacing w:val="-1"/>
        </w:rPr>
      </w:r>
      <w:r>
        <w:rPr>
          <w:spacing w:val="-2"/>
        </w:rPr>
        <w:t>智慧照護科技（</w:t>
      </w:r>
      <w:r>
        <w:rPr>
          <w:rFonts w:ascii="Times New Roman" w:eastAsia="Times New Roman"/>
          <w:spacing w:val="-2"/>
        </w:rPr>
        <w:t>Smart Healthcare</w:t>
      </w:r>
      <w:r>
        <w:rPr>
          <w:rFonts w:ascii="Times New Roman" w:eastAsia="Times New Roman"/>
          <w:spacing w:val="-4"/>
        </w:rPr>
        <w:t> </w:t>
      </w:r>
      <w:r>
        <w:rPr>
          <w:rFonts w:ascii="Times New Roman" w:eastAsia="Times New Roman"/>
          <w:spacing w:val="-2"/>
        </w:rPr>
        <w:t>Technology</w:t>
      </w:r>
      <w:r>
        <w:rPr>
          <w:spacing w:val="-2"/>
        </w:rPr>
        <w:t>）</w:t>
      </w:r>
    </w:p>
    <w:p>
      <w:pPr>
        <w:pStyle w:val="BodyText"/>
        <w:spacing w:line="422" w:lineRule="auto" w:before="313"/>
        <w:ind w:right="683" w:firstLine="479"/>
      </w:pPr>
      <w:r>
        <w:rPr/>
        <w:drawing>
          <wp:anchor distT="0" distB="0" distL="0" distR="0" allowOverlap="1" layoutInCell="1" locked="0" behindDoc="1" simplePos="0" relativeHeight="485783040">
            <wp:simplePos x="0" y="0"/>
            <wp:positionH relativeFrom="page">
              <wp:posOffset>3312414</wp:posOffset>
            </wp:positionH>
            <wp:positionV relativeFrom="paragraph">
              <wp:posOffset>1639949</wp:posOffset>
            </wp:positionV>
            <wp:extent cx="929640" cy="978408"/>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隨著全球人口老化與醫療需求多元化的趨勢，智慧醫療成為現代健康照護</w:t>
      </w:r>
      <w:r>
        <w:rPr>
          <w:spacing w:val="-9"/>
        </w:rPr>
        <w:t>體系轉型的核心方向。根據世界衛生組織</w:t>
      </w:r>
      <w:r>
        <w:rPr>
          <w:spacing w:val="-6"/>
        </w:rPr>
        <w:t>（</w:t>
      </w:r>
      <w:r>
        <w:rPr>
          <w:rFonts w:ascii="Times New Roman" w:eastAsia="Times New Roman"/>
          <w:spacing w:val="-6"/>
        </w:rPr>
        <w:t>WHO</w:t>
      </w:r>
      <w:r>
        <w:rPr>
          <w:spacing w:val="-6"/>
        </w:rPr>
        <w:t>）的定義，智慧醫療（</w:t>
      </w:r>
      <w:r>
        <w:rPr>
          <w:rFonts w:ascii="Times New Roman" w:eastAsia="Times New Roman"/>
          <w:spacing w:val="-6"/>
        </w:rPr>
        <w:t>eHealth</w:t>
      </w:r>
      <w:r>
        <w:rPr>
          <w:spacing w:val="-6"/>
        </w:rPr>
        <w:t>）</w:t>
      </w:r>
      <w:r>
        <w:rPr>
          <w:spacing w:val="-4"/>
        </w:rPr>
        <w:t>涵蓋醫療照護、疾病管理、公共衛生監測、教育和研究等多個方面。將資訊通信</w:t>
      </w:r>
      <w:r>
        <w:rPr>
          <w:spacing w:val="-38"/>
        </w:rPr>
        <w:t>技術</w:t>
      </w:r>
      <w:r>
        <w:rPr>
          <w:spacing w:val="17"/>
        </w:rPr>
        <w:t>（</w:t>
      </w:r>
      <w:r>
        <w:rPr>
          <w:rFonts w:ascii="Times New Roman" w:eastAsia="Times New Roman"/>
          <w:spacing w:val="18"/>
        </w:rPr>
        <w:t>IC</w:t>
      </w:r>
      <w:r>
        <w:rPr>
          <w:rFonts w:ascii="Times New Roman" w:eastAsia="Times New Roman"/>
          <w:spacing w:val="17"/>
        </w:rPr>
        <w:t>T</w:t>
      </w:r>
      <w:r>
        <w:rPr>
          <w:spacing w:val="-134"/>
        </w:rPr>
        <w:t>）</w:t>
      </w:r>
      <w:r>
        <w:rPr>
          <w:spacing w:val="-22"/>
        </w:rPr>
        <w:t>、人工智慧</w:t>
      </w:r>
      <w:r>
        <w:rPr>
          <w:spacing w:val="26"/>
        </w:rPr>
        <w:t>（</w:t>
      </w:r>
      <w:r>
        <w:rPr>
          <w:rFonts w:ascii="Times New Roman" w:eastAsia="Times New Roman"/>
          <w:spacing w:val="25"/>
        </w:rPr>
        <w:t>AI</w:t>
      </w:r>
      <w:r>
        <w:rPr>
          <w:spacing w:val="-126"/>
        </w:rPr>
        <w:t>）</w:t>
      </w:r>
      <w:r>
        <w:rPr>
          <w:spacing w:val="-25"/>
        </w:rPr>
        <w:t>、物聯網</w:t>
      </w:r>
      <w:r>
        <w:rPr>
          <w:spacing w:val="-12"/>
        </w:rPr>
        <w:t>（</w:t>
      </w:r>
      <w:r>
        <w:rPr>
          <w:rFonts w:ascii="Times New Roman" w:eastAsia="Times New Roman"/>
          <w:spacing w:val="-12"/>
        </w:rPr>
        <w:t>IoT</w:t>
      </w:r>
      <w:r>
        <w:rPr>
          <w:spacing w:val="-12"/>
        </w:rPr>
        <w:t>）等先進科技應用於醫療與健康領域，</w:t>
      </w:r>
      <w:r>
        <w:rPr>
          <w:spacing w:val="-2"/>
        </w:rPr>
        <w:t>以提升醫療服務的效率、品質和個人化程度。</w:t>
      </w:r>
    </w:p>
    <w:p>
      <w:pPr>
        <w:pStyle w:val="BodyText"/>
        <w:spacing w:line="422" w:lineRule="auto" w:before="102"/>
        <w:ind w:right="686" w:firstLine="479"/>
      </w:pPr>
      <w:r>
        <w:rPr>
          <w:spacing w:val="-6"/>
        </w:rPr>
        <w:t>智慧照護科技是智慧醫療的延伸，涵蓋長期照護、生活照顧等領域。其核心在於透過科技手段，提供全方位、連續性的健康管理服務，滿足個體在不同生命</w:t>
      </w:r>
      <w:r>
        <w:rPr>
          <w:spacing w:val="-2"/>
        </w:rPr>
        <w:t>階段的健康需求。以下為其主要應用場景之詳細介紹：</w:t>
      </w:r>
    </w:p>
    <w:p>
      <w:pPr>
        <w:pStyle w:val="Heading4"/>
        <w:spacing w:before="25"/>
        <w:ind w:left="3370"/>
      </w:pPr>
      <w:bookmarkStart w:name="_bookmark13" w:id="14"/>
      <w:bookmarkEnd w:id="14"/>
      <w:r>
        <w:rPr>
          <w:b w:val="0"/>
        </w:rPr>
      </w:r>
      <w:r>
        <w:rPr>
          <w:spacing w:val="30"/>
        </w:rPr>
        <w:t>表 </w:t>
      </w:r>
      <w:r>
        <w:rPr>
          <w:rFonts w:ascii="Times New Roman" w:eastAsia="Times New Roman"/>
        </w:rPr>
        <w:t>2.1-1</w:t>
      </w:r>
      <w:r>
        <w:rPr>
          <w:rFonts w:ascii="Times New Roman" w:eastAsia="Times New Roman"/>
          <w:spacing w:val="60"/>
        </w:rPr>
        <w:t> </w:t>
      </w:r>
      <w:r>
        <w:rPr>
          <w:spacing w:val="-1"/>
        </w:rPr>
        <w:t>智慧照護科技應用場景</w:t>
      </w:r>
    </w:p>
    <w:p>
      <w:pPr>
        <w:pStyle w:val="BodyText"/>
        <w:spacing w:before="17" w:after="1"/>
        <w:ind w:left="0"/>
        <w:jc w:val="left"/>
        <w:rPr>
          <w:rFonts w:ascii="Microsoft JhengHei"/>
          <w:b/>
          <w:sz w:val="9"/>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6940"/>
      </w:tblGrid>
      <w:tr>
        <w:trPr>
          <w:trHeight w:val="628" w:hRule="atLeast"/>
        </w:trPr>
        <w:tc>
          <w:tcPr>
            <w:tcW w:w="1555" w:type="dxa"/>
            <w:shd w:val="clear" w:color="auto" w:fill="E7E6E6"/>
          </w:tcPr>
          <w:p>
            <w:pPr>
              <w:pStyle w:val="TableParagraph"/>
              <w:spacing w:before="146"/>
              <w:ind w:left="227"/>
              <w:rPr>
                <w:sz w:val="24"/>
              </w:rPr>
            </w:pPr>
            <w:r>
              <w:rPr>
                <w:spacing w:val="-3"/>
                <w:sz w:val="24"/>
              </w:rPr>
              <w:t>應用場景</w:t>
            </w:r>
          </w:p>
        </w:tc>
        <w:tc>
          <w:tcPr>
            <w:tcW w:w="6940" w:type="dxa"/>
            <w:shd w:val="clear" w:color="auto" w:fill="E7E6E6"/>
          </w:tcPr>
          <w:p>
            <w:pPr>
              <w:pStyle w:val="TableParagraph"/>
              <w:spacing w:before="146"/>
              <w:ind w:left="227"/>
              <w:rPr>
                <w:sz w:val="24"/>
              </w:rPr>
            </w:pPr>
            <w:r>
              <w:rPr>
                <w:spacing w:val="-5"/>
                <w:sz w:val="24"/>
              </w:rPr>
              <w:t>描述</w:t>
            </w:r>
          </w:p>
        </w:tc>
      </w:tr>
      <w:tr>
        <w:trPr>
          <w:trHeight w:val="630" w:hRule="atLeast"/>
        </w:trPr>
        <w:tc>
          <w:tcPr>
            <w:tcW w:w="1555" w:type="dxa"/>
          </w:tcPr>
          <w:p>
            <w:pPr>
              <w:pStyle w:val="TableParagraph"/>
              <w:spacing w:before="148"/>
              <w:ind w:left="227"/>
              <w:rPr>
                <w:sz w:val="24"/>
              </w:rPr>
            </w:pPr>
            <w:r>
              <w:rPr>
                <w:spacing w:val="-3"/>
                <w:sz w:val="24"/>
              </w:rPr>
              <w:t>遠距醫療</w:t>
            </w:r>
          </w:p>
        </w:tc>
        <w:tc>
          <w:tcPr>
            <w:tcW w:w="6940" w:type="dxa"/>
          </w:tcPr>
          <w:p>
            <w:pPr>
              <w:pStyle w:val="TableParagraph"/>
              <w:spacing w:before="148"/>
              <w:ind w:left="227"/>
              <w:rPr>
                <w:sz w:val="24"/>
              </w:rPr>
            </w:pPr>
            <w:r>
              <w:rPr>
                <w:spacing w:val="-1"/>
                <w:sz w:val="24"/>
              </w:rPr>
              <w:t>透過網路技術，提升醫療資源的可及性，特別是在偏鄉地區。</w:t>
            </w:r>
          </w:p>
        </w:tc>
      </w:tr>
      <w:tr>
        <w:trPr>
          <w:trHeight w:val="630" w:hRule="atLeast"/>
        </w:trPr>
        <w:tc>
          <w:tcPr>
            <w:tcW w:w="1555" w:type="dxa"/>
          </w:tcPr>
          <w:p>
            <w:pPr>
              <w:pStyle w:val="TableParagraph"/>
              <w:spacing w:before="146"/>
              <w:ind w:left="227"/>
              <w:rPr>
                <w:sz w:val="24"/>
              </w:rPr>
            </w:pPr>
            <w:r>
              <w:rPr>
                <w:spacing w:val="-3"/>
                <w:sz w:val="24"/>
              </w:rPr>
              <w:t>健康監測</w:t>
            </w:r>
          </w:p>
        </w:tc>
        <w:tc>
          <w:tcPr>
            <w:tcW w:w="6940" w:type="dxa"/>
          </w:tcPr>
          <w:p>
            <w:pPr>
              <w:pStyle w:val="TableParagraph"/>
              <w:spacing w:before="146"/>
              <w:ind w:left="227"/>
              <w:rPr>
                <w:sz w:val="24"/>
              </w:rPr>
            </w:pPr>
            <w:r>
              <w:rPr>
                <w:spacing w:val="-1"/>
                <w:sz w:val="24"/>
              </w:rPr>
              <w:t>利用可穿戴設備和感測器，監測個人體徵，提供個性化方案。</w:t>
            </w:r>
          </w:p>
        </w:tc>
      </w:tr>
      <w:tr>
        <w:trPr>
          <w:trHeight w:val="628" w:hRule="atLeast"/>
        </w:trPr>
        <w:tc>
          <w:tcPr>
            <w:tcW w:w="1555" w:type="dxa"/>
          </w:tcPr>
          <w:p>
            <w:pPr>
              <w:pStyle w:val="TableParagraph"/>
              <w:spacing w:before="146"/>
              <w:ind w:left="227"/>
              <w:rPr>
                <w:sz w:val="24"/>
              </w:rPr>
            </w:pPr>
            <w:r>
              <w:rPr>
                <w:spacing w:val="-3"/>
                <w:sz w:val="24"/>
              </w:rPr>
              <w:t>智慧輔具</w:t>
            </w:r>
          </w:p>
        </w:tc>
        <w:tc>
          <w:tcPr>
            <w:tcW w:w="6940" w:type="dxa"/>
          </w:tcPr>
          <w:p>
            <w:pPr>
              <w:pStyle w:val="TableParagraph"/>
              <w:spacing w:before="146"/>
              <w:ind w:left="227"/>
              <w:rPr>
                <w:sz w:val="24"/>
              </w:rPr>
            </w:pPr>
            <w:r>
              <w:rPr>
                <w:spacing w:val="-1"/>
                <w:sz w:val="24"/>
              </w:rPr>
              <w:t>開發智慧輔具，協助行動不便者提升生活品質。</w:t>
            </w:r>
          </w:p>
        </w:tc>
      </w:tr>
      <w:tr>
        <w:trPr>
          <w:trHeight w:val="630" w:hRule="atLeast"/>
        </w:trPr>
        <w:tc>
          <w:tcPr>
            <w:tcW w:w="1555" w:type="dxa"/>
          </w:tcPr>
          <w:p>
            <w:pPr>
              <w:pStyle w:val="TableParagraph"/>
              <w:spacing w:before="148"/>
              <w:ind w:left="227"/>
              <w:rPr>
                <w:sz w:val="24"/>
              </w:rPr>
            </w:pPr>
            <w:r>
              <w:rPr>
                <w:spacing w:val="-3"/>
                <w:sz w:val="24"/>
              </w:rPr>
              <w:t>環境監測</w:t>
            </w:r>
          </w:p>
        </w:tc>
        <w:tc>
          <w:tcPr>
            <w:tcW w:w="6940" w:type="dxa"/>
          </w:tcPr>
          <w:p>
            <w:pPr>
              <w:pStyle w:val="TableParagraph"/>
              <w:spacing w:before="148"/>
              <w:ind w:left="227"/>
              <w:rPr>
                <w:sz w:val="24"/>
              </w:rPr>
            </w:pPr>
            <w:r>
              <w:rPr>
                <w:spacing w:val="-1"/>
                <w:sz w:val="24"/>
              </w:rPr>
              <w:t>透過環境感測器，監控居家或機構環境的安全。</w:t>
            </w:r>
          </w:p>
        </w:tc>
      </w:tr>
    </w:tbl>
    <w:p>
      <w:pPr>
        <w:pStyle w:val="BodyText"/>
        <w:spacing w:before="214"/>
        <w:ind w:left="597" w:right="118"/>
        <w:jc w:val="center"/>
      </w:pPr>
      <w:r>
        <w:rPr>
          <w:spacing w:val="-1"/>
        </w:rPr>
        <w:t>資料來源：本研究整理</w:t>
      </w:r>
    </w:p>
    <w:p>
      <w:pPr>
        <w:pStyle w:val="BodyText"/>
        <w:spacing w:after="0"/>
        <w:jc w:val="center"/>
        <w:sectPr>
          <w:pgSz w:w="11910" w:h="16840"/>
          <w:pgMar w:header="0" w:footer="1197" w:top="1780" w:bottom="1380" w:left="1133" w:right="1133"/>
        </w:sectPr>
      </w:pPr>
    </w:p>
    <w:p>
      <w:pPr>
        <w:pStyle w:val="Heading2"/>
        <w:numPr>
          <w:ilvl w:val="1"/>
          <w:numId w:val="9"/>
        </w:numPr>
        <w:tabs>
          <w:tab w:pos="1047" w:val="left" w:leader="none"/>
        </w:tabs>
        <w:spacing w:line="522" w:lineRule="exact" w:before="0" w:after="0"/>
        <w:ind w:left="1047" w:right="0" w:hanging="478"/>
        <w:jc w:val="left"/>
      </w:pPr>
      <w:bookmarkStart w:name="_bookmark14" w:id="15"/>
      <w:bookmarkEnd w:id="15"/>
      <w:r>
        <w:rPr>
          <w:b w:val="0"/>
        </w:rPr>
      </w:r>
      <w:r>
        <w:rPr>
          <w:spacing w:val="-5"/>
        </w:rPr>
        <w:t>智慧照護產業環境與政策發展</w:t>
      </w:r>
    </w:p>
    <w:p>
      <w:pPr>
        <w:pStyle w:val="BodyText"/>
        <w:spacing w:line="540" w:lineRule="exact" w:before="120"/>
        <w:ind w:right="626" w:firstLine="479"/>
      </w:pPr>
      <w:r>
        <w:rPr>
          <w:spacing w:val="-4"/>
        </w:rPr>
        <w:t>智慧長照市場的發展受到三大主要因素的驅動：</w:t>
      </w:r>
      <w:r>
        <w:rPr>
          <w:rFonts w:ascii="Microsoft JhengHei" w:eastAsia="Microsoft JhengHei"/>
          <w:b/>
          <w:spacing w:val="-4"/>
        </w:rPr>
        <w:t>政策支持、技術進步及高齡化社會的需求增長。</w:t>
      </w:r>
      <w:r>
        <w:rPr>
          <w:spacing w:val="-6"/>
        </w:rPr>
        <w:t>首先，在政策層面，政府自 </w:t>
      </w:r>
      <w:r>
        <w:rPr>
          <w:rFonts w:ascii="Times New Roman" w:eastAsia="Times New Roman"/>
          <w:spacing w:val="-4"/>
        </w:rPr>
        <w:t>2017</w:t>
      </w:r>
      <w:r>
        <w:rPr>
          <w:rFonts w:ascii="Times New Roman" w:eastAsia="Times New Roman"/>
          <w:spacing w:val="-11"/>
        </w:rPr>
        <w:t> </w:t>
      </w:r>
      <w:r>
        <w:rPr>
          <w:spacing w:val="-8"/>
        </w:rPr>
        <w:t>年推動「長照 </w:t>
      </w:r>
      <w:r>
        <w:rPr>
          <w:rFonts w:ascii="Times New Roman" w:eastAsia="Times New Roman"/>
          <w:spacing w:val="-4"/>
        </w:rPr>
        <w:t>2.0</w:t>
      </w:r>
      <w:r>
        <w:rPr>
          <w:spacing w:val="-4"/>
        </w:rPr>
        <w:t>」計畫以來，強調多元且連續的社區及家庭照護服務，目標在於解決高齡化社會的基本照</w:t>
      </w:r>
      <w:r>
        <w:rPr>
          <w:spacing w:val="-5"/>
        </w:rPr>
        <w:t>護需求。而 </w:t>
      </w:r>
      <w:r>
        <w:rPr>
          <w:rFonts w:ascii="Times New Roman" w:eastAsia="Times New Roman"/>
        </w:rPr>
        <w:t>2023</w:t>
      </w:r>
      <w:r>
        <w:rPr>
          <w:rFonts w:ascii="Times New Roman" w:eastAsia="Times New Roman"/>
          <w:spacing w:val="-15"/>
        </w:rPr>
        <w:t> </w:t>
      </w:r>
      <w:r>
        <w:rPr/>
        <w:t>年推出的「高齡科技產業行動計畫」更進一步結合科技手段，</w:t>
      </w:r>
      <w:r>
        <w:rPr>
          <w:spacing w:val="-4"/>
        </w:rPr>
        <w:t>提供健康促進與照護服務，旨在延長健康壽命並推動產業升級。同時，工業技術</w:t>
      </w:r>
    </w:p>
    <w:p>
      <w:pPr>
        <w:pStyle w:val="BodyText"/>
        <w:spacing w:line="422" w:lineRule="auto" w:before="193"/>
        <w:ind w:right="683"/>
      </w:pPr>
      <w:r>
        <w:rPr>
          <w:spacing w:val="-8"/>
        </w:rPr>
        <w:t>研究院於 </w:t>
      </w:r>
      <w:r>
        <w:rPr>
          <w:rFonts w:ascii="Times New Roman" w:eastAsia="Times New Roman"/>
          <w:spacing w:val="-2"/>
        </w:rPr>
        <w:t>2020</w:t>
      </w:r>
      <w:r>
        <w:rPr>
          <w:rFonts w:ascii="Times New Roman" w:eastAsia="Times New Roman"/>
          <w:spacing w:val="-13"/>
        </w:rPr>
        <w:t> </w:t>
      </w:r>
      <w:r>
        <w:rPr>
          <w:spacing w:val="-13"/>
        </w:rPr>
        <w:t>年成立的「智慧長照大聯盟」，整合 </w:t>
      </w:r>
      <w:r>
        <w:rPr>
          <w:rFonts w:ascii="Times New Roman" w:eastAsia="Times New Roman"/>
          <w:spacing w:val="-2"/>
        </w:rPr>
        <w:t>AI</w:t>
      </w:r>
      <w:r>
        <w:rPr>
          <w:rFonts w:ascii="Times New Roman" w:eastAsia="Times New Roman"/>
          <w:spacing w:val="-13"/>
        </w:rPr>
        <w:t> </w:t>
      </w:r>
      <w:r>
        <w:rPr>
          <w:spacing w:val="-2"/>
        </w:rPr>
        <w:t>與半導體技術，為智慧長照產業鏈提供支持。</w:t>
      </w:r>
    </w:p>
    <w:p>
      <w:pPr>
        <w:pStyle w:val="BodyText"/>
        <w:spacing w:line="422" w:lineRule="auto" w:before="105"/>
        <w:ind w:right="682" w:firstLine="479"/>
      </w:pPr>
      <w:r>
        <w:rPr/>
        <w:drawing>
          <wp:anchor distT="0" distB="0" distL="0" distR="0" allowOverlap="1" layoutInCell="1" locked="0" behindDoc="1" simplePos="0" relativeHeight="485783552">
            <wp:simplePos x="0" y="0"/>
            <wp:positionH relativeFrom="page">
              <wp:posOffset>3312414</wp:posOffset>
            </wp:positionH>
            <wp:positionV relativeFrom="paragraph">
              <wp:posOffset>753737</wp:posOffset>
            </wp:positionV>
            <wp:extent cx="929640" cy="978408"/>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6" cstate="print"/>
                    <a:stretch>
                      <a:fillRect/>
                    </a:stretch>
                  </pic:blipFill>
                  <pic:spPr>
                    <a:xfrm>
                      <a:off x="0" y="0"/>
                      <a:ext cx="929640" cy="978408"/>
                    </a:xfrm>
                    <a:prstGeom prst="rect">
                      <a:avLst/>
                    </a:prstGeom>
                  </pic:spPr>
                </pic:pic>
              </a:graphicData>
            </a:graphic>
          </wp:anchor>
        </w:drawing>
      </w:r>
      <w:r>
        <w:rPr>
          <w:spacing w:val="-8"/>
        </w:rPr>
        <w:t>展望未來政策，台灣政府預計於 </w:t>
      </w:r>
      <w:r>
        <w:rPr>
          <w:rFonts w:ascii="Times New Roman" w:eastAsia="Times New Roman"/>
          <w:spacing w:val="-6"/>
        </w:rPr>
        <w:t>2025</w:t>
      </w:r>
      <w:r>
        <w:rPr>
          <w:rFonts w:ascii="Times New Roman" w:eastAsia="Times New Roman"/>
          <w:spacing w:val="-9"/>
        </w:rPr>
        <w:t> </w:t>
      </w:r>
      <w:r>
        <w:rPr>
          <w:spacing w:val="-8"/>
        </w:rPr>
        <w:t>年上半年推出「長照 </w:t>
      </w:r>
      <w:r>
        <w:rPr>
          <w:rFonts w:ascii="Times New Roman" w:eastAsia="Times New Roman"/>
          <w:spacing w:val="-6"/>
        </w:rPr>
        <w:t>3.0</w:t>
      </w:r>
      <w:r>
        <w:rPr>
          <w:spacing w:val="-6"/>
        </w:rPr>
        <w:t>」計畫，將智</w:t>
      </w:r>
      <w:r>
        <w:rPr>
          <w:spacing w:val="-4"/>
        </w:rPr>
        <w:t>慧化技術應用與人力整合作為核心，透過健康數據轉化為實用資訊，幫助長者進行自主管理。同時，計畫強調在宅醫療、夜間緊急服務及家庭醫師制度的整合，</w:t>
      </w:r>
      <w:r>
        <w:rPr>
          <w:spacing w:val="-2"/>
        </w:rPr>
        <w:t>構建多元且連續的照護體系，實現醫療、照顧與社福一體化的綜合解決方案。</w:t>
      </w:r>
    </w:p>
    <w:p>
      <w:pPr>
        <w:pStyle w:val="BodyText"/>
        <w:spacing w:line="422" w:lineRule="auto" w:before="104"/>
        <w:ind w:right="682" w:firstLine="479"/>
      </w:pPr>
      <w:r>
        <w:rPr/>
        <w:t>技術進步亦在智慧長照的發展中扮演關鍵角色。</w:t>
      </w:r>
      <w:r>
        <w:rPr>
          <w:rFonts w:ascii="Times New Roman" w:eastAsia="Times New Roman"/>
        </w:rPr>
        <w:t>AI </w:t>
      </w:r>
      <w:r>
        <w:rPr/>
        <w:t>和大數據分析可協助快</w:t>
      </w:r>
      <w:r>
        <w:rPr>
          <w:spacing w:val="-23"/>
        </w:rPr>
        <w:t>速診斷、優化資源分配，同時，物聯網技術通過連網設備實時監測患者健康數據，</w:t>
      </w:r>
      <w:r>
        <w:rPr>
          <w:spacing w:val="-4"/>
        </w:rPr>
        <w:t>實現個性化健康建議及遠端醫療服務。國發會報告指出，美國基層醫師表示科技</w:t>
      </w:r>
      <w:r>
        <w:rPr>
          <w:spacing w:val="-2"/>
        </w:rPr>
        <w:t>在減少醫療錯誤、提升工作效率及降低成本方面成效顯著。</w:t>
      </w:r>
    </w:p>
    <w:p>
      <w:pPr>
        <w:pStyle w:val="BodyText"/>
        <w:spacing w:line="422" w:lineRule="auto" w:before="103"/>
        <w:ind w:right="682" w:firstLine="479"/>
      </w:pPr>
      <w:r>
        <w:rPr>
          <w:spacing w:val="1"/>
        </w:rPr>
        <w:t>在政策與技術的支援下，多元照護需求的增加必然是產業增長的關鍵。</w:t>
      </w:r>
      <w:r>
        <w:rPr/>
        <w:t> </w:t>
      </w:r>
      <w:r>
        <w:rPr>
          <w:rFonts w:ascii="Times New Roman" w:eastAsia="Times New Roman"/>
        </w:rPr>
        <w:t>KPMG</w:t>
      </w:r>
      <w:r>
        <w:rPr>
          <w:rFonts w:ascii="Times New Roman" w:eastAsia="Times New Roman"/>
          <w:spacing w:val="-11"/>
        </w:rPr>
        <w:t> </w:t>
      </w:r>
      <w:r>
        <w:rPr>
          <w:spacing w:val="-4"/>
        </w:rPr>
        <w:t>的報告指出，已有 </w:t>
      </w:r>
      <w:r>
        <w:rPr>
          <w:rFonts w:ascii="Times New Roman" w:eastAsia="Times New Roman"/>
        </w:rPr>
        <w:t>67%</w:t>
      </w:r>
      <w:r>
        <w:rPr/>
        <w:t>的照護單位開始進行數位優化，顯示智慧科技在推動照護產業轉型中扮演了重要角色。同時，</w:t>
      </w:r>
      <w:r>
        <w:rPr>
          <w:rFonts w:ascii="Times New Roman" w:eastAsia="Times New Roman"/>
        </w:rPr>
        <w:t>Anke</w:t>
      </w:r>
      <w:r>
        <w:rPr>
          <w:rFonts w:ascii="Times New Roman" w:eastAsia="Times New Roman"/>
          <w:spacing w:val="-15"/>
        </w:rPr>
        <w:t> </w:t>
      </w:r>
      <w:r>
        <w:rPr>
          <w:rFonts w:ascii="Times New Roman" w:eastAsia="Times New Roman"/>
        </w:rPr>
        <w:t>Care</w:t>
      </w:r>
      <w:r>
        <w:rPr>
          <w:rFonts w:ascii="Times New Roman" w:eastAsia="Times New Roman"/>
          <w:spacing w:val="-15"/>
        </w:rPr>
        <w:t> </w:t>
      </w:r>
      <w:r>
        <w:rPr/>
        <w:t>的報告強調，智慧長照</w:t>
      </w:r>
      <w:r>
        <w:rPr>
          <w:spacing w:val="-4"/>
        </w:rPr>
        <w:t>的未來不僅聚焦於技術與市場的結合，更注重跨領域合作模式的建立，通過不同專業的協作應對高齡化挑戰。未來的照護模式將逐步從以家庭為主的責任體系，轉型為社區、醫療機構與科技企業共同協作的整合型體系，實現更全面且高效的</w:t>
      </w:r>
      <w:r>
        <w:rPr>
          <w:spacing w:val="-2"/>
        </w:rPr>
        <w:t>長期照護服務。</w:t>
      </w:r>
    </w:p>
    <w:p>
      <w:pPr>
        <w:pStyle w:val="BodyText"/>
        <w:spacing w:after="0" w:line="422" w:lineRule="auto"/>
        <w:sectPr>
          <w:pgSz w:w="11910" w:h="16840"/>
          <w:pgMar w:header="0" w:footer="1197" w:top="1780" w:bottom="1380" w:left="1133" w:right="1133"/>
        </w:sectPr>
      </w:pPr>
    </w:p>
    <w:p>
      <w:pPr>
        <w:pStyle w:val="Heading2"/>
        <w:numPr>
          <w:ilvl w:val="1"/>
          <w:numId w:val="9"/>
        </w:numPr>
        <w:tabs>
          <w:tab w:pos="1047" w:val="left" w:leader="none"/>
        </w:tabs>
        <w:spacing w:line="522" w:lineRule="exact" w:before="0" w:after="0"/>
        <w:ind w:left="1047" w:right="0" w:hanging="478"/>
        <w:jc w:val="left"/>
      </w:pPr>
      <w:bookmarkStart w:name="_bookmark15" w:id="16"/>
      <w:bookmarkEnd w:id="16"/>
      <w:r>
        <w:rPr>
          <w:b w:val="0"/>
        </w:rPr>
      </w:r>
      <w:r>
        <w:rPr>
          <w:rFonts w:ascii="Times New Roman" w:eastAsia="Times New Roman"/>
          <w:spacing w:val="-2"/>
        </w:rPr>
        <w:t>SaaS</w:t>
      </w:r>
      <w:r>
        <w:rPr>
          <w:rFonts w:ascii="Times New Roman" w:eastAsia="Times New Roman"/>
          <w:spacing w:val="-1"/>
        </w:rPr>
        <w:t> </w:t>
      </w:r>
      <w:r>
        <w:rPr>
          <w:spacing w:val="-3"/>
        </w:rPr>
        <w:t>公司之組織拓展策略</w:t>
      </w:r>
    </w:p>
    <w:p>
      <w:pPr>
        <w:pStyle w:val="BodyText"/>
        <w:spacing w:before="312"/>
        <w:ind w:left="1168"/>
      </w:pPr>
      <w:r>
        <w:rPr>
          <w:spacing w:val="16"/>
        </w:rPr>
        <w:t>隨著數位化轉型的迅速推進與企業運營模式的持續演變，軟體即服務</w:t>
      </w:r>
    </w:p>
    <w:p>
      <w:pPr>
        <w:pStyle w:val="BodyText"/>
        <w:spacing w:line="422" w:lineRule="auto" w:before="233"/>
        <w:ind w:right="682"/>
      </w:pPr>
      <w:r>
        <w:rPr/>
        <w:t>（</w:t>
      </w:r>
      <w:r>
        <w:rPr>
          <w:rFonts w:ascii="Times New Roman" w:eastAsia="Times New Roman"/>
        </w:rPr>
        <w:t>Software as a Service, SaaS</w:t>
      </w:r>
      <w:r>
        <w:rPr/>
        <w:t>）成為現代資訊科技領域最具影響力的商業模式之</w:t>
      </w:r>
      <w:r>
        <w:rPr>
          <w:spacing w:val="-4"/>
        </w:rPr>
        <w:t>一（</w:t>
      </w:r>
      <w:r>
        <w:rPr>
          <w:rFonts w:ascii="Times New Roman" w:eastAsia="Times New Roman"/>
          <w:spacing w:val="-4"/>
        </w:rPr>
        <w:t>Marston</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5"/>
        </w:rPr>
        <w:t>20</w:t>
      </w:r>
      <w:r>
        <w:rPr>
          <w:rFonts w:ascii="Times New Roman" w:eastAsia="Times New Roman"/>
          <w:spacing w:val="15"/>
        </w:rPr>
        <w:t>1</w:t>
      </w:r>
      <w:r>
        <w:rPr>
          <w:rFonts w:ascii="Times New Roman" w:eastAsia="Times New Roman"/>
          <w:spacing w:val="25"/>
        </w:rPr>
        <w:t>1</w:t>
      </w:r>
      <w:r>
        <w:rPr>
          <w:spacing w:val="-110"/>
        </w:rPr>
        <w:t>）</w:t>
      </w:r>
      <w:r>
        <w:rPr>
          <w:spacing w:val="-4"/>
        </w:rPr>
        <w:t>。作為一種基於雲端的軟體交付模式，</w:t>
      </w:r>
      <w:r>
        <w:rPr>
          <w:rFonts w:ascii="Times New Roman" w:eastAsia="Times New Roman"/>
          <w:spacing w:val="-4"/>
        </w:rPr>
        <w:t>SaaS</w:t>
      </w:r>
      <w:r>
        <w:rPr>
          <w:rFonts w:ascii="Times New Roman" w:eastAsia="Times New Roman"/>
          <w:spacing w:val="-11"/>
        </w:rPr>
        <w:t> </w:t>
      </w:r>
      <w:r>
        <w:rPr>
          <w:spacing w:val="-4"/>
        </w:rPr>
        <w:t>不僅改變了軟體的傳統部署方式，更通過靈活、經濟高效的解決方案，顯著提升了組織的運</w:t>
      </w:r>
      <w:r>
        <w:rPr/>
        <w:t>營效率、技術敏捷性和創新能力（</w:t>
      </w:r>
      <w:r>
        <w:rPr>
          <w:rFonts w:ascii="Times New Roman" w:eastAsia="Times New Roman"/>
        </w:rPr>
        <w:t>Espadas</w:t>
      </w:r>
      <w:r>
        <w:rPr>
          <w:rFonts w:ascii="Times New Roman" w:eastAsia="Times New Roman"/>
          <w:spacing w:val="-9"/>
        </w:rPr>
        <w:t> </w:t>
      </w:r>
      <w:r>
        <w:rPr>
          <w:rFonts w:ascii="Times New Roman" w:eastAsia="Times New Roman"/>
        </w:rPr>
        <w:t>et al., </w:t>
      </w:r>
      <w:r>
        <w:rPr>
          <w:rFonts w:ascii="Times New Roman" w:eastAsia="Times New Roman"/>
          <w:spacing w:val="23"/>
        </w:rPr>
        <w:t>201</w:t>
      </w:r>
      <w:r>
        <w:rPr>
          <w:rFonts w:ascii="Times New Roman" w:eastAsia="Times New Roman"/>
          <w:spacing w:val="24"/>
        </w:rPr>
        <w:t>3</w:t>
      </w:r>
      <w:r>
        <w:rPr>
          <w:spacing w:val="-97"/>
        </w:rPr>
        <w:t>）</w:t>
      </w:r>
      <w:r>
        <w:rPr>
          <w:spacing w:val="-4"/>
        </w:rPr>
        <w:t>。本章節首先探討 </w:t>
      </w:r>
      <w:r>
        <w:rPr>
          <w:rFonts w:ascii="Times New Roman" w:eastAsia="Times New Roman"/>
        </w:rPr>
        <w:t>SaaS</w:t>
      </w:r>
      <w:r>
        <w:rPr>
          <w:spacing w:val="-4"/>
        </w:rPr>
        <w:t>的定義與特性，進一步分析其對企業績效的影響，最後延伸至其在照護科技與策</w:t>
      </w:r>
      <w:r>
        <w:rPr>
          <w:spacing w:val="-2"/>
        </w:rPr>
        <w:t>略發展中的應用價值。</w:t>
      </w:r>
    </w:p>
    <w:p>
      <w:pPr>
        <w:pStyle w:val="Heading2"/>
        <w:spacing w:before="98"/>
        <w:ind w:left="571"/>
        <w:rPr>
          <w:position w:val="1"/>
        </w:rPr>
      </w:pPr>
      <w:r>
        <w:rPr>
          <w:b w:val="0"/>
        </w:rPr>
        <w:drawing>
          <wp:inline distT="0" distB="0" distL="0" distR="0">
            <wp:extent cx="392429" cy="145541"/>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55" cstate="print"/>
                    <a:stretch>
                      <a:fillRect/>
                    </a:stretch>
                  </pic:blipFill>
                  <pic:spPr>
                    <a:xfrm>
                      <a:off x="0" y="0"/>
                      <a:ext cx="392429" cy="145541"/>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16" w:id="17"/>
      <w:bookmarkEnd w:id="17"/>
      <w:r>
        <w:rPr>
          <w:rFonts w:ascii="Times New Roman" w:eastAsia="Times New Roman"/>
          <w:b w:val="0"/>
          <w:spacing w:val="-12"/>
          <w:position w:val="1"/>
          <w:sz w:val="20"/>
        </w:rPr>
      </w:r>
      <w:r>
        <w:rPr>
          <w:rFonts w:ascii="Times New Roman" w:eastAsia="Times New Roman"/>
          <w:position w:val="1"/>
        </w:rPr>
        <w:t>SaaS </w:t>
      </w:r>
      <w:r>
        <w:rPr>
          <w:position w:val="1"/>
        </w:rPr>
        <w:t>之定義</w:t>
      </w:r>
    </w:p>
    <w:p>
      <w:pPr>
        <w:pStyle w:val="BodyText"/>
        <w:spacing w:line="422" w:lineRule="auto" w:before="387"/>
        <w:ind w:right="682" w:firstLine="479"/>
      </w:pPr>
      <w:r>
        <w:rPr/>
        <w:drawing>
          <wp:anchor distT="0" distB="0" distL="0" distR="0" allowOverlap="1" layoutInCell="1" locked="0" behindDoc="1" simplePos="0" relativeHeight="485784064">
            <wp:simplePos x="0" y="0"/>
            <wp:positionH relativeFrom="page">
              <wp:posOffset>3312414</wp:posOffset>
            </wp:positionH>
            <wp:positionV relativeFrom="paragraph">
              <wp:posOffset>315118</wp:posOffset>
            </wp:positionV>
            <wp:extent cx="929640" cy="978408"/>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eastAsia="Times New Roman"/>
        </w:rPr>
        <w:t>SaaS </w:t>
      </w:r>
      <w:r>
        <w:rPr/>
        <w:t>是一種基於雲端的軟體服務模式，企業透過網路遠程存取由服務供應</w:t>
      </w:r>
      <w:r>
        <w:rPr>
          <w:spacing w:val="-4"/>
        </w:rPr>
        <w:t>商託管的軟體應用，而無需在本地安裝或維護（</w:t>
      </w:r>
      <w:r>
        <w:rPr>
          <w:rFonts w:ascii="Times New Roman" w:eastAsia="Times New Roman"/>
          <w:spacing w:val="-4"/>
        </w:rPr>
        <w:t>Espadas</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1"/>
        </w:rPr>
        <w:t>201</w:t>
      </w:r>
      <w:r>
        <w:rPr>
          <w:rFonts w:ascii="Times New Roman" w:eastAsia="Times New Roman"/>
          <w:spacing w:val="20"/>
        </w:rPr>
        <w:t>3</w:t>
      </w:r>
      <w:r>
        <w:rPr>
          <w:spacing w:val="-104"/>
        </w:rPr>
        <w:t>）</w:t>
      </w:r>
      <w:r>
        <w:rPr>
          <w:spacing w:val="-4"/>
        </w:rPr>
        <w:t>。</w:t>
      </w:r>
      <w:r>
        <w:rPr>
          <w:rFonts w:ascii="Times New Roman" w:eastAsia="Times New Roman"/>
          <w:spacing w:val="-4"/>
        </w:rPr>
        <w:t>SaaS</w:t>
      </w:r>
      <w:r>
        <w:rPr>
          <w:rFonts w:ascii="Times New Roman" w:eastAsia="Times New Roman"/>
          <w:spacing w:val="-3"/>
        </w:rPr>
        <w:t> </w:t>
      </w:r>
      <w:r>
        <w:rPr>
          <w:spacing w:val="-4"/>
        </w:rPr>
        <w:t>的核</w:t>
      </w:r>
      <w:r>
        <w:rPr>
          <w:spacing w:val="-2"/>
        </w:rPr>
        <w:t>心特點在於其靈活性與可擴展性，提供多功能的集成平台來滿足用戶多樣化的</w:t>
      </w:r>
      <w:r>
        <w:rPr>
          <w:spacing w:val="-7"/>
        </w:rPr>
        <w:t>需求，使得 </w:t>
      </w:r>
      <w:r>
        <w:rPr>
          <w:rFonts w:ascii="Times New Roman" w:eastAsia="Times New Roman"/>
          <w:spacing w:val="-2"/>
        </w:rPr>
        <w:t>SaaS</w:t>
      </w:r>
      <w:r>
        <w:rPr>
          <w:rFonts w:ascii="Times New Roman" w:eastAsia="Times New Roman"/>
          <w:spacing w:val="-8"/>
        </w:rPr>
        <w:t> </w:t>
      </w:r>
      <w:r>
        <w:rPr>
          <w:spacing w:val="-2"/>
        </w:rPr>
        <w:t>成為解決多重業務需求的有效工具，有效降低了企業的初始投</w:t>
      </w:r>
      <w:r>
        <w:rPr>
          <w:spacing w:val="-4"/>
        </w:rPr>
        <w:t>資與持續運營成本（</w:t>
      </w:r>
      <w:r>
        <w:rPr>
          <w:rFonts w:ascii="Times New Roman" w:eastAsia="Times New Roman"/>
          <w:spacing w:val="-4"/>
        </w:rPr>
        <w:t>Marston</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5"/>
        </w:rPr>
        <w:t>20</w:t>
      </w:r>
      <w:r>
        <w:rPr>
          <w:rFonts w:ascii="Times New Roman" w:eastAsia="Times New Roman"/>
          <w:spacing w:val="15"/>
        </w:rPr>
        <w:t>1</w:t>
      </w:r>
      <w:r>
        <w:rPr>
          <w:rFonts w:ascii="Times New Roman" w:eastAsia="Times New Roman"/>
          <w:spacing w:val="24"/>
        </w:rPr>
        <w:t>1</w:t>
      </w:r>
      <w:r>
        <w:rPr>
          <w:spacing w:val="-110"/>
        </w:rPr>
        <w:t>）</w:t>
      </w:r>
      <w:r>
        <w:rPr>
          <w:spacing w:val="-4"/>
        </w:rPr>
        <w:t>。此外，</w:t>
      </w:r>
      <w:r>
        <w:rPr>
          <w:rFonts w:ascii="Times New Roman" w:eastAsia="Times New Roman"/>
          <w:spacing w:val="-4"/>
        </w:rPr>
        <w:t>SaaS</w:t>
      </w:r>
      <w:r>
        <w:rPr>
          <w:rFonts w:ascii="Times New Roman" w:eastAsia="Times New Roman"/>
          <w:spacing w:val="-11"/>
        </w:rPr>
        <w:t> </w:t>
      </w:r>
      <w:r>
        <w:rPr>
          <w:spacing w:val="-4"/>
        </w:rPr>
        <w:t>的自動更新功能不僅減輕</w:t>
      </w:r>
      <w:r>
        <w:rPr>
          <w:spacing w:val="-6"/>
        </w:rPr>
        <w:t>了企業對內部 </w:t>
      </w:r>
      <w:r>
        <w:rPr>
          <w:rFonts w:ascii="Times New Roman" w:eastAsia="Times New Roman"/>
          <w:spacing w:val="-2"/>
        </w:rPr>
        <w:t>IT</w:t>
      </w:r>
      <w:r>
        <w:rPr>
          <w:rFonts w:ascii="Times New Roman" w:eastAsia="Times New Roman"/>
          <w:spacing w:val="4"/>
        </w:rPr>
        <w:t> </w:t>
      </w:r>
      <w:r>
        <w:rPr>
          <w:spacing w:val="-2"/>
        </w:rPr>
        <w:t>基礎設施的依賴，還進一步優化了資源配置，別是具備高吸收</w:t>
      </w:r>
      <w:r>
        <w:rPr>
          <w:spacing w:val="-4"/>
        </w:rPr>
        <w:t>能力的企業，能夠有效整合外部 </w:t>
      </w:r>
      <w:r>
        <w:rPr>
          <w:rFonts w:ascii="Times New Roman" w:eastAsia="Times New Roman"/>
          <w:spacing w:val="-2"/>
        </w:rPr>
        <w:t>SaaS</w:t>
      </w:r>
      <w:r>
        <w:rPr>
          <w:rFonts w:ascii="Times New Roman" w:eastAsia="Times New Roman"/>
          <w:spacing w:val="-8"/>
        </w:rPr>
        <w:t> </w:t>
      </w:r>
      <w:r>
        <w:rPr>
          <w:spacing w:val="-2"/>
        </w:rPr>
        <w:t>資源與內部運營需求，進而實現持續的業</w:t>
      </w:r>
      <w:r>
        <w:rPr/>
        <w:t>務與技術創新（</w:t>
      </w:r>
      <w:r>
        <w:rPr>
          <w:rFonts w:ascii="Times New Roman" w:eastAsia="Times New Roman"/>
        </w:rPr>
        <w:t>Oliveira et al., </w:t>
      </w:r>
      <w:r>
        <w:rPr>
          <w:rFonts w:ascii="Times New Roman" w:eastAsia="Times New Roman"/>
          <w:spacing w:val="24"/>
        </w:rPr>
        <w:t>2019</w:t>
      </w:r>
      <w:r>
        <w:rPr>
          <w:spacing w:val="-96"/>
        </w:rPr>
        <w:t>）</w:t>
      </w:r>
      <w:r>
        <w:rPr>
          <w:spacing w:val="-120"/>
        </w:rPr>
        <w:t>。</w:t>
      </w:r>
    </w:p>
    <w:p>
      <w:pPr>
        <w:pStyle w:val="Heading2"/>
        <w:spacing w:before="95"/>
        <w:ind w:left="571"/>
        <w:rPr>
          <w:position w:val="1"/>
        </w:rPr>
      </w:pPr>
      <w:r>
        <w:rPr>
          <w:b w:val="0"/>
        </w:rPr>
        <w:drawing>
          <wp:inline distT="0" distB="0" distL="0" distR="0">
            <wp:extent cx="398525" cy="14554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6"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17" w:id="18"/>
      <w:bookmarkEnd w:id="18"/>
      <w:r>
        <w:rPr>
          <w:rFonts w:ascii="Times New Roman" w:eastAsia="Times New Roman"/>
          <w:b w:val="0"/>
          <w:spacing w:val="-22"/>
          <w:position w:val="1"/>
          <w:sz w:val="20"/>
        </w:rPr>
      </w:r>
      <w:r>
        <w:rPr>
          <w:rFonts w:ascii="Times New Roman" w:eastAsia="Times New Roman"/>
          <w:spacing w:val="-2"/>
          <w:position w:val="1"/>
        </w:rPr>
        <w:t>SaaS </w:t>
      </w:r>
      <w:r>
        <w:rPr>
          <w:spacing w:val="-2"/>
          <w:position w:val="1"/>
        </w:rPr>
        <w:t>平台特性應用於照護科技</w:t>
      </w:r>
    </w:p>
    <w:p>
      <w:pPr>
        <w:pStyle w:val="BodyText"/>
        <w:spacing w:line="422" w:lineRule="auto" w:before="388"/>
        <w:ind w:left="569" w:right="562" w:firstLine="479"/>
      </w:pPr>
      <w:r>
        <w:rPr>
          <w:rFonts w:ascii="Times New Roman" w:eastAsia="Times New Roman"/>
        </w:rPr>
        <w:t>CDA</w:t>
      </w:r>
      <w:r>
        <w:rPr/>
        <w:t>（</w:t>
      </w:r>
      <w:r>
        <w:rPr>
          <w:rFonts w:ascii="Times New Roman" w:eastAsia="Times New Roman"/>
        </w:rPr>
        <w:t>Clinical</w:t>
      </w:r>
      <w:r>
        <w:rPr>
          <w:rFonts w:ascii="Times New Roman" w:eastAsia="Times New Roman"/>
          <w:spacing w:val="-15"/>
        </w:rPr>
        <w:t> </w:t>
      </w:r>
      <w:r>
        <w:rPr>
          <w:rFonts w:ascii="Times New Roman" w:eastAsia="Times New Roman"/>
        </w:rPr>
        <w:t>Document</w:t>
      </w:r>
      <w:r>
        <w:rPr>
          <w:rFonts w:ascii="Times New Roman" w:eastAsia="Times New Roman"/>
          <w:spacing w:val="-9"/>
        </w:rPr>
        <w:t> </w:t>
      </w:r>
      <w:r>
        <w:rPr>
          <w:rFonts w:ascii="Times New Roman" w:eastAsia="Times New Roman"/>
        </w:rPr>
        <w:t>Architecture</w:t>
      </w:r>
      <w:r>
        <w:rPr/>
        <w:t>）</w:t>
      </w:r>
      <w:r>
        <w:rPr>
          <w:spacing w:val="-4"/>
        </w:rPr>
        <w:t>是由國際標準組織 </w:t>
      </w:r>
      <w:r>
        <w:rPr>
          <w:rFonts w:ascii="Times New Roman" w:eastAsia="Times New Roman"/>
        </w:rPr>
        <w:t>HL7</w:t>
      </w:r>
      <w:r>
        <w:rPr/>
        <w:t>（</w:t>
      </w:r>
      <w:r>
        <w:rPr>
          <w:rFonts w:ascii="Times New Roman" w:eastAsia="Times New Roman"/>
        </w:rPr>
        <w:t>Health</w:t>
      </w:r>
      <w:r>
        <w:rPr>
          <w:rFonts w:ascii="Times New Roman" w:eastAsia="Times New Roman"/>
          <w:spacing w:val="15"/>
        </w:rPr>
        <w:t> </w:t>
      </w:r>
      <w:r>
        <w:rPr>
          <w:rFonts w:ascii="Times New Roman" w:eastAsia="Times New Roman"/>
        </w:rPr>
        <w:t>Level </w:t>
      </w:r>
      <w:r>
        <w:rPr>
          <w:rFonts w:ascii="Times New Roman" w:eastAsia="Times New Roman"/>
          <w:spacing w:val="-2"/>
        </w:rPr>
        <w:t>Seven</w:t>
      </w:r>
      <w:r>
        <w:rPr>
          <w:spacing w:val="-2"/>
        </w:rPr>
        <w:t>）提出的一種電子病歷文件交換標準，旨在促進醫療數據的結構化與可交換</w:t>
      </w:r>
      <w:r>
        <w:rPr/>
        <w:t>性。在現代醫療體系中，</w:t>
      </w:r>
      <w:r>
        <w:rPr>
          <w:rFonts w:ascii="Times New Roman" w:eastAsia="Times New Roman"/>
        </w:rPr>
        <w:t>CDA</w:t>
      </w:r>
      <w:r>
        <w:rPr>
          <w:rFonts w:ascii="Times New Roman" w:eastAsia="Times New Roman"/>
          <w:spacing w:val="-14"/>
        </w:rPr>
        <w:t> </w:t>
      </w:r>
      <w:r>
        <w:rPr/>
        <w:t>的整合為醫療數據的處理、共享及應用提供了強大</w:t>
      </w:r>
      <w:r>
        <w:rPr>
          <w:spacing w:val="-8"/>
        </w:rPr>
        <w:t>的支援。作為標準化的醫療數據格式，</w:t>
      </w:r>
      <w:r>
        <w:rPr>
          <w:rFonts w:ascii="Times New Roman" w:eastAsia="Times New Roman"/>
          <w:spacing w:val="-8"/>
        </w:rPr>
        <w:t>CDA</w:t>
      </w:r>
      <w:r>
        <w:rPr>
          <w:rFonts w:ascii="Times New Roman" w:eastAsia="Times New Roman"/>
          <w:spacing w:val="58"/>
        </w:rPr>
        <w:t> </w:t>
      </w:r>
      <w:r>
        <w:rPr>
          <w:spacing w:val="-9"/>
        </w:rPr>
        <w:t>能夠自動分類、分析和存取醫療影像、</w:t>
      </w:r>
    </w:p>
    <w:p>
      <w:pPr>
        <w:pStyle w:val="BodyText"/>
        <w:spacing w:after="0" w:line="422" w:lineRule="auto"/>
        <w:sectPr>
          <w:pgSz w:w="11910" w:h="16840"/>
          <w:pgMar w:header="0" w:footer="1197" w:top="1780" w:bottom="1380" w:left="1133" w:right="1133"/>
        </w:sectPr>
      </w:pPr>
    </w:p>
    <w:p>
      <w:pPr>
        <w:pStyle w:val="BodyText"/>
        <w:spacing w:line="422" w:lineRule="auto" w:before="27"/>
        <w:ind w:left="569" w:right="563"/>
        <w:jc w:val="left"/>
      </w:pPr>
      <w:r>
        <w:rPr>
          <w:spacing w:val="-4"/>
        </w:rPr>
        <w:t>診斷報告等關鍵資料，大幅提高數據處理效率，並隨著醫療資訊化的發展發揮重要作用。</w:t>
      </w:r>
    </w:p>
    <w:p>
      <w:pPr>
        <w:pStyle w:val="BodyText"/>
        <w:spacing w:before="105"/>
        <w:ind w:left="1048"/>
      </w:pPr>
      <w:r>
        <w:rPr>
          <w:rFonts w:ascii="Times New Roman" w:eastAsia="Times New Roman"/>
        </w:rPr>
        <w:t>CDA</w:t>
      </w:r>
      <w:r>
        <w:rPr>
          <w:rFonts w:ascii="Times New Roman" w:eastAsia="Times New Roman"/>
          <w:spacing w:val="-1"/>
        </w:rPr>
        <w:t> </w:t>
      </w:r>
      <w:r>
        <w:rPr>
          <w:spacing w:val="-1"/>
        </w:rPr>
        <w:t>在台灣的發展歷程也反映了這一技術逐步成熟的過程：</w:t>
      </w:r>
    </w:p>
    <w:p>
      <w:pPr>
        <w:pStyle w:val="ListParagraph"/>
        <w:numPr>
          <w:ilvl w:val="2"/>
          <w:numId w:val="9"/>
        </w:numPr>
        <w:tabs>
          <w:tab w:pos="1528" w:val="left" w:leader="none"/>
        </w:tabs>
        <w:spacing w:line="540" w:lineRule="exact" w:before="149" w:after="0"/>
        <w:ind w:left="1528" w:right="562" w:hanging="480"/>
        <w:jc w:val="both"/>
        <w:rPr>
          <w:rFonts w:ascii="Times New Roman" w:eastAsia="Times New Roman"/>
          <w:sz w:val="24"/>
        </w:rPr>
      </w:pPr>
      <w:r>
        <w:rPr>
          <w:rFonts w:ascii="Times New Roman" w:eastAsia="Times New Roman"/>
          <w:b/>
          <w:spacing w:val="-6"/>
          <w:sz w:val="24"/>
        </w:rPr>
        <w:t>2000</w:t>
      </w:r>
      <w:r>
        <w:rPr>
          <w:rFonts w:ascii="Times New Roman" w:eastAsia="Times New Roman"/>
          <w:b/>
          <w:spacing w:val="-9"/>
          <w:sz w:val="24"/>
        </w:rPr>
        <w:t> </w:t>
      </w:r>
      <w:r>
        <w:rPr>
          <w:rFonts w:ascii="Microsoft JhengHei" w:eastAsia="Microsoft JhengHei"/>
          <w:b/>
          <w:spacing w:val="-6"/>
          <w:sz w:val="24"/>
        </w:rPr>
        <w:t>年代，</w:t>
      </w:r>
      <w:r>
        <w:rPr>
          <w:rFonts w:ascii="Times New Roman" w:eastAsia="Times New Roman"/>
          <w:b/>
          <w:spacing w:val="-6"/>
          <w:sz w:val="24"/>
        </w:rPr>
        <w:t>CDA</w:t>
      </w:r>
      <w:r>
        <w:rPr>
          <w:rFonts w:ascii="Times New Roman" w:eastAsia="Times New Roman"/>
          <w:b/>
          <w:spacing w:val="10"/>
          <w:sz w:val="24"/>
        </w:rPr>
        <w:t> </w:t>
      </w:r>
      <w:r>
        <w:rPr>
          <w:rFonts w:ascii="Microsoft JhengHei" w:eastAsia="Microsoft JhengHei"/>
          <w:b/>
          <w:spacing w:val="-6"/>
          <w:sz w:val="24"/>
        </w:rPr>
        <w:t>概念的引入：</w:t>
      </w:r>
      <w:r>
        <w:rPr>
          <w:spacing w:val="-8"/>
          <w:sz w:val="24"/>
        </w:rPr>
        <w:t>台灣在電子病歷推廣計畫中引入 </w:t>
      </w:r>
      <w:r>
        <w:rPr>
          <w:rFonts w:ascii="Times New Roman" w:eastAsia="Times New Roman"/>
          <w:spacing w:val="-6"/>
          <w:sz w:val="24"/>
        </w:rPr>
        <w:t>CDA</w:t>
      </w:r>
      <w:r>
        <w:rPr>
          <w:spacing w:val="-6"/>
          <w:sz w:val="24"/>
        </w:rPr>
        <w:t>，並</w:t>
      </w:r>
      <w:r>
        <w:rPr>
          <w:spacing w:val="-15"/>
          <w:sz w:val="24"/>
        </w:rPr>
        <w:t>與 </w:t>
      </w:r>
      <w:r>
        <w:rPr>
          <w:rFonts w:ascii="Times New Roman" w:eastAsia="Times New Roman"/>
          <w:sz w:val="24"/>
        </w:rPr>
        <w:t>HL7</w:t>
      </w:r>
      <w:r>
        <w:rPr>
          <w:rFonts w:ascii="Times New Roman" w:eastAsia="Times New Roman"/>
          <w:spacing w:val="-15"/>
          <w:sz w:val="24"/>
        </w:rPr>
        <w:t> </w:t>
      </w:r>
      <w:r>
        <w:rPr>
          <w:sz w:val="24"/>
        </w:rPr>
        <w:t>組織合作。</w:t>
      </w:r>
      <w:r>
        <w:rPr>
          <w:rFonts w:ascii="Times New Roman" w:eastAsia="Times New Roman"/>
          <w:sz w:val="24"/>
        </w:rPr>
        <w:t>2008</w:t>
      </w:r>
      <w:r>
        <w:rPr>
          <w:rFonts w:ascii="Times New Roman" w:eastAsia="Times New Roman"/>
          <w:spacing w:val="-15"/>
          <w:sz w:val="24"/>
        </w:rPr>
        <w:t> </w:t>
      </w:r>
      <w:r>
        <w:rPr>
          <w:spacing w:val="-3"/>
          <w:sz w:val="24"/>
        </w:rPr>
        <w:t>年，部分大型醫院開始試行 </w:t>
      </w:r>
      <w:r>
        <w:rPr>
          <w:rFonts w:ascii="Times New Roman" w:eastAsia="Times New Roman"/>
          <w:sz w:val="24"/>
        </w:rPr>
        <w:t>CDA</w:t>
      </w:r>
      <w:r>
        <w:rPr>
          <w:rFonts w:ascii="Times New Roman" w:eastAsia="Times New Roman"/>
          <w:spacing w:val="-3"/>
          <w:sz w:val="24"/>
        </w:rPr>
        <w:t> </w:t>
      </w:r>
      <w:r>
        <w:rPr>
          <w:sz w:val="24"/>
        </w:rPr>
        <w:t>格式的病例記</w:t>
      </w:r>
      <w:r>
        <w:rPr>
          <w:spacing w:val="-6"/>
          <w:sz w:val="24"/>
        </w:rPr>
        <w:t>錄。</w:t>
      </w:r>
    </w:p>
    <w:p>
      <w:pPr>
        <w:pStyle w:val="ListParagraph"/>
        <w:numPr>
          <w:ilvl w:val="2"/>
          <w:numId w:val="9"/>
        </w:numPr>
        <w:tabs>
          <w:tab w:pos="1528" w:val="left" w:leader="none"/>
        </w:tabs>
        <w:spacing w:line="540" w:lineRule="exact" w:before="108" w:after="0"/>
        <w:ind w:left="1528" w:right="562" w:hanging="480"/>
        <w:jc w:val="both"/>
        <w:rPr>
          <w:rFonts w:ascii="Times New Roman" w:eastAsia="Times New Roman"/>
          <w:sz w:val="24"/>
        </w:rPr>
      </w:pPr>
      <w:r>
        <w:rPr>
          <w:rFonts w:ascii="Times New Roman" w:eastAsia="Times New Roman"/>
          <w:b/>
          <w:sz w:val="24"/>
        </w:rPr>
        <w:t>2010</w:t>
      </w:r>
      <w:r>
        <w:rPr>
          <w:rFonts w:ascii="Times New Roman" w:eastAsia="Times New Roman"/>
          <w:b/>
          <w:spacing w:val="-9"/>
          <w:sz w:val="24"/>
        </w:rPr>
        <w:t> </w:t>
      </w:r>
      <w:r>
        <w:rPr>
          <w:rFonts w:ascii="Microsoft JhengHei" w:eastAsia="Microsoft JhengHei"/>
          <w:b/>
          <w:sz w:val="24"/>
        </w:rPr>
        <w:t>年代，</w:t>
      </w:r>
      <w:r>
        <w:rPr>
          <w:rFonts w:ascii="Times New Roman" w:eastAsia="Times New Roman"/>
          <w:b/>
          <w:sz w:val="24"/>
        </w:rPr>
        <w:t>CDA</w:t>
      </w:r>
      <w:r>
        <w:rPr>
          <w:rFonts w:ascii="Times New Roman" w:eastAsia="Times New Roman"/>
          <w:b/>
          <w:spacing w:val="-10"/>
          <w:sz w:val="24"/>
        </w:rPr>
        <w:t> </w:t>
      </w:r>
      <w:r>
        <w:rPr>
          <w:rFonts w:ascii="Microsoft JhengHei" w:eastAsia="Microsoft JhengHei"/>
          <w:b/>
          <w:sz w:val="24"/>
        </w:rPr>
        <w:t>的推廣與應用：</w:t>
      </w:r>
      <w:r>
        <w:rPr>
          <w:rFonts w:ascii="Times New Roman" w:eastAsia="Times New Roman"/>
          <w:sz w:val="24"/>
        </w:rPr>
        <w:t>2013</w:t>
      </w:r>
      <w:r>
        <w:rPr>
          <w:rFonts w:ascii="Times New Roman" w:eastAsia="Times New Roman"/>
          <w:spacing w:val="-9"/>
          <w:sz w:val="24"/>
        </w:rPr>
        <w:t> </w:t>
      </w:r>
      <w:r>
        <w:rPr>
          <w:spacing w:val="-12"/>
          <w:sz w:val="24"/>
        </w:rPr>
        <w:t>年，《醫療機構病歷資料數位化標</w:t>
      </w:r>
      <w:r>
        <w:rPr>
          <w:spacing w:val="-6"/>
          <w:sz w:val="24"/>
        </w:rPr>
        <w:t>準》正式採用 </w:t>
      </w:r>
      <w:r>
        <w:rPr>
          <w:rFonts w:ascii="Times New Roman" w:eastAsia="Times New Roman"/>
          <w:spacing w:val="-2"/>
          <w:sz w:val="24"/>
        </w:rPr>
        <w:t>CDA</w:t>
      </w:r>
      <w:r>
        <w:rPr>
          <w:spacing w:val="-2"/>
          <w:sz w:val="24"/>
        </w:rPr>
        <w:t>，政府鼓勵醫療機構導入並統一數據格式。</w:t>
      </w:r>
      <w:r>
        <w:rPr>
          <w:rFonts w:ascii="Times New Roman" w:eastAsia="Times New Roman"/>
          <w:spacing w:val="-2"/>
          <w:sz w:val="24"/>
        </w:rPr>
        <w:t>SaaS</w:t>
      </w:r>
      <w:r>
        <w:rPr>
          <w:rFonts w:ascii="Times New Roman" w:eastAsia="Times New Roman"/>
          <w:spacing w:val="-13"/>
          <w:sz w:val="24"/>
        </w:rPr>
        <w:t> </w:t>
      </w:r>
      <w:r>
        <w:rPr>
          <w:spacing w:val="-2"/>
          <w:sz w:val="24"/>
        </w:rPr>
        <w:t>平台</w:t>
      </w:r>
      <w:r>
        <w:rPr>
          <w:spacing w:val="-5"/>
          <w:sz w:val="24"/>
        </w:rPr>
        <w:t>開發者開始廣泛採用 </w:t>
      </w:r>
      <w:r>
        <w:rPr>
          <w:rFonts w:ascii="Times New Roman" w:eastAsia="Times New Roman"/>
          <w:spacing w:val="-2"/>
          <w:sz w:val="24"/>
        </w:rPr>
        <w:t>CDA</w:t>
      </w:r>
      <w:r>
        <w:rPr>
          <w:rFonts w:ascii="Times New Roman" w:eastAsia="Times New Roman"/>
          <w:spacing w:val="-13"/>
          <w:sz w:val="24"/>
        </w:rPr>
        <w:t> </w:t>
      </w:r>
      <w:r>
        <w:rPr>
          <w:spacing w:val="-2"/>
          <w:sz w:val="24"/>
        </w:rPr>
        <w:t>作為數據交換的核心技術，促進醫療應用的互</w:t>
      </w:r>
      <w:r>
        <w:rPr>
          <w:spacing w:val="-4"/>
          <w:sz w:val="24"/>
        </w:rPr>
        <w:t>通性。</w:t>
      </w:r>
    </w:p>
    <w:p>
      <w:pPr>
        <w:pStyle w:val="ListParagraph"/>
        <w:numPr>
          <w:ilvl w:val="2"/>
          <w:numId w:val="9"/>
        </w:numPr>
        <w:tabs>
          <w:tab w:pos="1528" w:val="left" w:leader="none"/>
        </w:tabs>
        <w:spacing w:line="540" w:lineRule="exact" w:before="108" w:after="0"/>
        <w:ind w:left="1528" w:right="562" w:hanging="480"/>
        <w:jc w:val="both"/>
        <w:rPr>
          <w:rFonts w:ascii="Times New Roman" w:eastAsia="Times New Roman"/>
          <w:sz w:val="24"/>
        </w:rPr>
      </w:pPr>
      <w:r>
        <w:rPr>
          <w:rFonts w:ascii="Times New Roman" w:eastAsia="Times New Roman"/>
          <w:sz w:val="24"/>
        </w:rPr>
        <w:drawing>
          <wp:anchor distT="0" distB="0" distL="0" distR="0" allowOverlap="1" layoutInCell="1" locked="0" behindDoc="1" simplePos="0" relativeHeight="485784576">
            <wp:simplePos x="0" y="0"/>
            <wp:positionH relativeFrom="page">
              <wp:posOffset>3312414</wp:posOffset>
            </wp:positionH>
            <wp:positionV relativeFrom="paragraph">
              <wp:posOffset>168846</wp:posOffset>
            </wp:positionV>
            <wp:extent cx="929640" cy="978408"/>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eastAsia="Times New Roman"/>
          <w:b/>
          <w:spacing w:val="-4"/>
          <w:sz w:val="24"/>
        </w:rPr>
        <w:t>2020</w:t>
      </w:r>
      <w:r>
        <w:rPr>
          <w:rFonts w:ascii="Times New Roman" w:eastAsia="Times New Roman"/>
          <w:b/>
          <w:spacing w:val="-11"/>
          <w:sz w:val="24"/>
        </w:rPr>
        <w:t> </w:t>
      </w:r>
      <w:r>
        <w:rPr>
          <w:rFonts w:ascii="Microsoft JhengHei" w:eastAsia="Microsoft JhengHei"/>
          <w:b/>
          <w:spacing w:val="-4"/>
          <w:sz w:val="24"/>
        </w:rPr>
        <w:t>年代，</w:t>
      </w:r>
      <w:r>
        <w:rPr>
          <w:rFonts w:ascii="Times New Roman" w:eastAsia="Times New Roman"/>
          <w:b/>
          <w:spacing w:val="-4"/>
          <w:sz w:val="24"/>
        </w:rPr>
        <w:t>CDA</w:t>
      </w:r>
      <w:r>
        <w:rPr>
          <w:rFonts w:ascii="Times New Roman" w:eastAsia="Times New Roman"/>
          <w:b/>
          <w:spacing w:val="-11"/>
          <w:sz w:val="24"/>
        </w:rPr>
        <w:t> </w:t>
      </w:r>
      <w:r>
        <w:rPr>
          <w:rFonts w:ascii="Microsoft JhengHei" w:eastAsia="Microsoft JhengHei"/>
          <w:b/>
          <w:spacing w:val="-4"/>
          <w:sz w:val="24"/>
        </w:rPr>
        <w:t>與智慧醫療的結合：</w:t>
      </w:r>
      <w:r>
        <w:rPr>
          <w:spacing w:val="-4"/>
          <w:sz w:val="24"/>
        </w:rPr>
        <w:t>新冠疫情爆發期間，</w:t>
      </w:r>
      <w:r>
        <w:rPr>
          <w:rFonts w:ascii="Times New Roman" w:eastAsia="Times New Roman"/>
          <w:spacing w:val="-4"/>
          <w:sz w:val="24"/>
        </w:rPr>
        <w:t>CDA</w:t>
      </w:r>
      <w:r>
        <w:rPr>
          <w:rFonts w:ascii="Times New Roman" w:eastAsia="Times New Roman"/>
          <w:spacing w:val="-11"/>
          <w:sz w:val="24"/>
        </w:rPr>
        <w:t> </w:t>
      </w:r>
      <w:r>
        <w:rPr>
          <w:spacing w:val="-4"/>
          <w:sz w:val="24"/>
        </w:rPr>
        <w:t>文件在病</w:t>
      </w:r>
      <w:r>
        <w:rPr>
          <w:spacing w:val="-6"/>
          <w:sz w:val="24"/>
        </w:rPr>
        <w:t>例共享和疫苗接種紀錄方面的應用，結合區塊鏈、物聯網等新興技術，為</w:t>
      </w:r>
      <w:r>
        <w:rPr>
          <w:spacing w:val="-2"/>
          <w:sz w:val="24"/>
        </w:rPr>
        <w:t>智慧醫療的應用提供了支持。</w:t>
      </w:r>
    </w:p>
    <w:p>
      <w:pPr>
        <w:pStyle w:val="BodyText"/>
        <w:spacing w:line="422" w:lineRule="auto" w:before="301"/>
        <w:ind w:right="682" w:firstLine="479"/>
      </w:pPr>
      <w:r>
        <w:rPr>
          <w:spacing w:val="-12"/>
        </w:rPr>
        <w:t>隨著 </w:t>
      </w:r>
      <w:r>
        <w:rPr>
          <w:rFonts w:ascii="Times New Roman" w:eastAsia="Times New Roman"/>
          <w:spacing w:val="-4"/>
        </w:rPr>
        <w:t>CDA</w:t>
      </w:r>
      <w:r>
        <w:rPr>
          <w:rFonts w:ascii="Times New Roman" w:eastAsia="Times New Roman"/>
          <w:spacing w:val="-11"/>
        </w:rPr>
        <w:t> </w:t>
      </w:r>
      <w:r>
        <w:rPr>
          <w:spacing w:val="-4"/>
        </w:rPr>
        <w:t>資料格式的奠基，</w:t>
      </w:r>
      <w:r>
        <w:rPr>
          <w:rFonts w:ascii="Times New Roman" w:eastAsia="Times New Roman"/>
          <w:spacing w:val="-4"/>
        </w:rPr>
        <w:t>SaaS</w:t>
      </w:r>
      <w:r>
        <w:rPr>
          <w:rFonts w:ascii="Times New Roman" w:eastAsia="Times New Roman"/>
          <w:spacing w:val="-11"/>
        </w:rPr>
        <w:t> </w:t>
      </w:r>
      <w:r>
        <w:rPr>
          <w:spacing w:val="-4"/>
        </w:rPr>
        <w:t>平台進一步強化了數據共享和協作，提供了跨平台的雲端解決方案，支援即時收集和分析患者數據，幫助護理人員快速掌握健康變化（</w:t>
      </w:r>
      <w:r>
        <w:rPr>
          <w:rFonts w:ascii="Times New Roman" w:eastAsia="Times New Roman"/>
          <w:spacing w:val="-4"/>
        </w:rPr>
        <w:t>Espadas et al., </w:t>
      </w:r>
      <w:r>
        <w:rPr>
          <w:rFonts w:ascii="Times New Roman" w:eastAsia="Times New Roman"/>
          <w:spacing w:val="20"/>
        </w:rPr>
        <w:t>2013</w:t>
      </w:r>
      <w:r>
        <w:rPr>
          <w:spacing w:val="-100"/>
        </w:rPr>
        <w:t>）</w:t>
      </w:r>
      <w:r>
        <w:rPr>
          <w:spacing w:val="-4"/>
        </w:rPr>
        <w:t>。通過雲端數據共享促進護理者、患者和家屬之間的協同作業，提升了健康管理的透明度與療效。以下是關於技術應用案例的</w:t>
      </w:r>
      <w:r>
        <w:rPr>
          <w:spacing w:val="-2"/>
        </w:rPr>
        <w:t>學術研究和文獻支持：</w:t>
      </w:r>
    </w:p>
    <w:p>
      <w:pPr>
        <w:pStyle w:val="ListParagraph"/>
        <w:numPr>
          <w:ilvl w:val="0"/>
          <w:numId w:val="10"/>
        </w:numPr>
        <w:tabs>
          <w:tab w:pos="1528" w:val="left" w:leader="none"/>
        </w:tabs>
        <w:spacing w:line="336" w:lineRule="auto" w:before="23" w:after="0"/>
        <w:ind w:left="1528" w:right="682" w:hanging="480"/>
        <w:jc w:val="left"/>
        <w:rPr>
          <w:sz w:val="24"/>
        </w:rPr>
      </w:pPr>
      <w:r>
        <w:rPr>
          <w:rFonts w:ascii="Microsoft JhengHei" w:eastAsia="Microsoft JhengHei"/>
          <w:b/>
          <w:spacing w:val="-2"/>
          <w:sz w:val="24"/>
        </w:rPr>
        <w:t>遠程醫療平台：</w:t>
      </w:r>
      <w:r>
        <w:rPr>
          <w:spacing w:val="-2"/>
          <w:sz w:val="24"/>
        </w:rPr>
        <w:t>可提升醫療可及性，有效減少患者就診時間，在偏遠地</w:t>
      </w:r>
      <w:r>
        <w:rPr>
          <w:sz w:val="24"/>
        </w:rPr>
        <w:t>區提供更高質量的醫療服務 </w:t>
      </w:r>
      <w:r>
        <w:rPr>
          <w:rFonts w:ascii="Times New Roman" w:eastAsia="Times New Roman"/>
          <w:sz w:val="24"/>
        </w:rPr>
        <w:t>(Greenhalgh et al., 2020)</w:t>
      </w:r>
      <w:r>
        <w:rPr>
          <w:sz w:val="24"/>
        </w:rPr>
        <w:t>。</w:t>
      </w:r>
    </w:p>
    <w:p>
      <w:pPr>
        <w:pStyle w:val="ListParagraph"/>
        <w:numPr>
          <w:ilvl w:val="0"/>
          <w:numId w:val="10"/>
        </w:numPr>
        <w:tabs>
          <w:tab w:pos="1528" w:val="left" w:leader="none"/>
        </w:tabs>
        <w:spacing w:line="336" w:lineRule="auto" w:before="140" w:after="0"/>
        <w:ind w:left="1528" w:right="449" w:hanging="480"/>
        <w:jc w:val="left"/>
        <w:rPr>
          <w:sz w:val="24"/>
        </w:rPr>
      </w:pPr>
      <w:r>
        <w:rPr>
          <w:rFonts w:ascii="Microsoft JhengHei" w:eastAsia="Microsoft JhengHei"/>
          <w:b/>
          <w:spacing w:val="6"/>
          <w:sz w:val="24"/>
        </w:rPr>
        <w:t>電子病歷 </w:t>
      </w:r>
      <w:r>
        <w:rPr>
          <w:rFonts w:ascii="Times New Roman" w:eastAsia="Times New Roman"/>
          <w:b/>
          <w:sz w:val="24"/>
        </w:rPr>
        <w:t>(EMR)</w:t>
      </w:r>
      <w:r>
        <w:rPr>
          <w:rFonts w:ascii="Microsoft JhengHei" w:eastAsia="Microsoft JhengHei"/>
          <w:b/>
          <w:sz w:val="24"/>
        </w:rPr>
        <w:t>：</w:t>
      </w:r>
      <w:r>
        <w:rPr>
          <w:rFonts w:ascii="Times New Roman" w:eastAsia="Times New Roman"/>
          <w:sz w:val="24"/>
        </w:rPr>
        <w:t>SaaS</w:t>
      </w:r>
      <w:r>
        <w:rPr>
          <w:rFonts w:ascii="Times New Roman" w:eastAsia="Times New Roman"/>
          <w:spacing w:val="32"/>
          <w:sz w:val="24"/>
        </w:rPr>
        <w:t> </w:t>
      </w:r>
      <w:r>
        <w:rPr>
          <w:sz w:val="24"/>
        </w:rPr>
        <w:t>平台在醫療數據記錄和分享方面有明顯的優勢，能提高診斷準確性和促進醫生協作的價值 </w:t>
      </w:r>
      <w:r>
        <w:rPr>
          <w:rFonts w:ascii="Times New Roman" w:eastAsia="Times New Roman"/>
          <w:sz w:val="24"/>
        </w:rPr>
        <w:t>(Nguyen et al., 2014)</w:t>
      </w:r>
      <w:r>
        <w:rPr>
          <w:sz w:val="24"/>
        </w:rPr>
        <w:t>。</w:t>
      </w:r>
    </w:p>
    <w:p>
      <w:pPr>
        <w:pStyle w:val="ListParagraph"/>
        <w:spacing w:after="0" w:line="336" w:lineRule="auto"/>
        <w:jc w:val="left"/>
        <w:rPr>
          <w:sz w:val="24"/>
        </w:rPr>
        <w:sectPr>
          <w:pgSz w:w="11910" w:h="16840"/>
          <w:pgMar w:header="0" w:footer="1197" w:top="1760" w:bottom="1380" w:left="1133" w:right="1133"/>
        </w:sectPr>
      </w:pPr>
    </w:p>
    <w:p>
      <w:pPr>
        <w:pStyle w:val="ListParagraph"/>
        <w:numPr>
          <w:ilvl w:val="0"/>
          <w:numId w:val="10"/>
        </w:numPr>
        <w:tabs>
          <w:tab w:pos="1528" w:val="left" w:leader="none"/>
        </w:tabs>
        <w:spacing w:line="409" w:lineRule="exact" w:before="0" w:after="0"/>
        <w:ind w:left="1528" w:right="0" w:hanging="480"/>
        <w:jc w:val="both"/>
        <w:rPr>
          <w:sz w:val="24"/>
        </w:rPr>
      </w:pPr>
      <w:r>
        <w:rPr>
          <w:rFonts w:ascii="Microsoft JhengHei" w:eastAsia="Microsoft JhengHei"/>
          <w:b/>
          <w:spacing w:val="-2"/>
          <w:sz w:val="24"/>
        </w:rPr>
        <w:t>醫療後勤管理：</w:t>
      </w:r>
      <w:r>
        <w:rPr>
          <w:spacing w:val="-3"/>
          <w:sz w:val="24"/>
        </w:rPr>
        <w:t>醫療後勤解決方案已被證明可優化資源分配和排程，且</w:t>
      </w:r>
    </w:p>
    <w:p>
      <w:pPr>
        <w:pStyle w:val="BodyText"/>
        <w:spacing w:line="422" w:lineRule="auto" w:before="178"/>
        <w:ind w:left="1528" w:right="684"/>
      </w:pPr>
      <w:r>
        <w:rPr>
          <w:spacing w:val="-1"/>
        </w:rPr>
        <w:t>系統對提高醫療機構應對突發事件的能力具有重要作用 </w:t>
      </w:r>
      <w:r>
        <w:rPr>
          <w:rFonts w:ascii="Times New Roman" w:eastAsia="Times New Roman"/>
        </w:rPr>
        <w:t>(Agarwal et </w:t>
      </w:r>
      <w:r>
        <w:rPr>
          <w:rFonts w:ascii="Times New Roman" w:eastAsia="Times New Roman"/>
        </w:rPr>
        <w:t>al., </w:t>
      </w:r>
      <w:r>
        <w:rPr>
          <w:rFonts w:ascii="Times New Roman" w:eastAsia="Times New Roman"/>
          <w:spacing w:val="-2"/>
        </w:rPr>
        <w:t>2019)</w:t>
      </w:r>
      <w:r>
        <w:rPr>
          <w:spacing w:val="-2"/>
        </w:rPr>
        <w:t>。</w:t>
      </w:r>
    </w:p>
    <w:p>
      <w:pPr>
        <w:pStyle w:val="BodyText"/>
        <w:spacing w:line="422" w:lineRule="auto" w:before="105"/>
        <w:ind w:right="682" w:firstLine="479"/>
      </w:pPr>
      <w:r>
        <w:rPr>
          <w:rFonts w:ascii="Times New Roman" w:eastAsia="Times New Roman"/>
        </w:rPr>
        <w:t>KPMG </w:t>
      </w:r>
      <w:r>
        <w:rPr/>
        <w:t>的智慧照護創新趨勢報告指出，傳統照護場域因缺乏智慧化設計而</w:t>
      </w:r>
      <w:r>
        <w:rPr>
          <w:spacing w:val="-4"/>
        </w:rPr>
        <w:t>導致設備功能難以發揮，人力與資金不足更進一步阻礙了數位化進程。然而，隨</w:t>
      </w:r>
      <w:r>
        <w:rPr>
          <w:spacing w:val="-3"/>
        </w:rPr>
        <w:t>著資通訊技術的發展，設備互聯與跨平台協作成為可能，部分業者採用 </w:t>
      </w:r>
      <w:r>
        <w:rPr>
          <w:rFonts w:ascii="Times New Roman" w:eastAsia="Times New Roman"/>
          <w:spacing w:val="-2"/>
        </w:rPr>
        <w:t>SaaS</w:t>
      </w:r>
      <w:r>
        <w:rPr>
          <w:rFonts w:ascii="Times New Roman" w:eastAsia="Times New Roman"/>
          <w:spacing w:val="-8"/>
        </w:rPr>
        <w:t> </w:t>
      </w:r>
      <w:r>
        <w:rPr>
          <w:spacing w:val="-2"/>
        </w:rPr>
        <w:t>模</w:t>
      </w:r>
      <w:r>
        <w:rPr/>
        <w:t>式，降低數位轉型門檻並促進智慧化進程。</w:t>
      </w:r>
      <w:r>
        <w:rPr>
          <w:rFonts w:ascii="Times New Roman" w:eastAsia="Times New Roman"/>
        </w:rPr>
        <w:t>SaaS </w:t>
      </w:r>
      <w:r>
        <w:rPr/>
        <w:t>的靈活性與擴展性使其能夠在</w:t>
      </w:r>
      <w:r>
        <w:rPr>
          <w:spacing w:val="-2"/>
        </w:rPr>
        <w:t>醫療產業中實現快速整合。該模式幫助傳統醫療服務與創新技術公司之間形成</w:t>
      </w:r>
      <w:r>
        <w:rPr/>
        <w:t>協作夥伴關係，共同推動數據共享、效率提升與用戶體驗的優化（</w:t>
      </w:r>
      <w:r>
        <w:rPr>
          <w:rFonts w:ascii="Times New Roman" w:eastAsia="Times New Roman"/>
        </w:rPr>
        <w:t>Benlian</w:t>
      </w:r>
      <w:r>
        <w:rPr>
          <w:rFonts w:ascii="Times New Roman" w:eastAsia="Times New Roman"/>
          <w:spacing w:val="-15"/>
        </w:rPr>
        <w:t> </w:t>
      </w:r>
      <w:r>
        <w:rPr>
          <w:rFonts w:ascii="Times New Roman" w:eastAsia="Times New Roman"/>
        </w:rPr>
        <w:t>et</w:t>
      </w:r>
      <w:r>
        <w:rPr>
          <w:rFonts w:ascii="Times New Roman" w:eastAsia="Times New Roman"/>
          <w:spacing w:val="-15"/>
        </w:rPr>
        <w:t> </w:t>
      </w:r>
      <w:r>
        <w:rPr>
          <w:rFonts w:ascii="Times New Roman" w:eastAsia="Times New Roman"/>
        </w:rPr>
        <w:t>al., </w:t>
      </w:r>
      <w:r>
        <w:rPr>
          <w:rFonts w:ascii="Times New Roman" w:eastAsia="Times New Roman"/>
          <w:spacing w:val="22"/>
        </w:rPr>
        <w:t>20</w:t>
      </w:r>
      <w:r>
        <w:rPr>
          <w:rFonts w:ascii="Times New Roman" w:eastAsia="Times New Roman"/>
          <w:spacing w:val="12"/>
        </w:rPr>
        <w:t>1</w:t>
      </w:r>
      <w:r>
        <w:rPr>
          <w:rFonts w:ascii="Times New Roman" w:eastAsia="Times New Roman"/>
          <w:spacing w:val="21"/>
        </w:rPr>
        <w:t>1</w:t>
      </w:r>
      <w:r>
        <w:rPr>
          <w:spacing w:val="-98"/>
        </w:rPr>
        <w:t>）</w:t>
      </w:r>
      <w:r>
        <w:rPr>
          <w:spacing w:val="-120"/>
        </w:rPr>
        <w:t>。</w:t>
      </w:r>
    </w:p>
    <w:p>
      <w:pPr>
        <w:pStyle w:val="Heading2"/>
        <w:tabs>
          <w:tab w:pos="1435" w:val="left" w:leader="none"/>
        </w:tabs>
        <w:spacing w:before="97"/>
        <w:ind w:left="571"/>
        <w:rPr>
          <w:position w:val="1"/>
        </w:rPr>
      </w:pPr>
      <w:r>
        <w:rPr>
          <w:position w:val="1"/>
        </w:rPr>
        <w:drawing>
          <wp:anchor distT="0" distB="0" distL="0" distR="0" allowOverlap="1" layoutInCell="1" locked="0" behindDoc="1" simplePos="0" relativeHeight="485785088">
            <wp:simplePos x="0" y="0"/>
            <wp:positionH relativeFrom="page">
              <wp:posOffset>3312414</wp:posOffset>
            </wp:positionH>
            <wp:positionV relativeFrom="paragraph">
              <wp:posOffset>179127</wp:posOffset>
            </wp:positionV>
            <wp:extent cx="929640" cy="978408"/>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6" cstate="print"/>
                    <a:stretch>
                      <a:fillRect/>
                    </a:stretch>
                  </pic:blipFill>
                  <pic:spPr>
                    <a:xfrm>
                      <a:off x="0" y="0"/>
                      <a:ext cx="929640" cy="978408"/>
                    </a:xfrm>
                    <a:prstGeom prst="rect">
                      <a:avLst/>
                    </a:prstGeom>
                  </pic:spPr>
                </pic:pic>
              </a:graphicData>
            </a:graphic>
          </wp:anchor>
        </w:drawing>
      </w:r>
      <w:r>
        <w:rPr>
          <w:b w:val="0"/>
        </w:rPr>
        <w:drawing>
          <wp:inline distT="0" distB="0" distL="0" distR="0">
            <wp:extent cx="395478" cy="145541"/>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57" cstate="print"/>
                    <a:stretch>
                      <a:fillRect/>
                    </a:stretch>
                  </pic:blipFill>
                  <pic:spPr>
                    <a:xfrm>
                      <a:off x="0" y="0"/>
                      <a:ext cx="395478" cy="145541"/>
                    </a:xfrm>
                    <a:prstGeom prst="rect">
                      <a:avLst/>
                    </a:prstGeom>
                  </pic:spPr>
                </pic:pic>
              </a:graphicData>
            </a:graphic>
          </wp:inline>
        </w:drawing>
      </w:r>
      <w:r>
        <w:rPr>
          <w:b w:val="0"/>
        </w:rPr>
      </w:r>
      <w:r>
        <w:rPr>
          <w:rFonts w:ascii="Times New Roman" w:eastAsia="Times New Roman"/>
          <w:b w:val="0"/>
          <w:position w:val="1"/>
          <w:sz w:val="20"/>
        </w:rPr>
        <w:tab/>
      </w:r>
      <w:bookmarkStart w:name="_bookmark18" w:id="19"/>
      <w:bookmarkEnd w:id="19"/>
      <w:r>
        <w:rPr>
          <w:rFonts w:ascii="Times New Roman" w:eastAsia="Times New Roman"/>
          <w:b w:val="0"/>
          <w:position w:val="1"/>
          <w:sz w:val="20"/>
        </w:rPr>
      </w:r>
      <w:r>
        <w:rPr>
          <w:rFonts w:ascii="Times New Roman" w:eastAsia="Times New Roman"/>
          <w:spacing w:val="-2"/>
          <w:position w:val="1"/>
        </w:rPr>
        <w:t>SaaS</w:t>
      </w:r>
      <w:r>
        <w:rPr>
          <w:rFonts w:ascii="Times New Roman" w:eastAsia="Times New Roman"/>
          <w:spacing w:val="-1"/>
          <w:position w:val="1"/>
        </w:rPr>
        <w:t> </w:t>
      </w:r>
      <w:r>
        <w:rPr>
          <w:spacing w:val="-3"/>
          <w:position w:val="1"/>
        </w:rPr>
        <w:t>特色與組織拓展策略之關聯</w:t>
      </w:r>
    </w:p>
    <w:p>
      <w:pPr>
        <w:pStyle w:val="BodyText"/>
        <w:spacing w:line="422" w:lineRule="auto" w:before="387"/>
        <w:ind w:right="679" w:firstLine="479"/>
      </w:pPr>
      <w:r>
        <w:rPr>
          <w:rFonts w:ascii="Times New Roman" w:eastAsia="Times New Roman"/>
        </w:rPr>
        <w:t>SaaS</w:t>
      </w:r>
      <w:r>
        <w:rPr>
          <w:rFonts w:ascii="Times New Roman" w:eastAsia="Times New Roman"/>
          <w:spacing w:val="-15"/>
        </w:rPr>
        <w:t> </w:t>
      </w:r>
      <w:r>
        <w:rPr>
          <w:spacing w:val="-13"/>
        </w:rPr>
        <w:t>模式固有的靈活性，使企業能夠以最小的延遲實現大規模的軟體部署，</w:t>
      </w:r>
      <w:r>
        <w:rPr>
          <w:spacing w:val="15"/>
        </w:rPr>
        <w:t>從而加速市場滲透，成為組織持續拓展的關鍵特色。提及組織拓展策略，</w:t>
      </w:r>
      <w:r>
        <w:rPr/>
        <w:t> </w:t>
      </w:r>
      <w:r>
        <w:rPr>
          <w:rFonts w:ascii="Times New Roman" w:eastAsia="Times New Roman"/>
          <w:spacing w:val="-4"/>
        </w:rPr>
        <w:t>Demirkan</w:t>
      </w:r>
      <w:r>
        <w:rPr>
          <w:spacing w:val="-4"/>
        </w:rPr>
        <w:t>（</w:t>
      </w:r>
      <w:r>
        <w:rPr>
          <w:rFonts w:ascii="Times New Roman" w:eastAsia="Times New Roman"/>
          <w:spacing w:val="-4"/>
        </w:rPr>
        <w:t>2010</w:t>
      </w:r>
      <w:r>
        <w:rPr>
          <w:spacing w:val="-4"/>
        </w:rPr>
        <w:t>）強調策略以客戶為中心的重要性，透過模組化與可擴展的解決方案，滿足不同客戶的特定需求，並推動客戶採用。這種方法符合更廣泛的策略</w:t>
      </w:r>
      <w:r>
        <w:rPr>
          <w:spacing w:val="-2"/>
        </w:rPr>
        <w:t>目標，即最大化市場影響力，同時也有效減少營運慣性。</w:t>
      </w:r>
      <w:r>
        <w:rPr>
          <w:rFonts w:ascii="Times New Roman" w:eastAsia="Times New Roman"/>
          <w:spacing w:val="-2"/>
        </w:rPr>
        <w:t>Rrucaj</w:t>
      </w:r>
      <w:r>
        <w:rPr>
          <w:spacing w:val="-2"/>
        </w:rPr>
        <w:t>（</w:t>
      </w:r>
      <w:r>
        <w:rPr>
          <w:rFonts w:ascii="Times New Roman" w:eastAsia="Times New Roman"/>
          <w:spacing w:val="-2"/>
        </w:rPr>
        <w:t>2023</w:t>
      </w:r>
      <w:r>
        <w:rPr>
          <w:spacing w:val="-2"/>
        </w:rPr>
        <w:t>）的研究</w:t>
      </w:r>
      <w:r>
        <w:rPr/>
        <w:t>也提及了許多 </w:t>
      </w:r>
      <w:r>
        <w:rPr>
          <w:rFonts w:ascii="Times New Roman" w:eastAsia="Times New Roman"/>
        </w:rPr>
        <w:t>SaaS</w:t>
      </w:r>
      <w:r>
        <w:rPr>
          <w:rFonts w:ascii="Times New Roman" w:eastAsia="Times New Roman"/>
          <w:spacing w:val="40"/>
        </w:rPr>
        <w:t> </w:t>
      </w:r>
      <w:r>
        <w:rPr/>
        <w:t>公司以顧客為中心的策略如何幫助它們建立競爭優勢。例如 </w:t>
      </w:r>
      <w:r>
        <w:rPr>
          <w:rFonts w:ascii="Times New Roman" w:eastAsia="Times New Roman"/>
        </w:rPr>
        <w:t>Salesforce</w:t>
      </w:r>
      <w:r>
        <w:rPr>
          <w:rFonts w:ascii="Times New Roman" w:eastAsia="Times New Roman"/>
          <w:spacing w:val="40"/>
        </w:rPr>
        <w:t> </w:t>
      </w:r>
      <w:r>
        <w:rPr/>
        <w:t>和 </w:t>
      </w:r>
      <w:r>
        <w:rPr>
          <w:rFonts w:ascii="Times New Roman" w:eastAsia="Times New Roman"/>
        </w:rPr>
        <w:t>Zoom </w:t>
      </w:r>
      <w:r>
        <w:rPr/>
        <w:t>都此類策略成為市場領導者。</w:t>
      </w:r>
    </w:p>
    <w:p>
      <w:pPr>
        <w:pStyle w:val="BodyText"/>
        <w:spacing w:line="422" w:lineRule="auto" w:before="101"/>
        <w:ind w:right="682" w:firstLine="479"/>
      </w:pPr>
      <w:r>
        <w:rPr>
          <w:spacing w:val="-2"/>
        </w:rPr>
        <w:t>在以客戶為中心的價值創造過程中，當企業逐步將焦點從內部資源轉向外</w:t>
      </w:r>
      <w:r>
        <w:rPr>
          <w:spacing w:val="-4"/>
        </w:rPr>
        <w:t>部資源時，持續收集外部參與者（包括供應商與消費者）的反饋便成為企業調適內部資源、適應市場變化的核心機制。透過快速迭代的反饋循環，企業能夠靈活</w:t>
      </w:r>
      <w:r>
        <w:rPr>
          <w:spacing w:val="-2"/>
        </w:rPr>
        <w:t>地執行資源實驗，並在實驗後再次收集反饋，推動資源的下一輪適配（</w:t>
      </w:r>
      <w:r>
        <w:rPr>
          <w:rFonts w:ascii="Times New Roman" w:eastAsia="Times New Roman"/>
          <w:spacing w:val="-2"/>
        </w:rPr>
        <w:t>Zeng, </w:t>
      </w:r>
      <w:r>
        <w:rPr>
          <w:rFonts w:ascii="Times New Roman" w:eastAsia="Times New Roman"/>
          <w:spacing w:val="19"/>
        </w:rPr>
        <w:t>202</w:t>
      </w:r>
      <w:r>
        <w:rPr>
          <w:rFonts w:ascii="Times New Roman" w:eastAsia="Times New Roman"/>
          <w:spacing w:val="18"/>
        </w:rPr>
        <w:t>1</w:t>
      </w:r>
      <w:r>
        <w:rPr>
          <w:spacing w:val="-137"/>
        </w:rPr>
        <w:t>）</w:t>
      </w:r>
      <w:r>
        <w:rPr>
          <w:spacing w:val="-12"/>
        </w:rPr>
        <w:t>。這一動態的資源分配機制，有助於內部資源的調整，同時引導新的實驗，</w:t>
      </w:r>
    </w:p>
    <w:p>
      <w:pPr>
        <w:pStyle w:val="BodyText"/>
        <w:spacing w:line="301" w:lineRule="exact"/>
        <w:jc w:val="left"/>
      </w:pPr>
      <w:r>
        <w:rPr>
          <w:spacing w:val="-1"/>
        </w:rPr>
        <w:t>並促進外部供應商與消費者之間的互動。</w:t>
      </w:r>
    </w:p>
    <w:p>
      <w:pPr>
        <w:pStyle w:val="BodyText"/>
        <w:spacing w:after="0" w:line="301" w:lineRule="exact"/>
        <w:jc w:val="left"/>
        <w:sectPr>
          <w:pgSz w:w="11910" w:h="16840"/>
          <w:pgMar w:header="0" w:footer="1197" w:top="1740" w:bottom="1380" w:left="1133" w:right="1133"/>
        </w:sectPr>
      </w:pPr>
    </w:p>
    <w:p>
      <w:pPr>
        <w:pStyle w:val="BodyText"/>
        <w:spacing w:line="422" w:lineRule="auto" w:before="27"/>
        <w:ind w:right="684" w:firstLine="479"/>
      </w:pPr>
      <w:r>
        <w:rPr>
          <w:spacing w:val="-6"/>
        </w:rPr>
        <w:t>隨著價值逐漸由外部參與者決定，關鍵問題便轉向：哪些稀缺、難以模仿且</w:t>
      </w:r>
      <w:r>
        <w:rPr>
          <w:spacing w:val="-4"/>
        </w:rPr>
        <w:t>具價值的內部資源能成為企業價值創造與競爭優勢的核心驅動力。</w:t>
      </w:r>
      <w:r>
        <w:rPr>
          <w:rFonts w:ascii="Times New Roman" w:eastAsia="Times New Roman"/>
          <w:spacing w:val="-4"/>
        </w:rPr>
        <w:t>Zeng</w:t>
      </w:r>
      <w:r>
        <w:rPr>
          <w:spacing w:val="-4"/>
        </w:rPr>
        <w:t>（</w:t>
      </w:r>
      <w:r>
        <w:rPr>
          <w:rFonts w:ascii="Times New Roman" w:eastAsia="Times New Roman"/>
          <w:spacing w:val="-4"/>
        </w:rPr>
        <w:t>2021</w:t>
      </w:r>
      <w:r>
        <w:rPr>
          <w:spacing w:val="-4"/>
        </w:rPr>
        <w:t>）的研究發現，在低進入門檻、低轉換成本，以及市場資訊不對稱性逐漸減少的情境下，</w:t>
      </w:r>
      <w:r>
        <w:rPr>
          <w:spacing w:val="-4"/>
          <w:u w:val="single"/>
        </w:rPr>
        <w:t>唯一稀缺且難以模仿的資源是透過龐大利害關係人網路所收集的數據</w:t>
      </w:r>
      <w:r>
        <w:rPr>
          <w:spacing w:val="-7"/>
        </w:rPr>
        <w:t>。這</w:t>
      </w:r>
    </w:p>
    <w:p>
      <w:pPr>
        <w:pStyle w:val="BodyText"/>
        <w:spacing w:line="303" w:lineRule="exact"/>
        <w:jc w:val="left"/>
      </w:pPr>
      <w:r>
        <w:rPr>
          <w:spacing w:val="-1"/>
        </w:rPr>
        <w:t>些數據經由機器學習演算法轉化為協調的驅動力，進一步激發網路效應。</w:t>
      </w:r>
    </w:p>
    <w:p>
      <w:pPr>
        <w:pStyle w:val="BodyText"/>
        <w:spacing w:before="33"/>
        <w:ind w:left="0"/>
        <w:jc w:val="left"/>
      </w:pPr>
    </w:p>
    <w:p>
      <w:pPr>
        <w:pStyle w:val="BodyText"/>
        <w:spacing w:line="422" w:lineRule="auto"/>
        <w:ind w:right="682" w:firstLine="479"/>
      </w:pPr>
      <w:r>
        <w:rPr/>
        <w:drawing>
          <wp:anchor distT="0" distB="0" distL="0" distR="0" allowOverlap="1" layoutInCell="1" locked="0" behindDoc="1" simplePos="0" relativeHeight="485785600">
            <wp:simplePos x="0" y="0"/>
            <wp:positionH relativeFrom="page">
              <wp:posOffset>3312414</wp:posOffset>
            </wp:positionH>
            <wp:positionV relativeFrom="paragraph">
              <wp:posOffset>1898649</wp:posOffset>
            </wp:positionV>
            <wp:extent cx="929640" cy="978408"/>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6" cstate="print"/>
                    <a:stretch>
                      <a:fillRect/>
                    </a:stretch>
                  </pic:blipFill>
                  <pic:spPr>
                    <a:xfrm>
                      <a:off x="0" y="0"/>
                      <a:ext cx="929640" cy="978408"/>
                    </a:xfrm>
                    <a:prstGeom prst="rect">
                      <a:avLst/>
                    </a:prstGeom>
                  </pic:spPr>
                </pic:pic>
              </a:graphicData>
            </a:graphic>
          </wp:anchor>
        </w:drawing>
      </w:r>
      <w:r>
        <w:rPr>
          <w:spacing w:val="-5"/>
        </w:rPr>
        <w:t>現今數據分析已成為現代 </w:t>
      </w:r>
      <w:r>
        <w:rPr>
          <w:rFonts w:ascii="Times New Roman" w:eastAsia="Times New Roman"/>
          <w:spacing w:val="-2"/>
        </w:rPr>
        <w:t>SaaS</w:t>
      </w:r>
      <w:r>
        <w:rPr>
          <w:rFonts w:ascii="Times New Roman" w:eastAsia="Times New Roman"/>
          <w:spacing w:val="-11"/>
        </w:rPr>
        <w:t> </w:t>
      </w:r>
      <w:r>
        <w:rPr>
          <w:spacing w:val="-2"/>
        </w:rPr>
        <w:t>戰略計劃的支柱。分析和解釋大型數據集的</w:t>
      </w:r>
      <w:r>
        <w:rPr>
          <w:spacing w:val="-8"/>
        </w:rPr>
        <w:t>能力，使 </w:t>
      </w:r>
      <w:r>
        <w:rPr>
          <w:rFonts w:ascii="Times New Roman" w:eastAsia="Times New Roman"/>
          <w:spacing w:val="-2"/>
        </w:rPr>
        <w:t>SaaS</w:t>
      </w:r>
      <w:r>
        <w:rPr>
          <w:rFonts w:ascii="Times New Roman" w:eastAsia="Times New Roman"/>
          <w:spacing w:val="-8"/>
        </w:rPr>
        <w:t> </w:t>
      </w:r>
      <w:r>
        <w:rPr>
          <w:spacing w:val="-2"/>
        </w:rPr>
        <w:t>企業能夠預測市場趨勢、優化產品供應，並個人化用戶體驗。這</w:t>
      </w:r>
      <w:r>
        <w:rPr>
          <w:spacing w:val="-4"/>
        </w:rPr>
        <w:t>種數據驅動的方法不僅支援決策，還能指導知識與技術的整合，強調透過流程資</w:t>
      </w:r>
      <w:r>
        <w:rPr>
          <w:spacing w:val="-6"/>
        </w:rPr>
        <w:t>料來分析探索市場邊界、擴大服務範疇的重要性（</w:t>
      </w:r>
      <w:r>
        <w:rPr>
          <w:rFonts w:ascii="Times New Roman" w:eastAsia="Times New Roman"/>
          <w:spacing w:val="-6"/>
        </w:rPr>
        <w:t>Oliveira et </w:t>
      </w:r>
      <w:r>
        <w:rPr>
          <w:rFonts w:ascii="Times New Roman" w:eastAsia="Times New Roman"/>
          <w:spacing w:val="10"/>
        </w:rPr>
        <w:t>a</w:t>
      </w:r>
      <w:r>
        <w:rPr>
          <w:rFonts w:ascii="Times New Roman" w:eastAsia="Times New Roman"/>
          <w:spacing w:val="11"/>
        </w:rPr>
        <w:t>l</w:t>
      </w:r>
      <w:r>
        <w:rPr>
          <w:rFonts w:ascii="Times New Roman" w:eastAsia="Times New Roman"/>
          <w:spacing w:val="-1"/>
        </w:rPr>
        <w:t>.</w:t>
      </w:r>
      <w:r>
        <w:rPr>
          <w:spacing w:val="-1"/>
        </w:rPr>
        <w:t>，</w:t>
      </w:r>
      <w:r>
        <w:rPr>
          <w:rFonts w:ascii="Times New Roman" w:eastAsia="Times New Roman"/>
          <w:spacing w:val="11"/>
        </w:rPr>
        <w:t>201</w:t>
      </w:r>
      <w:r>
        <w:rPr>
          <w:rFonts w:ascii="Times New Roman" w:eastAsia="Times New Roman"/>
          <w:spacing w:val="14"/>
        </w:rPr>
        <w:t>9</w:t>
      </w:r>
      <w:r>
        <w:rPr>
          <w:spacing w:val="-121"/>
        </w:rPr>
        <w:t>）</w:t>
      </w:r>
      <w:r>
        <w:rPr>
          <w:spacing w:val="-6"/>
        </w:rPr>
        <w:t>。此外，</w:t>
      </w:r>
      <w:r>
        <w:rPr>
          <w:spacing w:val="-4"/>
        </w:rPr>
        <w:t>數據為中心的策略進一步提高了營運效率，並為預測建模提供基礎，應對市場不</w:t>
      </w:r>
      <w:r>
        <w:rPr>
          <w:spacing w:val="-6"/>
        </w:rPr>
        <w:t>確定性至關重要（</w:t>
      </w:r>
      <w:r>
        <w:rPr>
          <w:rFonts w:ascii="Times New Roman" w:eastAsia="Times New Roman"/>
          <w:spacing w:val="-6"/>
        </w:rPr>
        <w:t>Yang</w:t>
      </w:r>
      <w:r>
        <w:rPr>
          <w:rFonts w:ascii="Times New Roman" w:eastAsia="Times New Roman"/>
          <w:spacing w:val="-9"/>
        </w:rPr>
        <w:t> </w:t>
      </w:r>
      <w:r>
        <w:rPr>
          <w:rFonts w:ascii="Times New Roman" w:eastAsia="Times New Roman"/>
          <w:spacing w:val="-6"/>
        </w:rPr>
        <w:t>et</w:t>
      </w:r>
      <w:r>
        <w:rPr>
          <w:rFonts w:ascii="Times New Roman" w:eastAsia="Times New Roman"/>
          <w:spacing w:val="-9"/>
        </w:rPr>
        <w:t> </w:t>
      </w:r>
      <w:r>
        <w:rPr>
          <w:rFonts w:ascii="Times New Roman" w:eastAsia="Times New Roman"/>
          <w:spacing w:val="-6"/>
        </w:rPr>
        <w:t>al.,</w:t>
      </w:r>
      <w:r>
        <w:rPr>
          <w:rFonts w:ascii="Times New Roman" w:eastAsia="Times New Roman"/>
          <w:spacing w:val="-9"/>
        </w:rPr>
        <w:t> </w:t>
      </w:r>
      <w:r>
        <w:rPr>
          <w:rFonts w:ascii="Times New Roman" w:eastAsia="Times New Roman"/>
          <w:spacing w:val="19"/>
        </w:rPr>
        <w:t>2015</w:t>
      </w:r>
      <w:r>
        <w:rPr>
          <w:spacing w:val="-109"/>
        </w:rPr>
        <w:t>）</w:t>
      </w:r>
      <w:r>
        <w:rPr>
          <w:spacing w:val="-8"/>
        </w:rPr>
        <w:t>。數據驅動的能力不僅支援 </w:t>
      </w:r>
      <w:r>
        <w:rPr>
          <w:rFonts w:ascii="Times New Roman" w:eastAsia="Times New Roman"/>
          <w:spacing w:val="-6"/>
        </w:rPr>
        <w:t>SaaS</w:t>
      </w:r>
      <w:r>
        <w:rPr>
          <w:rFonts w:ascii="Times New Roman" w:eastAsia="Times New Roman"/>
          <w:spacing w:val="4"/>
        </w:rPr>
        <w:t> </w:t>
      </w:r>
      <w:r>
        <w:rPr>
          <w:spacing w:val="-6"/>
        </w:rPr>
        <w:t>企業的日常</w:t>
      </w:r>
      <w:r>
        <w:rPr>
          <w:spacing w:val="-5"/>
        </w:rPr>
        <w:t>運作，更為企業尋找市場機會提供了堅實的基礎。正如 </w:t>
      </w:r>
      <w:r>
        <w:rPr>
          <w:rFonts w:ascii="Times New Roman" w:eastAsia="Times New Roman"/>
          <w:spacing w:val="-4"/>
        </w:rPr>
        <w:t>Christensen</w:t>
      </w:r>
      <w:r>
        <w:rPr>
          <w:spacing w:val="-4"/>
        </w:rPr>
        <w:t>（</w:t>
      </w:r>
      <w:r>
        <w:rPr>
          <w:rFonts w:ascii="Times New Roman" w:eastAsia="Times New Roman"/>
          <w:spacing w:val="-4"/>
        </w:rPr>
        <w:t>2013</w:t>
      </w:r>
      <w:r>
        <w:rPr>
          <w:spacing w:val="-4"/>
        </w:rPr>
        <w:t>）所提出的顛覆性創新理論，企業應聚焦未被滿足的市場需求，透過技術與服務創新逐</w:t>
      </w:r>
      <w:r>
        <w:rPr>
          <w:spacing w:val="-8"/>
        </w:rPr>
        <w:t>步切入現有市場，實現競爭優勢（</w:t>
      </w:r>
      <w:r>
        <w:rPr>
          <w:rFonts w:ascii="Times New Roman" w:eastAsia="Times New Roman"/>
          <w:spacing w:val="-8"/>
        </w:rPr>
        <w:t>Christensen</w:t>
      </w:r>
      <w:r>
        <w:rPr>
          <w:rFonts w:ascii="Times New Roman" w:eastAsia="Times New Roman"/>
        </w:rPr>
        <w:t> </w:t>
      </w:r>
      <w:r>
        <w:rPr>
          <w:rFonts w:ascii="Times New Roman" w:eastAsia="Times New Roman"/>
          <w:spacing w:val="-8"/>
        </w:rPr>
        <w:t>et</w:t>
      </w:r>
      <w:r>
        <w:rPr>
          <w:rFonts w:ascii="Times New Roman" w:eastAsia="Times New Roman"/>
          <w:spacing w:val="11"/>
        </w:rPr>
        <w:t> </w:t>
      </w:r>
      <w:r>
        <w:rPr>
          <w:rFonts w:ascii="Times New Roman" w:eastAsia="Times New Roman"/>
          <w:spacing w:val="-8"/>
        </w:rPr>
        <w:t>al.,</w:t>
      </w:r>
      <w:r>
        <w:rPr>
          <w:rFonts w:ascii="Times New Roman" w:eastAsia="Times New Roman"/>
          <w:spacing w:val="11"/>
        </w:rPr>
        <w:t> </w:t>
      </w:r>
      <w:r>
        <w:rPr>
          <w:rFonts w:ascii="Times New Roman" w:eastAsia="Times New Roman"/>
          <w:spacing w:val="20"/>
        </w:rPr>
        <w:t>2015</w:t>
      </w:r>
      <w:r>
        <w:rPr>
          <w:spacing w:val="-122"/>
        </w:rPr>
        <w:t>）</w:t>
      </w:r>
      <w:r>
        <w:rPr>
          <w:spacing w:val="-10"/>
        </w:rPr>
        <w:t>。這一策略框架為 </w:t>
      </w:r>
      <w:r>
        <w:rPr>
          <w:rFonts w:ascii="Times New Roman" w:eastAsia="Times New Roman"/>
          <w:spacing w:val="-8"/>
        </w:rPr>
        <w:t>SaaS</w:t>
      </w:r>
      <w:r>
        <w:rPr>
          <w:spacing w:val="-4"/>
        </w:rPr>
        <w:t>公司提供了實際可行的途徑，尤其適用於 </w:t>
      </w:r>
      <w:r>
        <w:rPr>
          <w:rFonts w:ascii="Times New Roman" w:eastAsia="Times New Roman"/>
          <w:spacing w:val="-2"/>
        </w:rPr>
        <w:t>SaaS</w:t>
      </w:r>
      <w:r>
        <w:rPr>
          <w:rFonts w:ascii="Times New Roman" w:eastAsia="Times New Roman"/>
          <w:spacing w:val="-8"/>
        </w:rPr>
        <w:t> </w:t>
      </w:r>
      <w:r>
        <w:rPr>
          <w:spacing w:val="-2"/>
        </w:rPr>
        <w:t>模式特有的低成本、高靈活性優</w:t>
      </w:r>
      <w:r>
        <w:rPr>
          <w:spacing w:val="-6"/>
        </w:rPr>
        <w:t>勢。</w:t>
      </w:r>
    </w:p>
    <w:p>
      <w:pPr>
        <w:pStyle w:val="BodyText"/>
        <w:spacing w:line="422" w:lineRule="auto" w:before="95"/>
        <w:ind w:right="564" w:firstLine="479"/>
        <w:jc w:val="left"/>
      </w:pPr>
      <w:r>
        <w:rPr>
          <w:rFonts w:ascii="Times New Roman" w:eastAsia="Times New Roman"/>
        </w:rPr>
        <w:t>Christensen </w:t>
      </w:r>
      <w:r>
        <w:rPr>
          <w:spacing w:val="5"/>
        </w:rPr>
        <w:t>的顛覆性創新框架揭示了</w:t>
      </w:r>
      <w:r>
        <w:rPr>
          <w:rFonts w:ascii="Times New Roman" w:eastAsia="Times New Roman"/>
        </w:rPr>
        <w:t>SaaS </w:t>
      </w:r>
      <w:r>
        <w:rPr/>
        <w:t>公司如何迅速滲透市場並顛覆既</w:t>
      </w:r>
      <w:r>
        <w:rPr>
          <w:spacing w:val="-2"/>
        </w:rPr>
        <w:t>有競爭格局。然而，這一優勢並非僅限於產品層面的創新，正如 </w:t>
      </w:r>
      <w:r>
        <w:rPr>
          <w:rFonts w:ascii="Times New Roman" w:eastAsia="Times New Roman"/>
        </w:rPr>
        <w:t>Adner</w:t>
      </w:r>
      <w:r>
        <w:rPr/>
        <w:t>（</w:t>
      </w:r>
      <w:r>
        <w:rPr>
          <w:rFonts w:ascii="Times New Roman" w:eastAsia="Times New Roman"/>
        </w:rPr>
        <w:t>2017</w:t>
      </w:r>
      <w:r>
        <w:rPr/>
        <w:t>）</w:t>
      </w:r>
      <w:r>
        <w:rPr>
          <w:spacing w:val="-31"/>
        </w:rPr>
        <w:t>和 </w:t>
      </w:r>
      <w:r>
        <w:rPr>
          <w:rFonts w:ascii="Times New Roman" w:eastAsia="Times New Roman"/>
        </w:rPr>
        <w:t>Gawer</w:t>
      </w:r>
      <w:r>
        <w:rPr/>
        <w:t>（</w:t>
      </w:r>
      <w:r>
        <w:rPr>
          <w:rFonts w:ascii="Times New Roman" w:eastAsia="Times New Roman"/>
        </w:rPr>
        <w:t>2014</w:t>
      </w:r>
      <w:r>
        <w:rPr/>
        <w:t>）所指出，現代企業的競爭優勢更依賴於生態系統的協同合作。 </w:t>
      </w:r>
      <w:r>
        <w:rPr>
          <w:rFonts w:ascii="Times New Roman" w:eastAsia="Times New Roman"/>
        </w:rPr>
        <w:t>SaaS</w:t>
      </w:r>
      <w:r>
        <w:rPr>
          <w:rFonts w:ascii="Times New Roman" w:eastAsia="Times New Roman"/>
          <w:spacing w:val="40"/>
        </w:rPr>
        <w:t> </w:t>
      </w:r>
      <w:r>
        <w:rPr/>
        <w:t>公司須將視角擴展至整體生態系統，透過協調供應商、消費者及其他利害</w:t>
      </w:r>
      <w:r>
        <w:rPr>
          <w:spacing w:val="-2"/>
        </w:rPr>
        <w:t>關係人，共同推動創新，達成資源的最佳配置（</w:t>
      </w:r>
      <w:r>
        <w:rPr>
          <w:rFonts w:ascii="Times New Roman" w:eastAsia="Times New Roman"/>
          <w:spacing w:val="-2"/>
        </w:rPr>
        <w:t>Williamson &amp; De</w:t>
      </w:r>
      <w:r>
        <w:rPr>
          <w:rFonts w:ascii="Times New Roman" w:eastAsia="Times New Roman"/>
          <w:spacing w:val="-4"/>
        </w:rPr>
        <w:t> </w:t>
      </w:r>
      <w:r>
        <w:rPr>
          <w:rFonts w:ascii="Times New Roman" w:eastAsia="Times New Roman"/>
          <w:spacing w:val="-2"/>
        </w:rPr>
        <w:t>Meyer, </w:t>
      </w:r>
      <w:r>
        <w:rPr>
          <w:rFonts w:ascii="Times New Roman" w:eastAsia="Times New Roman"/>
          <w:spacing w:val="23"/>
        </w:rPr>
        <w:t>201</w:t>
      </w:r>
      <w:r>
        <w:rPr>
          <w:rFonts w:ascii="Times New Roman" w:eastAsia="Times New Roman"/>
          <w:spacing w:val="24"/>
        </w:rPr>
        <w:t>2</w:t>
      </w:r>
      <w:r>
        <w:rPr>
          <w:spacing w:val="-105"/>
        </w:rPr>
        <w:t>）</w:t>
      </w:r>
      <w:r>
        <w:rPr>
          <w:spacing w:val="-128"/>
        </w:rPr>
        <w:t>。</w:t>
      </w:r>
    </w:p>
    <w:p>
      <w:pPr>
        <w:pStyle w:val="BodyText"/>
        <w:spacing w:line="422" w:lineRule="auto"/>
        <w:ind w:right="685"/>
      </w:pPr>
      <w:r>
        <w:rPr>
          <w:spacing w:val="-4"/>
        </w:rPr>
        <w:t>傳統創新多集中於產品與服務層面的研發投入，而 </w:t>
      </w:r>
      <w:r>
        <w:rPr>
          <w:rFonts w:ascii="Times New Roman" w:eastAsia="Times New Roman"/>
          <w:spacing w:val="-2"/>
        </w:rPr>
        <w:t>SaaS</w:t>
      </w:r>
      <w:r>
        <w:rPr>
          <w:rFonts w:ascii="Times New Roman" w:eastAsia="Times New Roman"/>
          <w:spacing w:val="-11"/>
        </w:rPr>
        <w:t> </w:t>
      </w:r>
      <w:r>
        <w:rPr>
          <w:spacing w:val="-2"/>
        </w:rPr>
        <w:t>公司則更側重於協調生</w:t>
      </w:r>
      <w:r>
        <w:rPr>
          <w:spacing w:val="-2"/>
        </w:rPr>
        <w:t>態系統中的多方參與者透過整合先前未連結或少連結的資源，創造新的價值配置與創新。</w:t>
      </w:r>
    </w:p>
    <w:p>
      <w:pPr>
        <w:pStyle w:val="BodyText"/>
        <w:spacing w:after="0" w:line="422" w:lineRule="auto"/>
        <w:sectPr>
          <w:pgSz w:w="11910" w:h="16840"/>
          <w:pgMar w:header="0" w:footer="1197" w:top="1760" w:bottom="1380" w:left="1133" w:right="1133"/>
        </w:sectPr>
      </w:pPr>
    </w:p>
    <w:p>
      <w:pPr>
        <w:pStyle w:val="BodyText"/>
        <w:spacing w:line="422" w:lineRule="auto" w:before="27"/>
        <w:ind w:right="682" w:firstLine="479"/>
      </w:pPr>
      <w:r>
        <w:rPr>
          <w:spacing w:val="-2"/>
        </w:rPr>
        <w:t>這種生態系統的互動促進了數據的增長，而多樣化的網路互動則加深了數</w:t>
      </w:r>
      <w:r>
        <w:rPr>
          <w:spacing w:val="-4"/>
        </w:rPr>
        <w:t>據的量與質，幫助平台識別必要的工具與機制，進一步提升協調的能力。隨著數據驅動的效應規模擴大，持續創造新的市場機會推動整體生態系統的成長，實現更高層次的生態系協同，這種生態協調有助於 </w:t>
      </w:r>
      <w:r>
        <w:rPr>
          <w:rFonts w:ascii="Times New Roman" w:eastAsia="Times New Roman"/>
          <w:spacing w:val="-2"/>
        </w:rPr>
        <w:t>SaaS</w:t>
      </w:r>
      <w:r>
        <w:rPr>
          <w:rFonts w:ascii="Times New Roman" w:eastAsia="Times New Roman"/>
          <w:spacing w:val="-8"/>
        </w:rPr>
        <w:t> </w:t>
      </w:r>
      <w:r>
        <w:rPr>
          <w:spacing w:val="-2"/>
        </w:rPr>
        <w:t>企業有效配置共享資源，強</w:t>
      </w:r>
      <w:r>
        <w:rPr/>
        <w:t>化與外部利害關係人的合作，提升服務價值並促進創新（</w:t>
      </w:r>
      <w:r>
        <w:rPr>
          <w:rFonts w:ascii="Times New Roman" w:eastAsia="Times New Roman"/>
        </w:rPr>
        <w:t>Benlian</w:t>
      </w:r>
      <w:r>
        <w:rPr>
          <w:rFonts w:ascii="Times New Roman" w:eastAsia="Times New Roman"/>
          <w:spacing w:val="-1"/>
        </w:rPr>
        <w:t> </w:t>
      </w:r>
      <w:r>
        <w:rPr>
          <w:rFonts w:ascii="Times New Roman" w:eastAsia="Times New Roman"/>
        </w:rPr>
        <w:t>et</w:t>
      </w:r>
      <w:r>
        <w:rPr>
          <w:rFonts w:ascii="Times New Roman" w:eastAsia="Times New Roman"/>
          <w:spacing w:val="-1"/>
        </w:rPr>
        <w:t> </w:t>
      </w:r>
      <w:r>
        <w:rPr>
          <w:rFonts w:ascii="Times New Roman" w:eastAsia="Times New Roman"/>
        </w:rPr>
        <w:t>al.,</w:t>
      </w:r>
      <w:r>
        <w:rPr>
          <w:rFonts w:ascii="Times New Roman" w:eastAsia="Times New Roman"/>
          <w:spacing w:val="-1"/>
        </w:rPr>
        <w:t> </w:t>
      </w:r>
      <w:r>
        <w:rPr>
          <w:rFonts w:ascii="Times New Roman" w:eastAsia="Times New Roman"/>
          <w:spacing w:val="26"/>
        </w:rPr>
        <w:t>20</w:t>
      </w:r>
      <w:r>
        <w:rPr>
          <w:rFonts w:ascii="Times New Roman" w:eastAsia="Times New Roman"/>
          <w:spacing w:val="16"/>
        </w:rPr>
        <w:t>1</w:t>
      </w:r>
      <w:r>
        <w:rPr>
          <w:rFonts w:ascii="Times New Roman" w:eastAsia="Times New Roman"/>
          <w:spacing w:val="26"/>
        </w:rPr>
        <w:t>1</w:t>
      </w:r>
      <w:r>
        <w:rPr>
          <w:spacing w:val="-94"/>
        </w:rPr>
        <w:t>）</w:t>
      </w:r>
      <w:r>
        <w:rPr>
          <w:spacing w:val="-120"/>
        </w:rPr>
        <w:t>。</w:t>
      </w:r>
    </w:p>
    <w:p>
      <w:pPr>
        <w:pStyle w:val="BodyText"/>
        <w:spacing w:line="422" w:lineRule="auto" w:before="101"/>
        <w:ind w:right="682" w:firstLine="479"/>
      </w:pPr>
      <w:r>
        <w:rPr>
          <w:spacing w:val="-3"/>
        </w:rPr>
        <w:t>綜上所述，根據 </w:t>
      </w:r>
      <w:r>
        <w:rPr>
          <w:rFonts w:ascii="Times New Roman" w:eastAsia="Times New Roman"/>
        </w:rPr>
        <w:t>Zeng</w:t>
      </w:r>
      <w:r>
        <w:rPr/>
        <w:t>（</w:t>
      </w:r>
      <w:r>
        <w:rPr>
          <w:rFonts w:ascii="Times New Roman" w:eastAsia="Times New Roman"/>
        </w:rPr>
        <w:t>2021</w:t>
      </w:r>
      <w:r>
        <w:rPr/>
        <w:t>）</w:t>
      </w:r>
      <w:r>
        <w:rPr>
          <w:spacing w:val="-2"/>
        </w:rPr>
        <w:t>提出的平台拓展維度，本研究針對 </w:t>
      </w:r>
      <w:r>
        <w:rPr>
          <w:rFonts w:ascii="Times New Roman" w:eastAsia="Times New Roman"/>
        </w:rPr>
        <w:t>SaaS</w:t>
      </w:r>
      <w:r>
        <w:rPr>
          <w:rFonts w:ascii="Times New Roman" w:eastAsia="Times New Roman"/>
          <w:spacing w:val="40"/>
        </w:rPr>
        <w:t> </w:t>
      </w:r>
      <w:r>
        <w:rPr/>
        <w:t>組</w:t>
      </w:r>
      <w:r>
        <w:rPr>
          <w:spacing w:val="-2"/>
        </w:rPr>
        <w:t>織特性進行調整，突顯其三大核心方向：</w:t>
      </w:r>
    </w:p>
    <w:p>
      <w:pPr>
        <w:pStyle w:val="Heading4"/>
        <w:tabs>
          <w:tab w:pos="1580" w:val="left" w:leader="none"/>
        </w:tabs>
        <w:spacing w:before="27"/>
        <w:ind w:left="479"/>
        <w:jc w:val="center"/>
      </w:pPr>
      <w:bookmarkStart w:name="_bookmark19" w:id="20"/>
      <w:bookmarkEnd w:id="20"/>
      <w:r>
        <w:rPr>
          <w:b w:val="0"/>
        </w:rPr>
      </w:r>
      <w:r>
        <w:rPr/>
        <w:t>表</w:t>
      </w:r>
      <w:r>
        <w:rPr>
          <w:spacing w:val="61"/>
        </w:rPr>
        <w:t> </w:t>
      </w:r>
      <w:r>
        <w:rPr>
          <w:rFonts w:ascii="Times New Roman" w:eastAsia="Times New Roman"/>
        </w:rPr>
        <w:t>2.3-</w:t>
      </w:r>
      <w:r>
        <w:rPr>
          <w:rFonts w:ascii="Times New Roman" w:eastAsia="Times New Roman"/>
          <w:spacing w:val="-10"/>
        </w:rPr>
        <w:t>1</w:t>
      </w:r>
      <w:r>
        <w:rPr>
          <w:rFonts w:ascii="Times New Roman" w:eastAsia="Times New Roman"/>
        </w:rPr>
        <w:tab/>
        <w:t>SaaS</w:t>
      </w:r>
      <w:r>
        <w:rPr>
          <w:rFonts w:ascii="Times New Roman" w:eastAsia="Times New Roman"/>
          <w:spacing w:val="-2"/>
        </w:rPr>
        <w:t> </w:t>
      </w:r>
      <w:r>
        <w:rPr/>
        <w:t>公司組織拓展策略之構</w:t>
      </w:r>
      <w:r>
        <w:rPr>
          <w:spacing w:val="-10"/>
        </w:rPr>
        <w:t>面</w:t>
      </w:r>
    </w:p>
    <w:p>
      <w:pPr>
        <w:pStyle w:val="BodyText"/>
        <w:spacing w:before="17" w:after="1"/>
        <w:ind w:left="0"/>
        <w:jc w:val="left"/>
        <w:rPr>
          <w:rFonts w:ascii="Microsoft JhengHei"/>
          <w:b/>
          <w:sz w:val="9"/>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6940"/>
      </w:tblGrid>
      <w:tr>
        <w:trPr>
          <w:trHeight w:val="755" w:hRule="atLeast"/>
        </w:trPr>
        <w:tc>
          <w:tcPr>
            <w:tcW w:w="1555" w:type="dxa"/>
            <w:shd w:val="clear" w:color="auto" w:fill="E7E6E6"/>
          </w:tcPr>
          <w:p>
            <w:pPr>
              <w:pStyle w:val="TableParagraph"/>
              <w:spacing w:before="131"/>
              <w:ind w:left="227"/>
              <w:rPr>
                <w:rFonts w:ascii="Microsoft JhengHei" w:eastAsia="Microsoft JhengHei"/>
                <w:b/>
                <w:sz w:val="24"/>
              </w:rPr>
            </w:pPr>
            <w:r>
              <w:rPr>
                <w:rFonts w:ascii="Microsoft JhengHei" w:eastAsia="Microsoft JhengHei"/>
                <w:b/>
                <w:spacing w:val="-3"/>
                <w:sz w:val="24"/>
              </w:rPr>
              <w:t>驅動策略</w:t>
            </w:r>
          </w:p>
        </w:tc>
        <w:tc>
          <w:tcPr>
            <w:tcW w:w="6940" w:type="dxa"/>
            <w:shd w:val="clear" w:color="auto" w:fill="E7E6E6"/>
          </w:tcPr>
          <w:p>
            <w:pPr>
              <w:pStyle w:val="TableParagraph"/>
              <w:spacing w:before="131"/>
              <w:ind w:left="227"/>
              <w:rPr>
                <w:rFonts w:ascii="Microsoft JhengHei" w:eastAsia="Microsoft JhengHei"/>
                <w:b/>
                <w:sz w:val="24"/>
              </w:rPr>
            </w:pPr>
            <w:r>
              <w:rPr>
                <w:rFonts w:ascii="Microsoft JhengHei" w:eastAsia="Microsoft JhengHei"/>
                <w:b/>
                <w:spacing w:val="-5"/>
                <w:sz w:val="24"/>
              </w:rPr>
              <w:t>描述</w:t>
            </w:r>
          </w:p>
        </w:tc>
      </w:tr>
      <w:tr>
        <w:trPr>
          <w:trHeight w:val="1295" w:hRule="atLeast"/>
        </w:trPr>
        <w:tc>
          <w:tcPr>
            <w:tcW w:w="1555" w:type="dxa"/>
          </w:tcPr>
          <w:p>
            <w:pPr>
              <w:pStyle w:val="TableParagraph"/>
              <w:spacing w:before="211"/>
              <w:ind w:left="227"/>
              <w:rPr>
                <w:sz w:val="24"/>
              </w:rPr>
            </w:pPr>
            <w:r>
              <w:rPr>
                <w:spacing w:val="-3"/>
                <w:sz w:val="24"/>
              </w:rPr>
              <w:t>需求適應</w:t>
            </w:r>
          </w:p>
        </w:tc>
        <w:tc>
          <w:tcPr>
            <w:tcW w:w="6940" w:type="dxa"/>
          </w:tcPr>
          <w:p>
            <w:pPr>
              <w:pStyle w:val="TableParagraph"/>
              <w:spacing w:line="540" w:lineRule="exact" w:before="19"/>
              <w:ind w:left="227" w:right="213"/>
              <w:rPr>
                <w:sz w:val="24"/>
              </w:rPr>
            </w:pPr>
            <w:r>
              <w:rPr>
                <w:sz w:val="24"/>
              </w:rPr>
              <mc:AlternateContent>
                <mc:Choice Requires="wps">
                  <w:drawing>
                    <wp:anchor distT="0" distB="0" distL="0" distR="0" allowOverlap="1" layoutInCell="1" locked="0" behindDoc="1" simplePos="0" relativeHeight="485786112">
                      <wp:simplePos x="0" y="0"/>
                      <wp:positionH relativeFrom="column">
                        <wp:posOffset>1241044</wp:posOffset>
                      </wp:positionH>
                      <wp:positionV relativeFrom="paragraph">
                        <wp:posOffset>305561</wp:posOffset>
                      </wp:positionV>
                      <wp:extent cx="929640" cy="97853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929640" cy="978535"/>
                                <a:chExt cx="929640" cy="978535"/>
                              </a:xfrm>
                            </wpg:grpSpPr>
                            <pic:pic>
                              <pic:nvPicPr>
                                <pic:cNvPr id="82" name="Image 82"/>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97.720001pt;margin-top:24.059982pt;width:73.2pt;height:77.05pt;mso-position-horizontal-relative:column;mso-position-vertical-relative:paragraph;z-index:-17530368" id="docshapegroup5" coordorigin="1954,481" coordsize="1464,1541">
                      <v:shape style="position:absolute;left:1954;top:481;width:1464;height:1541" type="#_x0000_t75" id="docshape6" stroked="false">
                        <v:imagedata r:id="rId6" o:title=""/>
                      </v:shape>
                      <w10:wrap type="none"/>
                    </v:group>
                  </w:pict>
                </mc:Fallback>
              </mc:AlternateContent>
            </w:r>
            <w:r>
              <w:rPr>
                <w:rFonts w:ascii="Times New Roman" w:eastAsia="Times New Roman"/>
                <w:sz w:val="24"/>
              </w:rPr>
              <w:t>SaaS</w:t>
            </w:r>
            <w:r>
              <w:rPr>
                <w:rFonts w:ascii="Times New Roman" w:eastAsia="Times New Roman"/>
                <w:spacing w:val="24"/>
                <w:sz w:val="24"/>
              </w:rPr>
              <w:t> </w:t>
            </w:r>
            <w:r>
              <w:rPr>
                <w:spacing w:val="-6"/>
                <w:sz w:val="24"/>
              </w:rPr>
              <w:t>平台透過模組化與即時反饋機制持續更新資源，快速響應</w:t>
            </w:r>
            <w:r>
              <w:rPr>
                <w:spacing w:val="-2"/>
                <w:sz w:val="24"/>
              </w:rPr>
              <w:t>市場變化並滿足多元客戶需求，實現資源高效調整。</w:t>
            </w:r>
          </w:p>
        </w:tc>
      </w:tr>
      <w:tr>
        <w:trPr>
          <w:trHeight w:val="1296" w:hRule="atLeast"/>
        </w:trPr>
        <w:tc>
          <w:tcPr>
            <w:tcW w:w="1555" w:type="dxa"/>
          </w:tcPr>
          <w:p>
            <w:pPr>
              <w:pStyle w:val="TableParagraph"/>
              <w:spacing w:before="211"/>
              <w:ind w:left="227"/>
              <w:rPr>
                <w:sz w:val="24"/>
              </w:rPr>
            </w:pPr>
            <w:r>
              <w:rPr>
                <w:spacing w:val="-3"/>
                <w:sz w:val="24"/>
              </w:rPr>
              <w:t>數據驅動</w:t>
            </w:r>
          </w:p>
        </w:tc>
        <w:tc>
          <w:tcPr>
            <w:tcW w:w="6940" w:type="dxa"/>
          </w:tcPr>
          <w:p>
            <w:pPr>
              <w:pStyle w:val="TableParagraph"/>
              <w:spacing w:line="540" w:lineRule="exact" w:before="19"/>
              <w:ind w:left="227" w:right="156"/>
              <w:rPr>
                <w:sz w:val="24"/>
              </w:rPr>
            </w:pPr>
            <w:r>
              <w:rPr>
                <w:spacing w:val="-2"/>
                <w:sz w:val="24"/>
              </w:rPr>
              <w:t>透過參與者網路收集與分析數據，</w:t>
            </w:r>
            <w:r>
              <w:rPr>
                <w:rFonts w:ascii="Times New Roman" w:eastAsia="Times New Roman"/>
                <w:spacing w:val="-2"/>
                <w:sz w:val="24"/>
              </w:rPr>
              <w:t>SaaS</w:t>
            </w:r>
            <w:r>
              <w:rPr>
                <w:rFonts w:ascii="Times New Roman" w:eastAsia="Times New Roman"/>
                <w:spacing w:val="24"/>
                <w:sz w:val="24"/>
              </w:rPr>
              <w:t> </w:t>
            </w:r>
            <w:r>
              <w:rPr>
                <w:spacing w:val="-2"/>
                <w:sz w:val="24"/>
              </w:rPr>
              <w:t>平台優化內外部協調，推動價值創造，同時依靠訂閱模式驅動產品迭代與服務創新。</w:t>
            </w:r>
          </w:p>
        </w:tc>
      </w:tr>
      <w:tr>
        <w:trPr>
          <w:trHeight w:val="1297" w:hRule="atLeast"/>
        </w:trPr>
        <w:tc>
          <w:tcPr>
            <w:tcW w:w="1555" w:type="dxa"/>
          </w:tcPr>
          <w:p>
            <w:pPr>
              <w:pStyle w:val="TableParagraph"/>
              <w:spacing w:before="211"/>
              <w:ind w:left="227"/>
              <w:rPr>
                <w:sz w:val="24"/>
              </w:rPr>
            </w:pPr>
            <w:r>
              <w:rPr>
                <w:spacing w:val="-3"/>
                <w:sz w:val="24"/>
              </w:rPr>
              <w:t>生態協調</w:t>
            </w:r>
          </w:p>
        </w:tc>
        <w:tc>
          <w:tcPr>
            <w:tcW w:w="6940" w:type="dxa"/>
          </w:tcPr>
          <w:p>
            <w:pPr>
              <w:pStyle w:val="TableParagraph"/>
              <w:spacing w:line="540" w:lineRule="exact" w:before="19"/>
              <w:ind w:left="227" w:right="215"/>
              <w:rPr>
                <w:sz w:val="24"/>
              </w:rPr>
            </w:pPr>
            <w:r>
              <w:rPr>
                <w:spacing w:val="-2"/>
                <w:sz w:val="24"/>
              </w:rPr>
              <w:t>以動員、訪問和協調外部資源，創造新市場機會，並推動生態系統層面的數據網路效應。</w:t>
            </w:r>
          </w:p>
        </w:tc>
      </w:tr>
    </w:tbl>
    <w:p>
      <w:pPr>
        <w:pStyle w:val="BodyText"/>
        <w:spacing w:before="213"/>
        <w:ind w:left="597" w:right="118"/>
        <w:jc w:val="center"/>
      </w:pPr>
      <w:r>
        <w:rPr>
          <w:spacing w:val="-1"/>
        </w:rPr>
        <w:t>資料來源：本研究整理</w:t>
      </w:r>
    </w:p>
    <w:p>
      <w:pPr>
        <w:pStyle w:val="BodyText"/>
        <w:spacing w:after="0"/>
        <w:jc w:val="center"/>
        <w:sectPr>
          <w:pgSz w:w="11910" w:h="16840"/>
          <w:pgMar w:header="0" w:footer="1197" w:top="1760" w:bottom="1380" w:left="1133" w:right="1133"/>
        </w:sectPr>
      </w:pPr>
    </w:p>
    <w:p>
      <w:pPr>
        <w:pStyle w:val="Heading2"/>
        <w:numPr>
          <w:ilvl w:val="1"/>
          <w:numId w:val="9"/>
        </w:numPr>
        <w:tabs>
          <w:tab w:pos="1047" w:val="left" w:leader="none"/>
        </w:tabs>
        <w:spacing w:line="522" w:lineRule="exact" w:before="0" w:after="0"/>
        <w:ind w:left="1047" w:right="0" w:hanging="478"/>
        <w:jc w:val="left"/>
      </w:pPr>
      <w:bookmarkStart w:name="_bookmark20" w:id="21"/>
      <w:bookmarkEnd w:id="21"/>
      <w:r>
        <w:rPr>
          <w:b w:val="0"/>
        </w:rPr>
      </w:r>
      <w:r>
        <w:rPr>
          <w:spacing w:val="-2"/>
        </w:rPr>
        <w:t>跨界管理（</w:t>
      </w:r>
      <w:r>
        <w:rPr>
          <w:rFonts w:ascii="Times New Roman" w:eastAsia="Times New Roman"/>
          <w:spacing w:val="-2"/>
        </w:rPr>
        <w:t>Boundary</w:t>
      </w:r>
      <w:r>
        <w:rPr>
          <w:rFonts w:ascii="Times New Roman" w:eastAsia="Times New Roman"/>
        </w:rPr>
        <w:t> </w:t>
      </w:r>
      <w:r>
        <w:rPr>
          <w:rFonts w:ascii="Times New Roman" w:eastAsia="Times New Roman"/>
          <w:spacing w:val="-2"/>
        </w:rPr>
        <w:t>Spanning</w:t>
      </w:r>
      <w:r>
        <w:rPr>
          <w:spacing w:val="-2"/>
        </w:rPr>
        <w:t>）</w:t>
      </w:r>
    </w:p>
    <w:p>
      <w:pPr>
        <w:pStyle w:val="BodyText"/>
        <w:spacing w:line="422" w:lineRule="auto" w:before="384"/>
        <w:ind w:right="682" w:firstLine="479"/>
      </w:pPr>
      <w:r>
        <w:rPr>
          <w:spacing w:val="-6"/>
        </w:rPr>
        <w:t>本章節在定義並說明了邊界跨越之後，進一步聚焦於市場、知識和技術這三</w:t>
      </w:r>
      <w:r>
        <w:rPr>
          <w:spacing w:val="-4"/>
        </w:rPr>
        <w:t>大關鍵邊界的角色。這三類邊界共同構成了組織內外的重要連結點，透過理解並有效地管理這些邊界，組織可以促進資訊流動、資源整合，從而在快速變化的外</w:t>
      </w:r>
      <w:r>
        <w:rPr>
          <w:spacing w:val="-2"/>
        </w:rPr>
        <w:t>部環境中保持靈活性和競爭力。</w:t>
      </w:r>
    </w:p>
    <w:p>
      <w:pPr>
        <w:pStyle w:val="Heading2"/>
        <w:spacing w:before="100"/>
        <w:ind w:left="571"/>
        <w:rPr>
          <w:position w:val="1"/>
        </w:rPr>
      </w:pPr>
      <w:r>
        <w:rPr>
          <w:b w:val="0"/>
        </w:rPr>
        <w:drawing>
          <wp:inline distT="0" distB="0" distL="0" distR="0">
            <wp:extent cx="392429" cy="145542"/>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58" cstate="print"/>
                    <a:stretch>
                      <a:fillRect/>
                    </a:stretch>
                  </pic:blipFill>
                  <pic:spPr>
                    <a:xfrm>
                      <a:off x="0" y="0"/>
                      <a:ext cx="392429"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21" w:id="22"/>
      <w:bookmarkEnd w:id="22"/>
      <w:r>
        <w:rPr>
          <w:rFonts w:ascii="Times New Roman" w:eastAsia="Times New Roman"/>
          <w:b w:val="0"/>
          <w:spacing w:val="-12"/>
          <w:position w:val="1"/>
          <w:sz w:val="20"/>
        </w:rPr>
      </w:r>
      <w:r>
        <w:rPr>
          <w:spacing w:val="-4"/>
          <w:position w:val="1"/>
        </w:rPr>
        <w:t>邊界跨越的定義</w:t>
      </w:r>
    </w:p>
    <w:p>
      <w:pPr>
        <w:pStyle w:val="BodyText"/>
        <w:spacing w:line="422" w:lineRule="auto" w:before="387"/>
        <w:ind w:right="684" w:firstLine="479"/>
      </w:pPr>
      <w:r>
        <w:rPr/>
        <w:drawing>
          <wp:anchor distT="0" distB="0" distL="0" distR="0" allowOverlap="1" layoutInCell="1" locked="0" behindDoc="1" simplePos="0" relativeHeight="485786624">
            <wp:simplePos x="0" y="0"/>
            <wp:positionH relativeFrom="page">
              <wp:posOffset>3312414</wp:posOffset>
            </wp:positionH>
            <wp:positionV relativeFrom="paragraph">
              <wp:posOffset>1298670</wp:posOffset>
            </wp:positionV>
            <wp:extent cx="929640" cy="978408"/>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6" cstate="print"/>
                    <a:stretch>
                      <a:fillRect/>
                    </a:stretch>
                  </pic:blipFill>
                  <pic:spPr>
                    <a:xfrm>
                      <a:off x="0" y="0"/>
                      <a:ext cx="929640" cy="978408"/>
                    </a:xfrm>
                    <a:prstGeom prst="rect">
                      <a:avLst/>
                    </a:prstGeom>
                  </pic:spPr>
                </pic:pic>
              </a:graphicData>
            </a:graphic>
          </wp:anchor>
        </w:drawing>
      </w:r>
      <w:r>
        <w:rPr/>
        <w:t>邊界跨越（</w:t>
      </w:r>
      <w:r>
        <w:rPr>
          <w:rFonts w:ascii="Times New Roman" w:eastAsia="Times New Roman"/>
        </w:rPr>
        <w:t>Boundary Spanning</w:t>
      </w:r>
      <w:r>
        <w:rPr/>
        <w:t>，</w:t>
      </w:r>
      <w:r>
        <w:rPr>
          <w:rFonts w:ascii="Times New Roman" w:eastAsia="Times New Roman"/>
        </w:rPr>
        <w:t>BS</w:t>
      </w:r>
      <w:r>
        <w:rPr/>
        <w:t>）被定義為團隊為建立連結並管理與外部環境中各方互動所採取的行動（</w:t>
      </w:r>
      <w:r>
        <w:rPr>
          <w:rFonts w:ascii="Times New Roman" w:eastAsia="Times New Roman"/>
        </w:rPr>
        <w:t>Ancona</w:t>
      </w:r>
      <w:r>
        <w:rPr>
          <w:rFonts w:ascii="Times New Roman" w:eastAsia="Times New Roman"/>
          <w:spacing w:val="-8"/>
        </w:rPr>
        <w:t>, </w:t>
      </w:r>
      <w:r>
        <w:rPr>
          <w:rFonts w:ascii="Times New Roman" w:eastAsia="Times New Roman"/>
        </w:rPr>
        <w:t>1990;</w:t>
      </w:r>
      <w:r>
        <w:rPr>
          <w:rFonts w:ascii="Times New Roman" w:eastAsia="Times New Roman"/>
          <w:spacing w:val="-15"/>
        </w:rPr>
        <w:t> </w:t>
      </w:r>
      <w:r>
        <w:rPr>
          <w:rFonts w:ascii="Times New Roman" w:eastAsia="Times New Roman"/>
        </w:rPr>
        <w:t>Ancona</w:t>
      </w:r>
      <w:r>
        <w:rPr>
          <w:rFonts w:ascii="Times New Roman" w:eastAsia="Times New Roman"/>
          <w:spacing w:val="-15"/>
        </w:rPr>
        <w:t> </w:t>
      </w:r>
      <w:r>
        <w:rPr>
          <w:rFonts w:ascii="Times New Roman" w:eastAsia="Times New Roman"/>
        </w:rPr>
        <w:t>&amp;</w:t>
      </w:r>
      <w:r>
        <w:rPr>
          <w:rFonts w:ascii="Times New Roman" w:eastAsia="Times New Roman"/>
          <w:spacing w:val="-15"/>
        </w:rPr>
        <w:t> </w:t>
      </w:r>
      <w:r>
        <w:rPr>
          <w:rFonts w:ascii="Times New Roman" w:eastAsia="Times New Roman"/>
        </w:rPr>
        <w:t>Caldwell,</w:t>
      </w:r>
      <w:r>
        <w:rPr>
          <w:rFonts w:ascii="Times New Roman" w:eastAsia="Times New Roman"/>
          <w:spacing w:val="-15"/>
        </w:rPr>
        <w:t> </w:t>
      </w:r>
      <w:r>
        <w:rPr>
          <w:rFonts w:ascii="Times New Roman" w:eastAsia="Times New Roman"/>
          <w:spacing w:val="23"/>
        </w:rPr>
        <w:t>199</w:t>
      </w:r>
      <w:r>
        <w:rPr>
          <w:rFonts w:ascii="Times New Roman" w:eastAsia="Times New Roman"/>
          <w:spacing w:val="25"/>
        </w:rPr>
        <w:t>2</w:t>
      </w:r>
      <w:r>
        <w:rPr>
          <w:spacing w:val="-97"/>
        </w:rPr>
        <w:t>）</w:t>
      </w:r>
      <w:r>
        <w:rPr/>
        <w:t>。其</w:t>
      </w:r>
      <w:r>
        <w:rPr>
          <w:spacing w:val="-2"/>
        </w:rPr>
        <w:t>核心在於打破組織內部部門之間以及組織與外部環境之間的邊界，以促進資訊的流通和資源共享，進而提高組織的靈活性與應變能力。</w:t>
      </w:r>
    </w:p>
    <w:p>
      <w:pPr>
        <w:pStyle w:val="BodyText"/>
        <w:spacing w:line="422" w:lineRule="auto" w:before="104"/>
        <w:ind w:right="683" w:firstLine="479"/>
      </w:pPr>
      <w:r>
        <w:rPr>
          <w:spacing w:val="-6"/>
        </w:rPr>
        <w:t>邊界跨越涉及多種外部導向的行為。首先，一類行為著重於資訊的收集，即團隊成員通過與外部聯絡人的互動，獲取、解釋並傳遞關鍵的外部資訊</w:t>
      </w:r>
      <w:r>
        <w:rPr>
          <w:spacing w:val="-4"/>
        </w:rPr>
        <w:t>（</w:t>
      </w:r>
      <w:r>
        <w:rPr>
          <w:rFonts w:ascii="Times New Roman" w:eastAsia="Times New Roman"/>
          <w:spacing w:val="-4"/>
        </w:rPr>
        <w:t>Hansen</w:t>
      </w:r>
      <w:r>
        <w:rPr>
          <w:rFonts w:ascii="Times New Roman" w:eastAsia="Times New Roman"/>
          <w:spacing w:val="-4"/>
        </w:rPr>
        <w:t>, </w:t>
      </w:r>
      <w:r>
        <w:rPr>
          <w:rFonts w:ascii="Times New Roman" w:eastAsia="Times New Roman"/>
          <w:spacing w:val="20"/>
        </w:rPr>
        <w:t>199</w:t>
      </w:r>
      <w:r>
        <w:rPr>
          <w:rFonts w:ascii="Times New Roman" w:eastAsia="Times New Roman"/>
          <w:spacing w:val="19"/>
        </w:rPr>
        <w:t>9</w:t>
      </w:r>
      <w:r>
        <w:rPr>
          <w:spacing w:val="-103"/>
        </w:rPr>
        <w:t>）</w:t>
      </w:r>
      <w:r>
        <w:rPr>
          <w:spacing w:val="-4"/>
        </w:rPr>
        <w:t>。另一類行為則集中於與外部利害關係人的溝通，協助團隊設定目標、提</w:t>
      </w:r>
      <w:r>
        <w:rPr>
          <w:spacing w:val="-2"/>
        </w:rPr>
        <w:t>出資源需求並獲得支持（</w:t>
      </w:r>
      <w:r>
        <w:rPr>
          <w:rFonts w:ascii="Times New Roman" w:eastAsia="Times New Roman"/>
          <w:spacing w:val="-2"/>
        </w:rPr>
        <w:t>Marroneet</w:t>
      </w:r>
      <w:r>
        <w:rPr>
          <w:rFonts w:ascii="Times New Roman" w:eastAsia="Times New Roman"/>
          <w:spacing w:val="-13"/>
        </w:rPr>
        <w:t> </w:t>
      </w:r>
      <w:r>
        <w:rPr>
          <w:rFonts w:ascii="Times New Roman" w:eastAsia="Times New Roman"/>
          <w:spacing w:val="-2"/>
        </w:rPr>
        <w:t>al.,</w:t>
      </w:r>
      <w:r>
        <w:rPr>
          <w:rFonts w:ascii="Times New Roman" w:eastAsia="Times New Roman"/>
          <w:spacing w:val="-13"/>
        </w:rPr>
        <w:t> </w:t>
      </w:r>
      <w:r>
        <w:rPr>
          <w:rFonts w:ascii="Times New Roman" w:eastAsia="Times New Roman"/>
          <w:spacing w:val="21"/>
        </w:rPr>
        <w:t>2007</w:t>
      </w:r>
      <w:r>
        <w:rPr>
          <w:spacing w:val="-97"/>
        </w:rPr>
        <w:t>）</w:t>
      </w:r>
      <w:r>
        <w:rPr>
          <w:spacing w:val="-2"/>
        </w:rPr>
        <w:t>。這些溝通行動能有效地緩解來自外部的壓力，確保團隊能夠在充滿挑戰的環境中順利運作。</w:t>
      </w:r>
    </w:p>
    <w:p>
      <w:pPr>
        <w:pStyle w:val="Heading4"/>
        <w:spacing w:before="95"/>
      </w:pPr>
      <w:r>
        <w:rPr/>
        <w:t>邊界跨越活動（</w:t>
      </w:r>
      <w:r>
        <w:rPr>
          <w:rFonts w:ascii="Times New Roman" w:eastAsia="Times New Roman"/>
        </w:rPr>
        <w:t>Boundary</w:t>
      </w:r>
      <w:r>
        <w:rPr>
          <w:rFonts w:ascii="Times New Roman" w:eastAsia="Times New Roman"/>
          <w:spacing w:val="-7"/>
        </w:rPr>
        <w:t> </w:t>
      </w:r>
      <w:r>
        <w:rPr>
          <w:rFonts w:ascii="Times New Roman" w:eastAsia="Times New Roman"/>
        </w:rPr>
        <w:t>Spanning</w:t>
      </w:r>
      <w:r>
        <w:rPr>
          <w:rFonts w:ascii="Times New Roman" w:eastAsia="Times New Roman"/>
          <w:spacing w:val="-15"/>
        </w:rPr>
        <w:t> </w:t>
      </w:r>
      <w:r>
        <w:rPr>
          <w:rFonts w:ascii="Times New Roman" w:eastAsia="Times New Roman"/>
          <w:spacing w:val="-2"/>
        </w:rPr>
        <w:t>Activities</w:t>
      </w:r>
      <w:r>
        <w:rPr>
          <w:spacing w:val="-2"/>
        </w:rPr>
        <w:t>，</w:t>
      </w:r>
      <w:r>
        <w:rPr>
          <w:rFonts w:ascii="Times New Roman" w:eastAsia="Times New Roman"/>
          <w:spacing w:val="-2"/>
        </w:rPr>
        <w:t>BSAC</w:t>
      </w:r>
      <w:r>
        <w:rPr>
          <w:spacing w:val="-2"/>
        </w:rPr>
        <w:t>）</w:t>
      </w:r>
    </w:p>
    <w:p>
      <w:pPr>
        <w:pStyle w:val="BodyText"/>
        <w:spacing w:line="422" w:lineRule="auto" w:before="358"/>
        <w:ind w:right="684" w:firstLine="479"/>
        <w:jc w:val="left"/>
      </w:pPr>
      <w:r>
        <w:rPr>
          <w:spacing w:val="-7"/>
        </w:rPr>
        <w:t>邊界跨越活動被視為組織與其外部環境之間的重要連結橋樑</w:t>
      </w:r>
      <w:r>
        <w:rPr>
          <w:spacing w:val="-2"/>
        </w:rPr>
        <w:t>（</w:t>
      </w:r>
      <w:r>
        <w:rPr>
          <w:rFonts w:ascii="Times New Roman" w:eastAsia="Times New Roman"/>
          <w:spacing w:val="-2"/>
        </w:rPr>
        <w:t>Organ,</w:t>
      </w:r>
      <w:r>
        <w:rPr>
          <w:rFonts w:ascii="Times New Roman" w:eastAsia="Times New Roman"/>
          <w:spacing w:val="-15"/>
        </w:rPr>
        <w:t> </w:t>
      </w:r>
      <w:r>
        <w:rPr>
          <w:rFonts w:ascii="Times New Roman" w:eastAsia="Times New Roman"/>
          <w:spacing w:val="35"/>
        </w:rPr>
        <w:t>1</w:t>
      </w:r>
      <w:r>
        <w:rPr>
          <w:rFonts w:ascii="Times New Roman" w:eastAsia="Times New Roman"/>
          <w:spacing w:val="33"/>
        </w:rPr>
        <w:t>971</w:t>
      </w:r>
      <w:r>
        <w:rPr>
          <w:spacing w:val="-147"/>
        </w:rPr>
        <w:t>）</w:t>
      </w:r>
      <w:r>
        <w:rPr>
          <w:spacing w:val="-180"/>
        </w:rPr>
        <w:t>。</w:t>
      </w:r>
      <w:r>
        <w:rPr>
          <w:spacing w:val="-2"/>
        </w:rPr>
        <w:t>環境資訊的收集與同化對於組織的創新至關重要，而這些活動通常涉及創新過</w:t>
      </w:r>
      <w:r>
        <w:rPr>
          <w:spacing w:val="-6"/>
        </w:rPr>
        <w:t>程中不同階段的跨邊界角色（</w:t>
      </w:r>
      <w:r>
        <w:rPr>
          <w:rFonts w:ascii="Times New Roman" w:eastAsia="Times New Roman"/>
          <w:spacing w:val="-6"/>
        </w:rPr>
        <w:t>Tushman,</w:t>
      </w:r>
      <w:r>
        <w:rPr>
          <w:rFonts w:ascii="Times New Roman" w:eastAsia="Times New Roman"/>
          <w:spacing w:val="-11"/>
        </w:rPr>
        <w:t> </w:t>
      </w:r>
      <w:r>
        <w:rPr>
          <w:rFonts w:ascii="Times New Roman" w:eastAsia="Times New Roman"/>
          <w:spacing w:val="20"/>
        </w:rPr>
        <w:t>1977</w:t>
      </w:r>
      <w:r>
        <w:rPr>
          <w:spacing w:val="-110"/>
        </w:rPr>
        <w:t>）</w:t>
      </w:r>
      <w:r>
        <w:rPr>
          <w:spacing w:val="-6"/>
        </w:rPr>
        <w:t>。早期研究強調，邊界跨越活動的</w:t>
      </w:r>
      <w:r>
        <w:rPr>
          <w:spacing w:val="-2"/>
        </w:rPr>
        <w:t>核心在於關鍵領導角色的形式，例如大使型（</w:t>
      </w:r>
      <w:r>
        <w:rPr>
          <w:rFonts w:ascii="Times New Roman" w:eastAsia="Times New Roman"/>
          <w:spacing w:val="-2"/>
        </w:rPr>
        <w:t>ambassador</w:t>
      </w:r>
      <w:r>
        <w:rPr>
          <w:spacing w:val="-2"/>
        </w:rPr>
        <w:t>）或任務協調型</w:t>
      </w:r>
      <w:r>
        <w:rPr>
          <w:spacing w:val="-2"/>
        </w:rPr>
        <w:t>（</w:t>
      </w:r>
      <w:r>
        <w:rPr>
          <w:rFonts w:ascii="Times New Roman" w:eastAsia="Times New Roman"/>
          <w:spacing w:val="-2"/>
        </w:rPr>
        <w:t>task </w:t>
      </w:r>
      <w:r>
        <w:rPr>
          <w:rFonts w:ascii="Times New Roman" w:eastAsia="Times New Roman"/>
          <w:spacing w:val="4"/>
        </w:rPr>
        <w:t>c</w:t>
      </w:r>
      <w:r>
        <w:rPr>
          <w:rFonts w:ascii="Times New Roman" w:eastAsia="Times New Roman"/>
          <w:spacing w:val="5"/>
        </w:rPr>
        <w:t>oordin</w:t>
      </w:r>
      <w:r>
        <w:rPr>
          <w:rFonts w:ascii="Times New Roman" w:eastAsia="Times New Roman"/>
          <w:spacing w:val="3"/>
        </w:rPr>
        <w:t>a</w:t>
      </w:r>
      <w:r>
        <w:rPr>
          <w:rFonts w:ascii="Times New Roman" w:eastAsia="Times New Roman"/>
          <w:spacing w:val="5"/>
        </w:rPr>
        <w:t>to</w:t>
      </w:r>
      <w:r>
        <w:rPr>
          <w:rFonts w:ascii="Times New Roman" w:eastAsia="Times New Roman"/>
          <w:spacing w:val="4"/>
        </w:rPr>
        <w:t>r</w:t>
      </w:r>
      <w:r>
        <w:rPr>
          <w:spacing w:val="-137"/>
        </w:rPr>
        <w:t>）</w:t>
      </w:r>
      <w:r>
        <w:rPr>
          <w:spacing w:val="-11"/>
        </w:rPr>
        <w:t>，這些角色的主要職責是促進對外溝通</w:t>
      </w:r>
      <w:r>
        <w:rPr>
          <w:spacing w:val="-8"/>
        </w:rPr>
        <w:t>（</w:t>
      </w:r>
      <w:r>
        <w:rPr>
          <w:rFonts w:ascii="Times New Roman" w:eastAsia="Times New Roman"/>
          <w:spacing w:val="-8"/>
        </w:rPr>
        <w:t>Ancona &amp; Caldwell, </w:t>
      </w:r>
      <w:r>
        <w:rPr>
          <w:rFonts w:ascii="Times New Roman" w:eastAsia="Times New Roman"/>
          <w:spacing w:val="40"/>
        </w:rPr>
        <w:t>1992</w:t>
      </w:r>
      <w:r>
        <w:rPr>
          <w:spacing w:val="-104"/>
        </w:rPr>
        <w:t>），</w:t>
      </w:r>
      <w:r>
        <w:rPr>
          <w:spacing w:val="-2"/>
        </w:rPr>
        <w:t>將外部資訊引入組織內部，從而推動創新與變革的實現。</w:t>
      </w:r>
    </w:p>
    <w:p>
      <w:pPr>
        <w:pStyle w:val="BodyText"/>
        <w:spacing w:after="0" w:line="422" w:lineRule="auto"/>
        <w:jc w:val="left"/>
        <w:sectPr>
          <w:pgSz w:w="11910" w:h="16840"/>
          <w:pgMar w:header="0" w:footer="1197" w:top="1780" w:bottom="1380" w:left="1133" w:right="1133"/>
        </w:sectPr>
      </w:pPr>
    </w:p>
    <w:p>
      <w:pPr>
        <w:pStyle w:val="BodyText"/>
        <w:spacing w:line="422" w:lineRule="auto" w:before="27"/>
        <w:ind w:left="569" w:right="665" w:firstLine="479"/>
      </w:pPr>
      <w:r>
        <w:rPr>
          <w:spacing w:val="-2"/>
        </w:rPr>
        <w:t>隨著研究的不斷深入，實踐視角認為，邊界跨越活動不僅僅是一種資訊收集</w:t>
      </w:r>
      <w:r>
        <w:rPr>
          <w:spacing w:val="-19"/>
        </w:rPr>
        <w:t>的行為，更是一種意義建構的過程，其目的是將新資訊整合到組織的日常運作中，</w:t>
      </w:r>
      <w:r>
        <w:rPr>
          <w:spacing w:val="15"/>
        </w:rPr>
        <w:t>從而驅動創新</w:t>
      </w:r>
      <w:r>
        <w:rPr/>
        <w:t>（</w:t>
      </w:r>
      <w:r>
        <w:rPr>
          <w:spacing w:val="-30"/>
        </w:rPr>
        <w:t> </w:t>
      </w:r>
      <w:r>
        <w:rPr>
          <w:rFonts w:ascii="Times New Roman" w:eastAsia="Times New Roman"/>
        </w:rPr>
        <w:t>Carlile,</w:t>
      </w:r>
      <w:r>
        <w:rPr>
          <w:rFonts w:ascii="Times New Roman" w:eastAsia="Times New Roman"/>
          <w:spacing w:val="-15"/>
        </w:rPr>
        <w:t> </w:t>
      </w:r>
      <w:r>
        <w:rPr>
          <w:rFonts w:ascii="Times New Roman" w:eastAsia="Times New Roman"/>
        </w:rPr>
        <w:t>2002</w:t>
      </w:r>
      <w:r>
        <w:rPr>
          <w:rFonts w:ascii="Times New Roman" w:eastAsia="Times New Roman"/>
          <w:spacing w:val="-15"/>
        </w:rPr>
        <w:t> </w:t>
      </w:r>
      <w:r>
        <w:rPr>
          <w:spacing w:val="-15"/>
        </w:rPr>
        <w:t>； </w:t>
      </w:r>
      <w:r>
        <w:rPr>
          <w:rFonts w:ascii="Times New Roman" w:eastAsia="Times New Roman"/>
        </w:rPr>
        <w:t>Pawlowski</w:t>
      </w:r>
      <w:r>
        <w:rPr>
          <w:rFonts w:ascii="Times New Roman" w:eastAsia="Times New Roman"/>
          <w:spacing w:val="-15"/>
        </w:rPr>
        <w:t> </w:t>
      </w:r>
      <w:r>
        <w:rPr>
          <w:rFonts w:ascii="Times New Roman" w:eastAsia="Times New Roman"/>
        </w:rPr>
        <w:t>&amp;</w:t>
      </w:r>
      <w:r>
        <w:rPr>
          <w:rFonts w:ascii="Times New Roman" w:eastAsia="Times New Roman"/>
          <w:spacing w:val="-15"/>
        </w:rPr>
        <w:t> </w:t>
      </w:r>
      <w:r>
        <w:rPr>
          <w:rFonts w:ascii="Times New Roman" w:eastAsia="Times New Roman"/>
        </w:rPr>
        <w:t>Robey</w:t>
      </w:r>
      <w:r>
        <w:rPr>
          <w:rFonts w:ascii="Times New Roman" w:eastAsia="Times New Roman"/>
          <w:spacing w:val="-8"/>
        </w:rPr>
        <w:t>, </w:t>
      </w:r>
      <w:r>
        <w:rPr>
          <w:rFonts w:ascii="Times New Roman" w:eastAsia="Times New Roman"/>
        </w:rPr>
        <w:t>2004</w:t>
      </w:r>
      <w:r>
        <w:rPr>
          <w:rFonts w:ascii="Times New Roman" w:eastAsia="Times New Roman"/>
          <w:spacing w:val="-15"/>
        </w:rPr>
        <w:t> </w:t>
      </w:r>
      <w:r>
        <w:rPr>
          <w:spacing w:val="-96"/>
        </w:rPr>
        <w:t>）</w:t>
      </w:r>
      <w:r>
        <w:rPr>
          <w:spacing w:val="15"/>
        </w:rPr>
        <w:t>。</w:t>
      </w:r>
      <w:r>
        <w:rPr>
          <w:rFonts w:ascii="Times New Roman" w:eastAsia="Times New Roman"/>
        </w:rPr>
        <w:t>Chou</w:t>
      </w:r>
      <w:r>
        <w:rPr>
          <w:rFonts w:ascii="Times New Roman" w:eastAsia="Times New Roman"/>
          <w:spacing w:val="-15"/>
        </w:rPr>
        <w:t> </w:t>
      </w:r>
      <w:r>
        <w:rPr/>
        <w:t>（</w:t>
      </w:r>
      <w:r>
        <w:rPr>
          <w:spacing w:val="-30"/>
        </w:rPr>
        <w:t> </w:t>
      </w:r>
      <w:r>
        <w:rPr>
          <w:rFonts w:ascii="Times New Roman" w:eastAsia="Times New Roman"/>
        </w:rPr>
        <w:t>2022</w:t>
      </w:r>
      <w:r>
        <w:rPr>
          <w:rFonts w:ascii="Times New Roman" w:eastAsia="Times New Roman"/>
          <w:spacing w:val="-15"/>
        </w:rPr>
        <w:t> </w:t>
      </w:r>
      <w:r>
        <w:rPr>
          <w:spacing w:val="15"/>
        </w:rPr>
        <w:t>）與 </w:t>
      </w:r>
      <w:r>
        <w:rPr>
          <w:rFonts w:ascii="Times New Roman" w:eastAsia="Times New Roman"/>
          <w:spacing w:val="-4"/>
        </w:rPr>
        <w:t>Santistevan</w:t>
      </w:r>
      <w:r>
        <w:rPr>
          <w:spacing w:val="-4"/>
        </w:rPr>
        <w:t>（</w:t>
      </w:r>
      <w:r>
        <w:rPr>
          <w:rFonts w:ascii="Times New Roman" w:eastAsia="Times New Roman"/>
          <w:spacing w:val="-4"/>
        </w:rPr>
        <w:t>2022</w:t>
      </w:r>
      <w:r>
        <w:rPr>
          <w:spacing w:val="-4"/>
        </w:rPr>
        <w:t>）指出，</w:t>
      </w:r>
      <w:r>
        <w:rPr>
          <w:rFonts w:ascii="Times New Roman" w:eastAsia="Times New Roman"/>
          <w:spacing w:val="-4"/>
        </w:rPr>
        <w:t>BSAC </w:t>
      </w:r>
      <w:r>
        <w:rPr>
          <w:spacing w:val="-4"/>
        </w:rPr>
        <w:t>的價值不僅在於個體角色的邊界跨越能力，還在</w:t>
      </w:r>
      <w:r>
        <w:rPr>
          <w:spacing w:val="-2"/>
        </w:rPr>
        <w:t>於促進整體性組織能力的發展，使組織能夠更有效地應對日益複雜的挑戰。</w:t>
      </w:r>
    </w:p>
    <w:p>
      <w:pPr>
        <w:pStyle w:val="Heading2"/>
        <w:spacing w:before="99"/>
        <w:ind w:left="571"/>
        <w:rPr>
          <w:position w:val="1"/>
        </w:rPr>
      </w:pPr>
      <w:r>
        <w:rPr>
          <w:b w:val="0"/>
        </w:rPr>
        <w:drawing>
          <wp:inline distT="0" distB="0" distL="0" distR="0">
            <wp:extent cx="398525" cy="14554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59"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22" w:id="23"/>
      <w:bookmarkEnd w:id="23"/>
      <w:r>
        <w:rPr>
          <w:rFonts w:ascii="Times New Roman" w:eastAsia="Times New Roman"/>
          <w:b w:val="0"/>
          <w:spacing w:val="-22"/>
          <w:position w:val="1"/>
          <w:sz w:val="20"/>
        </w:rPr>
      </w:r>
      <w:r>
        <w:rPr>
          <w:spacing w:val="-2"/>
          <w:position w:val="1"/>
        </w:rPr>
        <w:t>市場邊界</w:t>
      </w:r>
    </w:p>
    <w:p>
      <w:pPr>
        <w:pStyle w:val="BodyText"/>
        <w:spacing w:line="422" w:lineRule="auto" w:before="387"/>
        <w:ind w:right="685" w:firstLine="479"/>
        <w:jc w:val="left"/>
      </w:pPr>
      <w:r>
        <w:rPr>
          <w:rFonts w:ascii="Times New Roman" w:hAnsi="Times New Roman" w:eastAsia="Times New Roman"/>
          <w:spacing w:val="-2"/>
        </w:rPr>
        <w:t>Jutterström</w:t>
      </w:r>
      <w:r>
        <w:rPr>
          <w:spacing w:val="-2"/>
        </w:rPr>
        <w:t>（</w:t>
      </w:r>
      <w:r>
        <w:rPr>
          <w:rFonts w:ascii="Times New Roman" w:hAnsi="Times New Roman" w:eastAsia="Times New Roman"/>
          <w:spacing w:val="-2"/>
        </w:rPr>
        <w:t>2023</w:t>
      </w:r>
      <w:r>
        <w:rPr>
          <w:spacing w:val="-2"/>
        </w:rPr>
        <w:t>）指出，市場邊界的形成通常受到企業行動的影響，企業透過界定和管理這些邊界來確保市場的合法性與功能性。</w:t>
      </w:r>
    </w:p>
    <w:p>
      <w:pPr>
        <w:pStyle w:val="Heading4"/>
        <w:spacing w:before="98"/>
      </w:pPr>
      <w:r>
        <w:rPr>
          <w:spacing w:val="-2"/>
        </w:rPr>
        <w:t>市場邊界關鍵面向</w:t>
      </w:r>
    </w:p>
    <w:p>
      <w:pPr>
        <w:pStyle w:val="BodyText"/>
        <w:spacing w:line="422" w:lineRule="auto" w:before="358"/>
        <w:ind w:right="683" w:firstLine="479"/>
      </w:pPr>
      <w:r>
        <w:rPr/>
        <w:drawing>
          <wp:anchor distT="0" distB="0" distL="0" distR="0" allowOverlap="1" layoutInCell="1" locked="0" behindDoc="1" simplePos="0" relativeHeight="485787136">
            <wp:simplePos x="0" y="0"/>
            <wp:positionH relativeFrom="page">
              <wp:posOffset>3312414</wp:posOffset>
            </wp:positionH>
            <wp:positionV relativeFrom="paragraph">
              <wp:posOffset>251227</wp:posOffset>
            </wp:positionV>
            <wp:extent cx="929640" cy="978408"/>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根據研究，市場邊界主要由六個基本構成要素組成：產品、買方、賣方、價</w:t>
      </w:r>
      <w:r>
        <w:rPr>
          <w:spacing w:val="-4"/>
        </w:rPr>
        <w:t>格、交易和競爭。在這些要素中，產品、買方與賣方屬於直接要素，它們可以在市場內外自由流動。相較之下，價格、交易和競爭則被視為間接要素，這些要素</w:t>
      </w:r>
      <w:r>
        <w:rPr>
          <w:spacing w:val="-2"/>
        </w:rPr>
        <w:t>在很大程度上決定了市場的進入壁壘與退出難度，並深刻影響市場的穩定性和</w:t>
      </w:r>
      <w:r>
        <w:rPr/>
        <w:t>活力（</w:t>
      </w:r>
      <w:r>
        <w:rPr>
          <w:rFonts w:ascii="Times New Roman" w:eastAsia="Times New Roman"/>
        </w:rPr>
        <w:t>Ahrne et al.,2015</w:t>
      </w:r>
      <w:r>
        <w:rPr/>
        <w:t>；</w:t>
      </w:r>
      <w:r>
        <w:rPr>
          <w:rFonts w:ascii="Times New Roman" w:eastAsia="Times New Roman"/>
        </w:rPr>
        <w:t>Aspers &amp; Darr, 2018</w:t>
      </w:r>
      <w:r>
        <w:rPr/>
        <w:t>；</w:t>
      </w:r>
      <w:r>
        <w:rPr>
          <w:rFonts w:ascii="Times New Roman" w:eastAsia="Times New Roman"/>
        </w:rPr>
        <w:t>Reinecke, </w:t>
      </w:r>
      <w:r>
        <w:rPr>
          <w:rFonts w:ascii="Times New Roman" w:eastAsia="Times New Roman"/>
          <w:spacing w:val="24"/>
        </w:rPr>
        <w:t>2010</w:t>
      </w:r>
      <w:r>
        <w:rPr>
          <w:spacing w:val="-96"/>
        </w:rPr>
        <w:t>）</w:t>
      </w:r>
      <w:r>
        <w:rPr>
          <w:spacing w:val="-120"/>
        </w:rPr>
        <w:t>。</w:t>
      </w:r>
    </w:p>
    <w:p>
      <w:pPr>
        <w:pStyle w:val="BodyText"/>
        <w:spacing w:line="422" w:lineRule="auto" w:before="102"/>
        <w:ind w:right="683" w:firstLine="479"/>
      </w:pPr>
      <w:r>
        <w:rPr>
          <w:rFonts w:ascii="Times New Roman" w:hAnsi="Times New Roman" w:eastAsia="Times New Roman"/>
          <w:spacing w:val="-2"/>
        </w:rPr>
        <w:t>König</w:t>
      </w:r>
      <w:r>
        <w:rPr>
          <w:rFonts w:ascii="Times New Roman" w:hAnsi="Times New Roman" w:eastAsia="Times New Roman"/>
          <w:spacing w:val="-13"/>
        </w:rPr>
        <w:t> </w:t>
      </w:r>
      <w:r>
        <w:rPr>
          <w:spacing w:val="-2"/>
        </w:rPr>
        <w:t>等人（</w:t>
      </w:r>
      <w:r>
        <w:rPr>
          <w:rFonts w:ascii="Times New Roman" w:hAnsi="Times New Roman" w:eastAsia="Times New Roman"/>
          <w:spacing w:val="-2"/>
        </w:rPr>
        <w:t>2019</w:t>
      </w:r>
      <w:r>
        <w:rPr>
          <w:spacing w:val="-2"/>
        </w:rPr>
        <w:t>）則探討了競爭環境對市場邊界的影響。他們指出，競爭</w:t>
      </w:r>
      <w:r>
        <w:rPr>
          <w:spacing w:val="-4"/>
        </w:rPr>
        <w:t>環境不僅決定了邊界的位置，還影響企業能否成功地跨越邊界，以實現更高層次的整合與價值創造。在激烈的競爭環境下，企業需不斷調整其戰略，以適應外部</w:t>
      </w:r>
      <w:r>
        <w:rPr>
          <w:spacing w:val="-2"/>
        </w:rPr>
        <w:t>環境的變化，這其中包括如何有效地管理和跨越市場邊界。</w:t>
      </w:r>
    </w:p>
    <w:p>
      <w:pPr>
        <w:pStyle w:val="BodyText"/>
        <w:spacing w:line="422" w:lineRule="auto" w:before="104"/>
        <w:ind w:right="564" w:firstLine="479"/>
        <w:jc w:val="left"/>
      </w:pPr>
      <w:r>
        <w:rPr/>
        <w:t>市場邊界的形成與演變也深受政策作用影響。</w:t>
      </w:r>
      <w:r>
        <w:rPr>
          <w:rFonts w:ascii="Times New Roman" w:eastAsia="Times New Roman"/>
        </w:rPr>
        <w:t>Dog</w:t>
      </w:r>
      <w:r>
        <w:rPr>
          <w:rFonts w:ascii="Times New Roman" w:eastAsia="Times New Roman"/>
          <w:spacing w:val="-2"/>
        </w:rPr>
        <w:t>a</w:t>
      </w:r>
      <w:r>
        <w:rPr>
          <w:rFonts w:ascii="Times New Roman" w:eastAsia="Times New Roman"/>
        </w:rPr>
        <w:t>nova</w:t>
      </w:r>
      <w:r>
        <w:rPr>
          <w:rFonts w:ascii="Times New Roman" w:eastAsia="Times New Roman"/>
          <w:spacing w:val="25"/>
        </w:rPr>
        <w:t> </w:t>
      </w:r>
      <w:r>
        <w:rPr>
          <w:spacing w:val="-17"/>
        </w:rPr>
        <w:t>和 </w:t>
      </w:r>
      <w:r>
        <w:rPr>
          <w:rFonts w:ascii="Times New Roman" w:eastAsia="Times New Roman"/>
          <w:spacing w:val="-2"/>
        </w:rPr>
        <w:t>L</w:t>
      </w:r>
      <w:r>
        <w:rPr>
          <w:rFonts w:ascii="Times New Roman" w:eastAsia="Times New Roman"/>
          <w:spacing w:val="-4"/>
        </w:rPr>
        <w:t>a</w:t>
      </w:r>
      <w:r>
        <w:rPr>
          <w:rFonts w:ascii="Times New Roman" w:eastAsia="Times New Roman"/>
          <w:spacing w:val="-2"/>
        </w:rPr>
        <w:t>u</w:t>
      </w:r>
      <w:r>
        <w:rPr>
          <w:rFonts w:ascii="Times New Roman" w:eastAsia="Times New Roman"/>
          <w:spacing w:val="-1"/>
        </w:rPr>
        <w:t>r</w:t>
      </w:r>
      <w:r>
        <w:rPr>
          <w:rFonts w:ascii="Times New Roman" w:eastAsia="Times New Roman"/>
          <w:spacing w:val="-3"/>
        </w:rPr>
        <w:t>e</w:t>
      </w:r>
      <w:r>
        <w:rPr>
          <w:rFonts w:ascii="Times New Roman" w:eastAsia="Times New Roman"/>
          <w:spacing w:val="-2"/>
        </w:rPr>
        <w:t>n</w:t>
      </w:r>
      <w:r>
        <w:rPr>
          <w:rFonts w:ascii="Times New Roman" w:eastAsia="Times New Roman"/>
          <w:spacing w:val="-1"/>
        </w:rPr>
        <w:t>t</w:t>
      </w:r>
      <w:r>
        <w:rPr>
          <w:spacing w:val="-2"/>
        </w:rPr>
        <w:t>（</w:t>
      </w:r>
      <w:r>
        <w:rPr>
          <w:rFonts w:ascii="Times New Roman" w:eastAsia="Times New Roman"/>
          <w:spacing w:val="-2"/>
        </w:rPr>
        <w:t>2019</w:t>
      </w:r>
      <w:r>
        <w:rPr>
          <w:spacing w:val="-2"/>
        </w:rPr>
        <w:t>）</w:t>
      </w:r>
      <w:r>
        <w:rPr>
          <w:spacing w:val="-8"/>
        </w:rPr>
        <w:t>通過邊界的視角來檢視市場與政策之間的互動。研究指出，市場與政策之間的邊</w:t>
      </w:r>
      <w:r>
        <w:rPr>
          <w:spacing w:val="2"/>
        </w:rPr>
        <w:t>界對於塑造歐洲碳市場具有關鍵作用，政策的效力對市場的動態運作產生顯著</w:t>
      </w:r>
      <w:r>
        <w:rPr/>
        <w:t>影響。</w:t>
      </w:r>
    </w:p>
    <w:p>
      <w:pPr>
        <w:pStyle w:val="BodyText"/>
        <w:spacing w:after="0" w:line="422" w:lineRule="auto"/>
        <w:jc w:val="left"/>
        <w:sectPr>
          <w:pgSz w:w="11910" w:h="16840"/>
          <w:pgMar w:header="0" w:footer="1197" w:top="1760" w:bottom="1380" w:left="1133" w:right="1133"/>
        </w:sectPr>
      </w:pPr>
    </w:p>
    <w:p>
      <w:pPr>
        <w:pStyle w:val="BodyText"/>
        <w:spacing w:line="422" w:lineRule="auto" w:before="47"/>
        <w:ind w:right="694" w:firstLine="479"/>
      </w:pPr>
      <w:r>
        <w:rPr>
          <w:spacing w:val="-2"/>
        </w:rPr>
        <w:t>此外，市場邊界的形成還受到時間和空間限制的影響（</w:t>
      </w:r>
      <w:r>
        <w:rPr>
          <w:rFonts w:ascii="Times New Roman" w:hAnsi="Times New Roman" w:eastAsia="Times New Roman"/>
          <w:spacing w:val="-2"/>
        </w:rPr>
        <w:t>Jutterström, </w:t>
      </w:r>
      <w:r>
        <w:rPr>
          <w:rFonts w:ascii="Times New Roman" w:hAnsi="Times New Roman" w:eastAsia="Times New Roman"/>
          <w:spacing w:val="21"/>
        </w:rPr>
        <w:t>202</w:t>
      </w:r>
      <w:r>
        <w:rPr>
          <w:rFonts w:ascii="Times New Roman" w:hAnsi="Times New Roman" w:eastAsia="Times New Roman"/>
          <w:spacing w:val="22"/>
        </w:rPr>
        <w:t>3</w:t>
      </w:r>
      <w:r>
        <w:rPr>
          <w:spacing w:val="-99"/>
        </w:rPr>
        <w:t>）</w:t>
      </w:r>
      <w:r>
        <w:rPr>
          <w:spacing w:val="-120"/>
        </w:rPr>
        <w:t>。</w:t>
      </w:r>
      <w:r>
        <w:rPr>
          <w:spacing w:val="-2"/>
        </w:rPr>
        <w:t>時間因素通常反映出市場的短期或長期變化的特徵，而空間因素則體現了市場在不同地理區域內的覆蓋程度及其影響力。這些時間和空間的限制為市場邊界的確立提供了具體的情境背景，使得市場的運作更加符合現實環境中的各種需</w:t>
      </w:r>
      <w:r>
        <w:rPr>
          <w:spacing w:val="-6"/>
        </w:rPr>
        <w:t>求。</w:t>
      </w:r>
    </w:p>
    <w:p>
      <w:pPr>
        <w:pStyle w:val="BodyText"/>
        <w:spacing w:before="101"/>
        <w:ind w:left="1168"/>
        <w:jc w:val="left"/>
      </w:pPr>
      <w:r>
        <w:rPr>
          <w:rFonts w:ascii="Times New Roman" w:hAnsi="Times New Roman" w:eastAsia="Times New Roman"/>
        </w:rPr>
        <w:t>Jutterström</w:t>
      </w:r>
      <w:r>
        <w:rPr/>
        <w:t>（</w:t>
      </w:r>
      <w:r>
        <w:rPr>
          <w:rFonts w:ascii="Times New Roman" w:hAnsi="Times New Roman" w:eastAsia="Times New Roman"/>
        </w:rPr>
        <w:t>2023</w:t>
      </w:r>
      <w:r>
        <w:rPr/>
        <w:t>）</w:t>
      </w:r>
      <w:r>
        <w:rPr>
          <w:spacing w:val="-1"/>
        </w:rPr>
        <w:t>在其研究中提出，市場邊界的形成可以通過互相適應</w:t>
      </w:r>
    </w:p>
    <w:p>
      <w:pPr>
        <w:pStyle w:val="BodyText"/>
        <w:spacing w:line="422" w:lineRule="auto" w:before="234"/>
        <w:ind w:right="683"/>
      </w:pPr>
      <w:r>
        <w:rPr/>
        <w:drawing>
          <wp:anchor distT="0" distB="0" distL="0" distR="0" allowOverlap="1" layoutInCell="1" locked="0" behindDoc="1" simplePos="0" relativeHeight="485787648">
            <wp:simplePos x="0" y="0"/>
            <wp:positionH relativeFrom="page">
              <wp:posOffset>3312414</wp:posOffset>
            </wp:positionH>
            <wp:positionV relativeFrom="paragraph">
              <wp:posOffset>1703895</wp:posOffset>
            </wp:positionV>
            <wp:extent cx="929640" cy="978408"/>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6" cstate="print"/>
                    <a:stretch>
                      <a:fillRect/>
                    </a:stretch>
                  </pic:blipFill>
                  <pic:spPr>
                    <a:xfrm>
                      <a:off x="0" y="0"/>
                      <a:ext cx="929640" cy="978408"/>
                    </a:xfrm>
                    <a:prstGeom prst="rect">
                      <a:avLst/>
                    </a:prstGeom>
                  </pic:spPr>
                </pic:pic>
              </a:graphicData>
            </a:graphic>
          </wp:anchor>
        </w:drawing>
      </w:r>
      <w:r>
        <w:rPr>
          <w:spacing w:val="-4"/>
        </w:rPr>
        <w:t>（</w:t>
      </w:r>
      <w:r>
        <w:rPr>
          <w:rFonts w:ascii="Times New Roman" w:eastAsia="Times New Roman"/>
          <w:spacing w:val="-4"/>
        </w:rPr>
        <w:t>Mutual </w:t>
      </w:r>
      <w:r>
        <w:rPr>
          <w:rFonts w:ascii="Times New Roman" w:eastAsia="Times New Roman"/>
          <w:spacing w:val="7"/>
        </w:rPr>
        <w:t>Ad</w:t>
      </w:r>
      <w:r>
        <w:rPr>
          <w:rFonts w:ascii="Times New Roman" w:eastAsia="Times New Roman"/>
          <w:spacing w:val="5"/>
        </w:rPr>
        <w:t>a</w:t>
      </w:r>
      <w:r>
        <w:rPr>
          <w:rFonts w:ascii="Times New Roman" w:eastAsia="Times New Roman"/>
          <w:spacing w:val="7"/>
        </w:rPr>
        <w:t>ptatio</w:t>
      </w:r>
      <w:r>
        <w:rPr>
          <w:rFonts w:ascii="Times New Roman" w:eastAsia="Times New Roman"/>
          <w:spacing w:val="8"/>
        </w:rPr>
        <w:t>n</w:t>
      </w:r>
      <w:r>
        <w:rPr>
          <w:spacing w:val="-118"/>
        </w:rPr>
        <w:t>）</w:t>
      </w:r>
      <w:r>
        <w:rPr>
          <w:spacing w:val="-4"/>
        </w:rPr>
        <w:t>、制度（</w:t>
      </w:r>
      <w:r>
        <w:rPr>
          <w:rFonts w:ascii="Times New Roman" w:eastAsia="Times New Roman"/>
          <w:spacing w:val="-4"/>
        </w:rPr>
        <w:t>Institutions</w:t>
      </w:r>
      <w:r>
        <w:rPr>
          <w:spacing w:val="-4"/>
        </w:rPr>
        <w:t>）與組織（</w:t>
      </w:r>
      <w:r>
        <w:rPr>
          <w:rFonts w:ascii="Times New Roman" w:eastAsia="Times New Roman"/>
          <w:spacing w:val="-4"/>
        </w:rPr>
        <w:t>Organization</w:t>
      </w:r>
      <w:r>
        <w:rPr>
          <w:spacing w:val="-4"/>
        </w:rPr>
        <w:t>）三種主要方式來解釋，這三種方式在市場邊界的形成過程中並不是孤立存在的，而是相互補充並同時生成多重邊界。互相適應的過程代表了市場參與者之間的持續互動，這些</w:t>
      </w:r>
      <w:r>
        <w:rPr>
          <w:spacing w:val="-2"/>
        </w:rPr>
        <w:t>互動逐步確立了市場的範圍；而制度的確立則為市場的運作提供了穩定性和可</w:t>
      </w:r>
      <w:r>
        <w:rPr>
          <w:spacing w:val="-4"/>
        </w:rPr>
        <w:t>預測性，使得市場能夠在規範的框架內運行；組織的影響則通過清晰的邊界決策</w:t>
      </w:r>
      <w:r>
        <w:rPr>
          <w:spacing w:val="-2"/>
        </w:rPr>
        <w:t>來解決市場中的不確定性，並為市場的有效性和合法性提供保障。</w:t>
      </w:r>
    </w:p>
    <w:p>
      <w:pPr>
        <w:pStyle w:val="Heading2"/>
        <w:spacing w:before="97"/>
        <w:ind w:left="571"/>
        <w:rPr>
          <w:position w:val="1"/>
        </w:rPr>
      </w:pPr>
      <w:r>
        <w:rPr>
          <w:b w:val="0"/>
        </w:rPr>
        <w:drawing>
          <wp:inline distT="0" distB="0" distL="0" distR="0">
            <wp:extent cx="395478" cy="145541"/>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60" cstate="print"/>
                    <a:stretch>
                      <a:fillRect/>
                    </a:stretch>
                  </pic:blipFill>
                  <pic:spPr>
                    <a:xfrm>
                      <a:off x="0" y="0"/>
                      <a:ext cx="395478" cy="145541"/>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23" w:id="24"/>
      <w:bookmarkEnd w:id="24"/>
      <w:r>
        <w:rPr>
          <w:rFonts w:ascii="Times New Roman" w:eastAsia="Times New Roman"/>
          <w:b w:val="0"/>
          <w:spacing w:val="-17"/>
          <w:position w:val="1"/>
          <w:sz w:val="20"/>
        </w:rPr>
      </w:r>
      <w:r>
        <w:rPr>
          <w:spacing w:val="-2"/>
          <w:position w:val="1"/>
        </w:rPr>
        <w:t>知識邊界</w:t>
      </w:r>
    </w:p>
    <w:p>
      <w:pPr>
        <w:pStyle w:val="BodyText"/>
        <w:spacing w:line="422" w:lineRule="auto" w:before="387"/>
        <w:ind w:right="683" w:firstLine="479"/>
      </w:pPr>
      <w:r>
        <w:rPr>
          <w:spacing w:val="-6"/>
        </w:rPr>
        <w:t>知識邊界描述了在組織內部知識創造、分享和利用過程中所遇到的限制。這</w:t>
      </w:r>
      <w:r>
        <w:rPr>
          <w:spacing w:val="-4"/>
        </w:rPr>
        <w:t>些限制可能受到多種因素的影響，如組織文化、技術的局限性，以及員工角色的</w:t>
      </w:r>
      <w:r>
        <w:rPr>
          <w:spacing w:val="-2"/>
        </w:rPr>
        <w:t>定位（</w:t>
      </w:r>
      <w:r>
        <w:rPr>
          <w:rFonts w:ascii="Times New Roman" w:eastAsia="Times New Roman"/>
          <w:spacing w:val="-2"/>
        </w:rPr>
        <w:t>Burbachet al., 2023</w:t>
      </w:r>
      <w:r>
        <w:rPr>
          <w:spacing w:val="-2"/>
        </w:rPr>
        <w:t>；</w:t>
      </w:r>
      <w:r>
        <w:rPr>
          <w:rFonts w:ascii="Times New Roman" w:eastAsia="Times New Roman"/>
          <w:spacing w:val="-2"/>
        </w:rPr>
        <w:t>Kodama, </w:t>
      </w:r>
      <w:r>
        <w:rPr>
          <w:rFonts w:ascii="Times New Roman" w:eastAsia="Times New Roman"/>
          <w:spacing w:val="22"/>
        </w:rPr>
        <w:t>2019</w:t>
      </w:r>
      <w:r>
        <w:rPr>
          <w:spacing w:val="-98"/>
        </w:rPr>
        <w:t>）</w:t>
      </w:r>
      <w:r>
        <w:rPr>
          <w:spacing w:val="-2"/>
        </w:rPr>
        <w:t>。有效的知識邊界管理可以促進資訊</w:t>
      </w:r>
      <w:r>
        <w:rPr>
          <w:spacing w:val="-4"/>
        </w:rPr>
        <w:t>的流動，確保所有相關的利害關係人能夠獲取有價值的見解，進而提升整體決策</w:t>
      </w:r>
      <w:r>
        <w:rPr>
          <w:spacing w:val="-2"/>
        </w:rPr>
        <w:t>質量和創新能力。</w:t>
      </w:r>
    </w:p>
    <w:p>
      <w:pPr>
        <w:pStyle w:val="BodyText"/>
        <w:spacing w:line="422" w:lineRule="auto" w:before="103"/>
        <w:ind w:right="651" w:firstLine="479"/>
      </w:pPr>
      <w:r>
        <w:rPr>
          <w:spacing w:val="-4"/>
        </w:rPr>
        <w:t>知識在生態系統中主要透過個體、鏈接和網路等多種管道流動，其流動的效</w:t>
      </w:r>
      <w:r>
        <w:rPr>
          <w:spacing w:val="-2"/>
        </w:rPr>
        <w:t>率對於整體知識的流通和整合至關重要（</w:t>
      </w:r>
      <w:r>
        <w:rPr>
          <w:rFonts w:ascii="Times New Roman" w:eastAsia="Times New Roman"/>
          <w:spacing w:val="-2"/>
        </w:rPr>
        <w:t>Geng, </w:t>
      </w:r>
      <w:r>
        <w:rPr>
          <w:rFonts w:ascii="Times New Roman" w:eastAsia="Times New Roman"/>
          <w:spacing w:val="22"/>
        </w:rPr>
        <w:t>2009</w:t>
      </w:r>
      <w:r>
        <w:rPr>
          <w:spacing w:val="-98"/>
        </w:rPr>
        <w:t>）</w:t>
      </w:r>
      <w:r>
        <w:rPr>
          <w:spacing w:val="-2"/>
        </w:rPr>
        <w:t>。儘管知識邊界有時可能</w:t>
      </w:r>
      <w:r>
        <w:rPr>
          <w:spacing w:val="-4"/>
        </w:rPr>
        <w:t>阻礙某些流程，但它也有潛力催生創新，因為在克服知識障礙的過程中，整合不</w:t>
      </w:r>
      <w:r>
        <w:rPr>
          <w:spacing w:val="-11"/>
        </w:rPr>
        <w:t>同的觀點往往能提供獨特的解決方案，從而為組織帶來競爭優勢</w:t>
      </w:r>
      <w:r>
        <w:rPr>
          <w:spacing w:val="-8"/>
        </w:rPr>
        <w:t>（</w:t>
      </w:r>
      <w:r>
        <w:rPr>
          <w:rFonts w:ascii="Times New Roman" w:eastAsia="Times New Roman"/>
          <w:spacing w:val="-8"/>
        </w:rPr>
        <w:t>Kodama</w:t>
      </w:r>
      <w:r>
        <w:rPr>
          <w:rFonts w:ascii="Times New Roman" w:eastAsia="Times New Roman"/>
          <w:spacing w:val="2"/>
        </w:rPr>
        <w:t>, </w:t>
      </w:r>
      <w:r>
        <w:rPr>
          <w:rFonts w:ascii="Times New Roman" w:eastAsia="Times New Roman"/>
          <w:spacing w:val="24"/>
        </w:rPr>
        <w:t>201</w:t>
      </w:r>
      <w:r>
        <w:rPr>
          <w:rFonts w:ascii="Times New Roman" w:eastAsia="Times New Roman"/>
          <w:spacing w:val="25"/>
        </w:rPr>
        <w:t>9</w:t>
      </w:r>
      <w:r>
        <w:rPr>
          <w:spacing w:val="-139"/>
        </w:rPr>
        <w:t>）</w:t>
      </w:r>
      <w:r>
        <w:rPr>
          <w:spacing w:val="-176"/>
        </w:rPr>
        <w:t>。</w:t>
      </w:r>
    </w:p>
    <w:p>
      <w:pPr>
        <w:pStyle w:val="BodyText"/>
        <w:spacing w:after="0" w:line="422" w:lineRule="auto"/>
        <w:sectPr>
          <w:pgSz w:w="11910" w:h="16840"/>
          <w:pgMar w:header="0" w:footer="1197" w:top="1740" w:bottom="1380" w:left="1133" w:right="1133"/>
        </w:sectPr>
      </w:pPr>
    </w:p>
    <w:p>
      <w:pPr>
        <w:pStyle w:val="Heading4"/>
        <w:spacing w:line="389" w:lineRule="exact"/>
      </w:pPr>
      <w:r>
        <w:rPr>
          <w:spacing w:val="-2"/>
        </w:rPr>
        <w:t>知識邊界的關鍵面向</w:t>
      </w:r>
    </w:p>
    <w:p>
      <w:pPr>
        <w:pStyle w:val="BodyText"/>
        <w:spacing w:line="422" w:lineRule="auto" w:before="358"/>
        <w:ind w:right="683" w:firstLine="479"/>
      </w:pPr>
      <w:r>
        <w:rPr>
          <w:spacing w:val="-6"/>
        </w:rPr>
        <w:t>知識邊界的形成可以歸因於多方面的原因，其中包括資訊孤島、專業知識差</w:t>
      </w:r>
      <w:r>
        <w:rPr>
          <w:spacing w:val="-2"/>
        </w:rPr>
        <w:t>距以及文化障礙等。這些因素的存在使得組織在知識管理和共享過程中面臨諸</w:t>
      </w:r>
      <w:r>
        <w:rPr>
          <w:spacing w:val="-4"/>
        </w:rPr>
        <w:t>多挑戰。</w:t>
      </w:r>
    </w:p>
    <w:p>
      <w:pPr>
        <w:pStyle w:val="BodyText"/>
        <w:spacing w:line="422" w:lineRule="auto" w:before="104"/>
        <w:ind w:right="683" w:firstLine="479"/>
      </w:pPr>
      <w:r>
        <w:rPr>
          <w:spacing w:val="-6"/>
        </w:rPr>
        <w:t>資訊孤島是知識邊界的重要原因之一。許多組織內部存在資訊孤島，即資訊</w:t>
      </w:r>
      <w:r>
        <w:rPr>
          <w:spacing w:val="-4"/>
        </w:rPr>
        <w:t>無法在不同部門或團隊之間順利流通。這種隔離現象會妨礙有效決策的制定，延</w:t>
      </w:r>
      <w:r>
        <w:rPr>
          <w:spacing w:val="-2"/>
        </w:rPr>
        <w:t>緩創新進程，並限制企業的整體競爭力（</w:t>
      </w:r>
      <w:r>
        <w:rPr>
          <w:rFonts w:ascii="Times New Roman" w:eastAsia="Times New Roman"/>
          <w:spacing w:val="-2"/>
        </w:rPr>
        <w:t>Burbachet</w:t>
      </w:r>
      <w:r>
        <w:rPr>
          <w:rFonts w:ascii="Times New Roman" w:eastAsia="Times New Roman"/>
          <w:spacing w:val="-13"/>
        </w:rPr>
        <w:t> </w:t>
      </w:r>
      <w:r>
        <w:rPr>
          <w:rFonts w:ascii="Times New Roman" w:eastAsia="Times New Roman"/>
          <w:spacing w:val="-2"/>
        </w:rPr>
        <w:t>al.,</w:t>
      </w:r>
      <w:r>
        <w:rPr>
          <w:rFonts w:ascii="Times New Roman" w:eastAsia="Times New Roman"/>
          <w:spacing w:val="-13"/>
        </w:rPr>
        <w:t> </w:t>
      </w:r>
      <w:r>
        <w:rPr>
          <w:rFonts w:ascii="Times New Roman" w:eastAsia="Times New Roman"/>
          <w:spacing w:val="22"/>
        </w:rPr>
        <w:t>2023</w:t>
      </w:r>
      <w:r>
        <w:rPr>
          <w:spacing w:val="-98"/>
        </w:rPr>
        <w:t>）</w:t>
      </w:r>
      <w:r>
        <w:rPr>
          <w:spacing w:val="-2"/>
        </w:rPr>
        <w:t>。當資訊僅限於某</w:t>
      </w:r>
      <w:r>
        <w:rPr>
          <w:spacing w:val="-4"/>
        </w:rPr>
        <w:t>個特定部門內部時，其潛在價值無法充分發揮，進而削弱整個組織的知識創造和</w:t>
      </w:r>
      <w:r>
        <w:rPr>
          <w:spacing w:val="-2"/>
        </w:rPr>
        <w:t>利用能力。</w:t>
      </w:r>
    </w:p>
    <w:p>
      <w:pPr>
        <w:pStyle w:val="BodyText"/>
        <w:spacing w:line="422" w:lineRule="auto" w:before="103"/>
        <w:ind w:right="682" w:firstLine="479"/>
      </w:pPr>
      <w:r>
        <w:rPr/>
        <w:drawing>
          <wp:anchor distT="0" distB="0" distL="0" distR="0" allowOverlap="1" layoutInCell="1" locked="0" behindDoc="1" simplePos="0" relativeHeight="485788160">
            <wp:simplePos x="0" y="0"/>
            <wp:positionH relativeFrom="page">
              <wp:posOffset>3312414</wp:posOffset>
            </wp:positionH>
            <wp:positionV relativeFrom="paragraph">
              <wp:posOffset>409124</wp:posOffset>
            </wp:positionV>
            <wp:extent cx="929640" cy="978408"/>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隨著企業擴展至新的市場和領域，組織經常面臨專業知識上的不足，這些知</w:t>
      </w:r>
      <w:r>
        <w:rPr>
          <w:spacing w:val="-4"/>
        </w:rPr>
        <w:t>識差距成為一種無形的邊界。彌合這些知識差距通常需要組織與外部夥伴合作、</w:t>
      </w:r>
      <w:r>
        <w:rPr>
          <w:spacing w:val="-8"/>
        </w:rPr>
        <w:t>聘請專家或投資於員工的培訓計畫（</w:t>
      </w:r>
      <w:r>
        <w:rPr>
          <w:rFonts w:ascii="Times New Roman" w:eastAsia="Times New Roman"/>
          <w:spacing w:val="-8"/>
        </w:rPr>
        <w:t>Jing</w:t>
      </w:r>
      <w:r>
        <w:rPr>
          <w:rFonts w:ascii="Times New Roman" w:eastAsia="Times New Roman"/>
        </w:rPr>
        <w:t> </w:t>
      </w:r>
      <w:r>
        <w:rPr>
          <w:rFonts w:ascii="Times New Roman" w:eastAsia="Times New Roman"/>
          <w:spacing w:val="-8"/>
        </w:rPr>
        <w:t>&amp;</w:t>
      </w:r>
      <w:r>
        <w:rPr>
          <w:rFonts w:ascii="Times New Roman" w:eastAsia="Times New Roman"/>
        </w:rPr>
        <w:t> </w:t>
      </w:r>
      <w:r>
        <w:rPr>
          <w:rFonts w:ascii="Times New Roman" w:eastAsia="Times New Roman"/>
          <w:spacing w:val="-8"/>
        </w:rPr>
        <w:t>Yang,</w:t>
      </w:r>
      <w:r>
        <w:rPr>
          <w:rFonts w:ascii="Times New Roman" w:eastAsia="Times New Roman"/>
        </w:rPr>
        <w:t> </w:t>
      </w:r>
      <w:r>
        <w:rPr>
          <w:rFonts w:ascii="Times New Roman" w:eastAsia="Times New Roman"/>
          <w:spacing w:val="20"/>
        </w:rPr>
        <w:t>2010</w:t>
      </w:r>
      <w:r>
        <w:rPr>
          <w:spacing w:val="-122"/>
        </w:rPr>
        <w:t>）</w:t>
      </w:r>
      <w:r>
        <w:rPr>
          <w:spacing w:val="-8"/>
        </w:rPr>
        <w:t>。這樣的知識整合過程不</w:t>
      </w:r>
      <w:r>
        <w:rPr>
          <w:spacing w:val="-2"/>
        </w:rPr>
        <w:t>僅有助於彌補專業技能的不足，還促進了內部知識的更新和員工的專業發展。</w:t>
      </w:r>
    </w:p>
    <w:p>
      <w:pPr>
        <w:pStyle w:val="BodyText"/>
        <w:spacing w:line="422" w:lineRule="auto" w:before="103"/>
        <w:ind w:right="683" w:firstLine="479"/>
      </w:pPr>
      <w:r>
        <w:rPr>
          <w:spacing w:val="-2"/>
        </w:rPr>
        <w:t>文化差異也是形成知識邊界的一個關鍵因素。組織文化中的差異往往會導</w:t>
      </w:r>
      <w:r>
        <w:rPr>
          <w:spacing w:val="-4"/>
        </w:rPr>
        <w:t>致知識交流的障礙，特別是在多元文化背景的團隊中。當不同文化背景的成員未</w:t>
      </w:r>
      <w:r>
        <w:rPr>
          <w:spacing w:val="-1"/>
        </w:rPr>
        <w:t>能克服這些差異時，協作的效率會受到負面影響，進而阻礙知識的共享與利用</w:t>
      </w:r>
    </w:p>
    <w:p>
      <w:pPr>
        <w:pStyle w:val="BodyText"/>
        <w:spacing w:line="422" w:lineRule="auto"/>
        <w:ind w:right="683"/>
      </w:pPr>
      <w:r>
        <w:rPr>
          <w:spacing w:val="-6"/>
        </w:rPr>
        <w:t>（</w:t>
      </w:r>
      <w:r>
        <w:rPr>
          <w:rFonts w:ascii="Times New Roman" w:eastAsia="Times New Roman"/>
          <w:spacing w:val="-6"/>
        </w:rPr>
        <w:t>Carlile &amp; Dionne, </w:t>
      </w:r>
      <w:r>
        <w:rPr>
          <w:rFonts w:ascii="Times New Roman" w:eastAsia="Times New Roman"/>
          <w:spacing w:val="22"/>
        </w:rPr>
        <w:t>2024</w:t>
      </w:r>
      <w:r>
        <w:rPr>
          <w:spacing w:val="-118"/>
        </w:rPr>
        <w:t>）</w:t>
      </w:r>
      <w:r>
        <w:rPr>
          <w:spacing w:val="-6"/>
        </w:rPr>
        <w:t>。因此，促進文化理解和協作技巧的培養對於突破這些</w:t>
      </w:r>
      <w:r>
        <w:rPr>
          <w:spacing w:val="-2"/>
        </w:rPr>
        <w:t>文化邊界至關重要。</w:t>
      </w:r>
    </w:p>
    <w:p>
      <w:pPr>
        <w:pStyle w:val="BodyText"/>
        <w:spacing w:line="422" w:lineRule="auto" w:before="103"/>
        <w:ind w:right="682" w:firstLine="479"/>
      </w:pPr>
      <w:r>
        <w:rPr>
          <w:spacing w:val="-2"/>
        </w:rPr>
        <w:t>組織可以通過建立與外部夥伴的協作網絡來克服知識邊界。這些協作包括</w:t>
      </w:r>
      <w:r>
        <w:rPr>
          <w:spacing w:val="-4"/>
        </w:rPr>
        <w:t>與其他公司、學術機構以及產業專家的合作，通過共享見解與最佳實踐來促進創</w:t>
      </w:r>
      <w:r>
        <w:rPr>
          <w:spacing w:val="-6"/>
        </w:rPr>
        <w:t>新（</w:t>
      </w:r>
      <w:r>
        <w:rPr>
          <w:rFonts w:ascii="Times New Roman" w:eastAsia="Times New Roman"/>
          <w:spacing w:val="-6"/>
        </w:rPr>
        <w:t>Hong</w:t>
      </w:r>
      <w:r>
        <w:rPr>
          <w:rFonts w:ascii="Times New Roman" w:eastAsia="Times New Roman"/>
          <w:spacing w:val="-9"/>
        </w:rPr>
        <w:t> </w:t>
      </w:r>
      <w:r>
        <w:rPr>
          <w:rFonts w:ascii="Times New Roman" w:eastAsia="Times New Roman"/>
          <w:spacing w:val="-6"/>
        </w:rPr>
        <w:t>&amp;</w:t>
      </w:r>
      <w:r>
        <w:rPr>
          <w:rFonts w:ascii="Times New Roman" w:eastAsia="Times New Roman"/>
          <w:spacing w:val="-9"/>
        </w:rPr>
        <w:t> </w:t>
      </w:r>
      <w:r>
        <w:rPr>
          <w:rFonts w:ascii="Times New Roman" w:eastAsia="Times New Roman"/>
          <w:spacing w:val="-6"/>
        </w:rPr>
        <w:t>Sternthal,</w:t>
      </w:r>
      <w:r>
        <w:rPr>
          <w:rFonts w:ascii="Times New Roman" w:eastAsia="Times New Roman"/>
          <w:spacing w:val="-9"/>
        </w:rPr>
        <w:t> </w:t>
      </w:r>
      <w:r>
        <w:rPr>
          <w:rFonts w:ascii="Times New Roman" w:eastAsia="Times New Roman"/>
          <w:spacing w:val="19"/>
        </w:rPr>
        <w:t>2</w:t>
      </w:r>
      <w:r>
        <w:rPr>
          <w:rFonts w:ascii="Times New Roman" w:eastAsia="Times New Roman"/>
          <w:spacing w:val="22"/>
        </w:rPr>
        <w:t>01</w:t>
      </w:r>
      <w:r>
        <w:rPr>
          <w:rFonts w:ascii="Times New Roman" w:eastAsia="Times New Roman"/>
          <w:spacing w:val="23"/>
        </w:rPr>
        <w:t>0</w:t>
      </w:r>
      <w:r>
        <w:rPr>
          <w:spacing w:val="-118"/>
        </w:rPr>
        <w:t>）</w:t>
      </w:r>
      <w:r>
        <w:rPr>
          <w:spacing w:val="-6"/>
        </w:rPr>
        <w:t>。這些外部網路有助於組織拓展其知識邊界，並在不</w:t>
      </w:r>
      <w:r>
        <w:rPr>
          <w:spacing w:val="-2"/>
        </w:rPr>
        <w:t>同背景和專業領域之間建立聯繫，從而增加了創新的可能性。</w:t>
      </w:r>
    </w:p>
    <w:p>
      <w:pPr>
        <w:pStyle w:val="BodyText"/>
        <w:spacing w:after="0" w:line="422" w:lineRule="auto"/>
        <w:sectPr>
          <w:pgSz w:w="11910" w:h="16840"/>
          <w:pgMar w:header="0" w:footer="1197" w:top="1760" w:bottom="1380" w:left="1133" w:right="1133"/>
        </w:sectPr>
      </w:pPr>
    </w:p>
    <w:p>
      <w:pPr>
        <w:pStyle w:val="Heading2"/>
        <w:spacing w:line="500" w:lineRule="exact"/>
        <w:ind w:left="571"/>
        <w:rPr>
          <w:position w:val="1"/>
        </w:rPr>
      </w:pPr>
      <w:r>
        <w:rPr>
          <w:b w:val="0"/>
        </w:rPr>
        <w:drawing>
          <wp:inline distT="0" distB="0" distL="0" distR="0">
            <wp:extent cx="400050" cy="145542"/>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61" cstate="print"/>
                    <a:stretch>
                      <a:fillRect/>
                    </a:stretch>
                  </pic:blipFill>
                  <pic:spPr>
                    <a:xfrm>
                      <a:off x="0" y="0"/>
                      <a:ext cx="400050" cy="145542"/>
                    </a:xfrm>
                    <a:prstGeom prst="rect">
                      <a:avLst/>
                    </a:prstGeom>
                  </pic:spPr>
                </pic:pic>
              </a:graphicData>
            </a:graphic>
          </wp:inline>
        </w:drawing>
      </w:r>
      <w:r>
        <w:rPr>
          <w:b w:val="0"/>
        </w:rPr>
      </w:r>
      <w:r>
        <w:rPr>
          <w:rFonts w:ascii="Times New Roman" w:eastAsia="Times New Roman"/>
          <w:b w:val="0"/>
          <w:position w:val="1"/>
          <w:sz w:val="20"/>
        </w:rPr>
        <w:t> </w:t>
      </w:r>
      <w:bookmarkStart w:name="_bookmark24" w:id="25"/>
      <w:bookmarkEnd w:id="25"/>
      <w:r>
        <w:rPr>
          <w:rFonts w:ascii="Times New Roman" w:eastAsia="Times New Roman"/>
          <w:b w:val="0"/>
          <w:spacing w:val="-24"/>
          <w:position w:val="1"/>
          <w:sz w:val="20"/>
        </w:rPr>
      </w:r>
      <w:r>
        <w:rPr>
          <w:spacing w:val="-2"/>
          <w:position w:val="1"/>
        </w:rPr>
        <w:t>技術邊界</w:t>
      </w:r>
    </w:p>
    <w:p>
      <w:pPr>
        <w:pStyle w:val="BodyText"/>
        <w:spacing w:line="422" w:lineRule="auto" w:before="386"/>
        <w:ind w:right="683" w:firstLine="479"/>
        <w:jc w:val="left"/>
      </w:pPr>
      <w:r>
        <w:rPr>
          <w:spacing w:val="-6"/>
        </w:rPr>
        <w:t>技術邊界描述了系統、流程或利害關係人之間的互動限制或介面，這些邊界</w:t>
      </w:r>
      <w:r>
        <w:rPr>
          <w:spacing w:val="-2"/>
        </w:rPr>
        <w:t>不僅反映了組織在技術資源和能力方面的局限性，也進一步影響了其適應市場</w:t>
      </w:r>
      <w:r>
        <w:rPr>
          <w:spacing w:val="-6"/>
        </w:rPr>
        <w:t>變化和推動創新的能力（</w:t>
      </w:r>
      <w:r>
        <w:rPr>
          <w:rFonts w:ascii="Times New Roman" w:eastAsia="Times New Roman"/>
          <w:spacing w:val="-6"/>
        </w:rPr>
        <w:t>Carlile,</w:t>
      </w:r>
      <w:r>
        <w:rPr>
          <w:rFonts w:ascii="Times New Roman" w:eastAsia="Times New Roman"/>
          <w:spacing w:val="-11"/>
        </w:rPr>
        <w:t> </w:t>
      </w:r>
      <w:r>
        <w:rPr>
          <w:rFonts w:ascii="Times New Roman" w:eastAsia="Times New Roman"/>
          <w:spacing w:val="19"/>
        </w:rPr>
        <w:t>2002</w:t>
      </w:r>
      <w:r>
        <w:rPr>
          <w:spacing w:val="-109"/>
        </w:rPr>
        <w:t>）</w:t>
      </w:r>
      <w:r>
        <w:rPr>
          <w:spacing w:val="-6"/>
        </w:rPr>
        <w:t>。研究表明，在跨組織合作中，資訊與通</w:t>
      </w:r>
      <w:r>
        <w:rPr>
          <w:spacing w:val="-2"/>
        </w:rPr>
        <w:t>訊技術（</w:t>
      </w:r>
      <w:r>
        <w:rPr>
          <w:rFonts w:ascii="Times New Roman" w:eastAsia="Times New Roman"/>
          <w:spacing w:val="-2"/>
        </w:rPr>
        <w:t>ICT</w:t>
      </w:r>
      <w:r>
        <w:rPr>
          <w:spacing w:val="-2"/>
        </w:rPr>
        <w:t>）的應用扮演了關鍵角色，不僅促進了跨界合作，提升了透明度和</w:t>
      </w:r>
      <w:r>
        <w:rPr>
          <w:spacing w:val="-7"/>
        </w:rPr>
        <w:t>知識共享，還使企業在管理跨組織界限時需要更多戰略眼光</w:t>
      </w:r>
      <w:r>
        <w:rPr>
          <w:spacing w:val="-4"/>
        </w:rPr>
        <w:t>（</w:t>
      </w:r>
      <w:r>
        <w:rPr>
          <w:rFonts w:ascii="Times New Roman" w:eastAsia="Times New Roman"/>
          <w:spacing w:val="-4"/>
        </w:rPr>
        <w:t>Yeow</w:t>
      </w:r>
      <w:r>
        <w:rPr>
          <w:rFonts w:ascii="Times New Roman" w:eastAsia="Times New Roman"/>
          <w:spacing w:val="-8"/>
        </w:rPr>
        <w:t> </w:t>
      </w:r>
      <w:r>
        <w:rPr>
          <w:rFonts w:ascii="Times New Roman" w:eastAsia="Times New Roman"/>
          <w:spacing w:val="-4"/>
        </w:rPr>
        <w:t>et</w:t>
      </w:r>
      <w:r>
        <w:rPr>
          <w:rFonts w:ascii="Times New Roman" w:eastAsia="Times New Roman"/>
          <w:spacing w:val="-7"/>
        </w:rPr>
        <w:t> </w:t>
      </w:r>
      <w:r>
        <w:rPr>
          <w:rFonts w:ascii="Times New Roman" w:eastAsia="Times New Roman"/>
          <w:spacing w:val="-4"/>
        </w:rPr>
        <w:t>al.,</w:t>
      </w:r>
      <w:r>
        <w:rPr>
          <w:rFonts w:ascii="Times New Roman" w:eastAsia="Times New Roman"/>
          <w:spacing w:val="-7"/>
        </w:rPr>
        <w:t> </w:t>
      </w:r>
      <w:r>
        <w:rPr>
          <w:rFonts w:ascii="Times New Roman" w:eastAsia="Times New Roman"/>
          <w:spacing w:val="28"/>
        </w:rPr>
        <w:t>2018</w:t>
      </w:r>
      <w:r>
        <w:rPr>
          <w:spacing w:val="-133"/>
        </w:rPr>
        <w:t>）</w:t>
      </w:r>
      <w:r>
        <w:rPr>
          <w:spacing w:val="-161"/>
        </w:rPr>
        <w:t>。</w:t>
      </w:r>
      <w:r>
        <w:rPr>
          <w:spacing w:val="-4"/>
        </w:rPr>
        <w:t> </w:t>
      </w:r>
      <w:r>
        <w:rPr>
          <w:rFonts w:ascii="Times New Roman" w:eastAsia="Times New Roman"/>
          <w:spacing w:val="-4"/>
        </w:rPr>
        <w:t>ICT</w:t>
      </w:r>
      <w:r>
        <w:rPr>
          <w:rFonts w:ascii="Times New Roman" w:eastAsia="Times New Roman"/>
          <w:spacing w:val="14"/>
        </w:rPr>
        <w:t> </w:t>
      </w:r>
      <w:r>
        <w:rPr>
          <w:spacing w:val="-4"/>
        </w:rPr>
        <w:t>的發展降低了內外部協調成本，特別是在多角化程度較高、垂直整合程度較</w:t>
      </w:r>
      <w:r>
        <w:rPr/>
        <w:t>低的企業中，其作用更為顯著（</w:t>
      </w:r>
      <w:r>
        <w:rPr>
          <w:rFonts w:ascii="Times New Roman" w:eastAsia="Times New Roman"/>
        </w:rPr>
        <w:t>Hitt, </w:t>
      </w:r>
      <w:r>
        <w:rPr>
          <w:rFonts w:ascii="Times New Roman" w:eastAsia="Times New Roman"/>
          <w:spacing w:val="24"/>
        </w:rPr>
        <w:t>1999</w:t>
      </w:r>
      <w:r>
        <w:rPr>
          <w:spacing w:val="-96"/>
        </w:rPr>
        <w:t>）</w:t>
      </w:r>
      <w:r>
        <w:rPr>
          <w:spacing w:val="-120"/>
        </w:rPr>
        <w:t>。</w:t>
      </w:r>
    </w:p>
    <w:p>
      <w:pPr>
        <w:pStyle w:val="BodyText"/>
        <w:spacing w:before="100"/>
        <w:ind w:left="1168"/>
        <w:jc w:val="left"/>
        <w:rPr>
          <w:rFonts w:ascii="Times New Roman" w:eastAsia="Times New Roman"/>
        </w:rPr>
      </w:pPr>
      <w:r>
        <w:rPr/>
        <w:t>此外，技術邊界在知識管理中的作用也受到學者的廣泛關注。</w:t>
      </w:r>
      <w:r>
        <w:rPr>
          <w:rFonts w:ascii="Times New Roman" w:eastAsia="Times New Roman"/>
          <w:spacing w:val="-2"/>
        </w:rPr>
        <w:t>Bergenholtz</w:t>
      </w:r>
    </w:p>
    <w:p>
      <w:pPr>
        <w:pStyle w:val="BodyText"/>
        <w:spacing w:line="422" w:lineRule="auto" w:before="233"/>
        <w:ind w:right="682"/>
      </w:pPr>
      <w:r>
        <w:rPr/>
        <w:drawing>
          <wp:anchor distT="0" distB="0" distL="0" distR="0" allowOverlap="1" layoutInCell="1" locked="0" behindDoc="1" simplePos="0" relativeHeight="485788672">
            <wp:simplePos x="0" y="0"/>
            <wp:positionH relativeFrom="page">
              <wp:posOffset>3312414</wp:posOffset>
            </wp:positionH>
            <wp:positionV relativeFrom="paragraph">
              <wp:posOffset>446079</wp:posOffset>
            </wp:positionV>
            <wp:extent cx="929640" cy="978408"/>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6" cstate="print"/>
                    <a:stretch>
                      <a:fillRect/>
                    </a:stretch>
                  </pic:blipFill>
                  <pic:spPr>
                    <a:xfrm>
                      <a:off x="0" y="0"/>
                      <a:ext cx="929640" cy="978408"/>
                    </a:xfrm>
                    <a:prstGeom prst="rect">
                      <a:avLst/>
                    </a:prstGeom>
                  </pic:spPr>
                </pic:pic>
              </a:graphicData>
            </a:graphic>
          </wp:anchor>
        </w:drawing>
      </w:r>
      <w:r>
        <w:rPr>
          <w:spacing w:val="-4"/>
        </w:rPr>
        <w:t>（</w:t>
      </w:r>
      <w:r>
        <w:rPr>
          <w:rFonts w:ascii="Times New Roman" w:eastAsia="Times New Roman"/>
          <w:spacing w:val="-4"/>
        </w:rPr>
        <w:t>2011</w:t>
      </w:r>
      <w:r>
        <w:rPr>
          <w:spacing w:val="-4"/>
        </w:rPr>
        <w:t>）指出，跨組織的弱聯繫與技術邊界能在知識中介中發揮重要作用，這些</w:t>
      </w:r>
      <w:r>
        <w:rPr>
          <w:spacing w:val="11"/>
        </w:rPr>
        <w:t>聯繫既能降低知識洩漏風險，又能促進知識的有序共享。同時，</w:t>
      </w:r>
      <w:r>
        <w:rPr>
          <w:rFonts w:ascii="Times New Roman" w:eastAsia="Times New Roman"/>
        </w:rPr>
        <w:t>Wilhelm </w:t>
      </w:r>
      <w:r>
        <w:rPr/>
        <w:t>和 </w:t>
      </w:r>
      <w:r>
        <w:rPr>
          <w:rFonts w:ascii="Times New Roman" w:eastAsia="Times New Roman"/>
          <w:spacing w:val="-2"/>
        </w:rPr>
        <w:t>Dolfsma</w:t>
      </w:r>
      <w:r>
        <w:rPr>
          <w:spacing w:val="-2"/>
        </w:rPr>
        <w:t>（</w:t>
      </w:r>
      <w:r>
        <w:rPr>
          <w:rFonts w:ascii="Times New Roman" w:eastAsia="Times New Roman"/>
          <w:spacing w:val="-2"/>
        </w:rPr>
        <w:t>2018</w:t>
      </w:r>
      <w:r>
        <w:rPr>
          <w:spacing w:val="-2"/>
        </w:rPr>
        <w:t>）進一步強調，技術邊界在組織吸收外部創新技術並將其內化的</w:t>
      </w:r>
      <w:r>
        <w:rPr/>
        <w:t>過程中具有重要價值。特別是在開放創新（</w:t>
      </w:r>
      <w:r>
        <w:rPr>
          <w:rFonts w:ascii="Times New Roman" w:eastAsia="Times New Roman"/>
        </w:rPr>
        <w:t>open</w:t>
      </w:r>
      <w:r>
        <w:rPr>
          <w:rFonts w:ascii="Times New Roman" w:eastAsia="Times New Roman"/>
          <w:spacing w:val="-15"/>
        </w:rPr>
        <w:t> </w:t>
      </w:r>
      <w:r>
        <w:rPr>
          <w:rFonts w:ascii="Times New Roman" w:eastAsia="Times New Roman"/>
        </w:rPr>
        <w:t>innovation</w:t>
      </w:r>
      <w:r>
        <w:rPr/>
        <w:t>）模式下，技術邊界</w:t>
      </w:r>
      <w:r>
        <w:rPr>
          <w:spacing w:val="-4"/>
        </w:rPr>
        <w:t>滲透的價值尤為明顯，因為它促進了不同組織之間的技術交流與整合，使創新技術更容易跨越組織障礙，最終被內化為組織資產。技術邊界的存在形式主要涵蓋</w:t>
      </w:r>
      <w:r>
        <w:rPr>
          <w:spacing w:val="-2"/>
        </w:rPr>
        <w:t>以下三個層面：</w:t>
      </w:r>
    </w:p>
    <w:p>
      <w:pPr>
        <w:pStyle w:val="ListParagraph"/>
        <w:numPr>
          <w:ilvl w:val="2"/>
          <w:numId w:val="9"/>
        </w:numPr>
        <w:tabs>
          <w:tab w:pos="1408" w:val="left" w:leader="none"/>
        </w:tabs>
        <w:spacing w:line="336" w:lineRule="auto" w:before="21" w:after="0"/>
        <w:ind w:left="1408" w:right="683" w:hanging="360"/>
        <w:jc w:val="left"/>
        <w:rPr>
          <w:rFonts w:ascii="Times New Roman" w:eastAsia="Times New Roman"/>
          <w:b/>
          <w:sz w:val="24"/>
        </w:rPr>
      </w:pPr>
      <w:r>
        <w:rPr>
          <w:rFonts w:ascii="Microsoft JhengHei" w:eastAsia="Microsoft JhengHei"/>
          <w:b/>
          <w:spacing w:val="-6"/>
          <w:sz w:val="24"/>
        </w:rPr>
        <w:t>物理邊界：</w:t>
      </w:r>
      <w:r>
        <w:rPr>
          <w:spacing w:val="-6"/>
          <w:sz w:val="24"/>
        </w:rPr>
        <w:t>涉及組織內外部的技術基礎設施限制。例如，當企業擴展服務</w:t>
      </w:r>
      <w:r>
        <w:rPr>
          <w:spacing w:val="-6"/>
          <w:sz w:val="24"/>
        </w:rPr>
        <w:t>時，現有基礎設施的兼容性和升級需求往往成為主要挑戰。不同系統間的</w:t>
      </w:r>
    </w:p>
    <w:p>
      <w:pPr>
        <w:pStyle w:val="BodyText"/>
        <w:spacing w:before="110"/>
        <w:ind w:left="1408"/>
        <w:jc w:val="left"/>
      </w:pPr>
      <w:r>
        <w:rPr>
          <w:spacing w:val="-1"/>
        </w:rPr>
        <w:t>硬體兼容性問題可能阻礙技術升級，延緩新技術的採用。</w:t>
      </w:r>
    </w:p>
    <w:p>
      <w:pPr>
        <w:pStyle w:val="ListParagraph"/>
        <w:numPr>
          <w:ilvl w:val="2"/>
          <w:numId w:val="9"/>
        </w:numPr>
        <w:tabs>
          <w:tab w:pos="1408" w:val="left" w:leader="none"/>
        </w:tabs>
        <w:spacing w:line="540" w:lineRule="exact" w:before="150" w:after="0"/>
        <w:ind w:left="1408" w:right="683" w:hanging="360"/>
        <w:jc w:val="both"/>
        <w:rPr>
          <w:rFonts w:ascii="Times New Roman" w:eastAsia="Times New Roman"/>
          <w:b/>
          <w:sz w:val="24"/>
        </w:rPr>
      </w:pPr>
      <w:r>
        <w:rPr>
          <w:rFonts w:ascii="Microsoft JhengHei" w:eastAsia="Microsoft JhengHei"/>
          <w:b/>
          <w:spacing w:val="-6"/>
          <w:sz w:val="24"/>
        </w:rPr>
        <w:t>概念邊界：</w:t>
      </w:r>
      <w:r>
        <w:rPr>
          <w:spacing w:val="-6"/>
          <w:sz w:val="24"/>
        </w:rPr>
        <w:t>概念邊界涵蓋技術知識、語言和標準之間的差異，這些差異直接影響組織內外部的溝通與協作效率（</w:t>
      </w:r>
      <w:r>
        <w:rPr>
          <w:rFonts w:ascii="Times New Roman" w:eastAsia="Times New Roman"/>
          <w:spacing w:val="-6"/>
          <w:sz w:val="24"/>
        </w:rPr>
        <w:t>Carlile, </w:t>
      </w:r>
      <w:r>
        <w:rPr>
          <w:rFonts w:ascii="Times New Roman" w:eastAsia="Times New Roman"/>
          <w:spacing w:val="21"/>
          <w:sz w:val="24"/>
        </w:rPr>
        <w:t>2004</w:t>
      </w:r>
      <w:r>
        <w:rPr>
          <w:spacing w:val="-114"/>
          <w:sz w:val="24"/>
        </w:rPr>
        <w:t>）</w:t>
      </w:r>
      <w:r>
        <w:rPr>
          <w:spacing w:val="-6"/>
          <w:sz w:val="24"/>
        </w:rPr>
        <w:t>。當跨組織缺乏統一的技術語言時，知識共享和協同工作的效率會大幅降低。例如，資訊系統部門與業務部門之間的技術語言差異，常導致項目實施延誤和溝通不暢。</w:t>
      </w:r>
    </w:p>
    <w:p>
      <w:pPr>
        <w:pStyle w:val="ListParagraph"/>
        <w:spacing w:after="0" w:line="540" w:lineRule="exact"/>
        <w:jc w:val="both"/>
        <w:rPr>
          <w:rFonts w:ascii="Times New Roman" w:eastAsia="Times New Roman"/>
          <w:b/>
          <w:sz w:val="24"/>
        </w:rPr>
        <w:sectPr>
          <w:pgSz w:w="11910" w:h="16840"/>
          <w:pgMar w:header="0" w:footer="1197" w:top="1800" w:bottom="1380" w:left="1133" w:right="1133"/>
        </w:sectPr>
      </w:pPr>
    </w:p>
    <w:p>
      <w:pPr>
        <w:pStyle w:val="ListParagraph"/>
        <w:numPr>
          <w:ilvl w:val="2"/>
          <w:numId w:val="9"/>
        </w:numPr>
        <w:tabs>
          <w:tab w:pos="1408" w:val="left" w:leader="none"/>
        </w:tabs>
        <w:spacing w:line="409" w:lineRule="exact" w:before="0" w:after="0"/>
        <w:ind w:left="1408" w:right="0" w:hanging="360"/>
        <w:jc w:val="both"/>
        <w:rPr>
          <w:rFonts w:ascii="Times New Roman" w:eastAsia="Times New Roman"/>
          <w:b/>
          <w:sz w:val="24"/>
        </w:rPr>
      </w:pPr>
      <w:r>
        <w:rPr>
          <w:rFonts w:ascii="Microsoft JhengHei" w:eastAsia="Microsoft JhengHei"/>
          <w:b/>
          <w:spacing w:val="-6"/>
          <w:sz w:val="24"/>
        </w:rPr>
        <w:t>社會邊界：</w:t>
      </w:r>
      <w:r>
        <w:rPr>
          <w:spacing w:val="-7"/>
          <w:sz w:val="24"/>
        </w:rPr>
        <w:t>社會邊界主要源於文化差異或利益衝突，這些因素可能對技術</w:t>
      </w:r>
    </w:p>
    <w:p>
      <w:pPr>
        <w:pStyle w:val="BodyText"/>
        <w:spacing w:line="422" w:lineRule="auto" w:before="178"/>
        <w:ind w:left="1408" w:right="685"/>
      </w:pPr>
      <w:r>
        <w:rPr>
          <w:spacing w:val="-2"/>
        </w:rPr>
        <w:t>的採用與協作構成障礙（</w:t>
      </w:r>
      <w:r>
        <w:rPr>
          <w:rFonts w:ascii="Times New Roman" w:eastAsia="Times New Roman"/>
          <w:spacing w:val="-2"/>
        </w:rPr>
        <w:t>Markus, </w:t>
      </w:r>
      <w:r>
        <w:rPr>
          <w:rFonts w:ascii="Times New Roman" w:eastAsia="Times New Roman"/>
          <w:spacing w:val="21"/>
        </w:rPr>
        <w:t>198</w:t>
      </w:r>
      <w:r>
        <w:rPr>
          <w:rFonts w:ascii="Times New Roman" w:eastAsia="Times New Roman"/>
          <w:spacing w:val="23"/>
        </w:rPr>
        <w:t>3</w:t>
      </w:r>
      <w:r>
        <w:rPr>
          <w:spacing w:val="-97"/>
        </w:rPr>
        <w:t>）</w:t>
      </w:r>
      <w:r>
        <w:rPr>
          <w:spacing w:val="-2"/>
        </w:rPr>
        <w:t>。特別是在跨文化或跨組織合作中，不同文化背景和利益訴求的團隊對技術的接受程度和應用方式可能</w:t>
      </w:r>
      <w:r>
        <w:rPr>
          <w:spacing w:val="-6"/>
        </w:rPr>
        <w:t>存在顯著差異，例如，當技術應用跨越到歐洲的法規和地理區域時，數據</w:t>
      </w:r>
      <w:r>
        <w:rPr>
          <w:spacing w:val="-2"/>
        </w:rPr>
        <w:t>安全與隱私合規成為主要挑戰之一。</w:t>
      </w:r>
    </w:p>
    <w:p>
      <w:pPr>
        <w:pStyle w:val="Heading4"/>
        <w:spacing w:before="96"/>
      </w:pPr>
      <w:r>
        <w:rPr>
          <w:spacing w:val="-2"/>
        </w:rPr>
        <w:t>技術邊界關鍵策略</w:t>
      </w:r>
    </w:p>
    <w:p>
      <w:pPr>
        <w:pStyle w:val="BodyText"/>
        <w:spacing w:line="422" w:lineRule="auto" w:before="358"/>
        <w:ind w:right="691" w:firstLine="479"/>
      </w:pPr>
      <w:r>
        <w:rPr>
          <w:spacing w:val="-2"/>
        </w:rPr>
        <w:t>技術邊界在技術進步和市場條件變化的背景下不斷演化。這些邊界的管理對於組織保持競爭力和適應能力至關重要。以下是關於技術邊界管理的幾個關</w:t>
      </w:r>
      <w:r>
        <w:rPr>
          <w:spacing w:val="-4"/>
        </w:rPr>
        <w:t>鍵策略：</w:t>
      </w:r>
    </w:p>
    <w:p>
      <w:pPr>
        <w:pStyle w:val="ListParagraph"/>
        <w:numPr>
          <w:ilvl w:val="0"/>
          <w:numId w:val="11"/>
        </w:numPr>
        <w:tabs>
          <w:tab w:pos="1408" w:val="left" w:leader="none"/>
        </w:tabs>
        <w:spacing w:line="336" w:lineRule="auto" w:before="25" w:after="0"/>
        <w:ind w:left="1408" w:right="682" w:hanging="360"/>
        <w:jc w:val="left"/>
        <w:rPr>
          <w:sz w:val="24"/>
        </w:rPr>
      </w:pPr>
      <w:r>
        <w:rPr>
          <w:sz w:val="24"/>
        </w:rPr>
        <w:drawing>
          <wp:anchor distT="0" distB="0" distL="0" distR="0" allowOverlap="1" layoutInCell="1" locked="0" behindDoc="1" simplePos="0" relativeHeight="485789184">
            <wp:simplePos x="0" y="0"/>
            <wp:positionH relativeFrom="page">
              <wp:posOffset>3312414</wp:posOffset>
            </wp:positionH>
            <wp:positionV relativeFrom="paragraph">
              <wp:posOffset>364592</wp:posOffset>
            </wp:positionV>
            <wp:extent cx="929640" cy="978408"/>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eastAsia="Microsoft JhengHei"/>
          <w:b/>
          <w:spacing w:val="-2"/>
          <w:sz w:val="24"/>
        </w:rPr>
        <w:t>識別與利用邊界物件：</w:t>
      </w:r>
      <w:r>
        <w:rPr>
          <w:spacing w:val="-19"/>
          <w:sz w:val="24"/>
        </w:rPr>
        <w:t>根據 </w:t>
      </w:r>
      <w:r>
        <w:rPr>
          <w:rFonts w:ascii="Times New Roman" w:eastAsia="Times New Roman"/>
          <w:spacing w:val="-2"/>
          <w:sz w:val="24"/>
        </w:rPr>
        <w:t>Star </w:t>
      </w:r>
      <w:r>
        <w:rPr>
          <w:spacing w:val="-27"/>
          <w:sz w:val="24"/>
        </w:rPr>
        <w:t>和 </w:t>
      </w:r>
      <w:r>
        <w:rPr>
          <w:rFonts w:ascii="Times New Roman" w:eastAsia="Times New Roman"/>
          <w:spacing w:val="-2"/>
          <w:sz w:val="24"/>
        </w:rPr>
        <w:t>Griesemer</w:t>
      </w:r>
      <w:r>
        <w:rPr>
          <w:spacing w:val="-2"/>
          <w:sz w:val="24"/>
        </w:rPr>
        <w:t>（</w:t>
      </w:r>
      <w:r>
        <w:rPr>
          <w:rFonts w:ascii="Times New Roman" w:eastAsia="Times New Roman"/>
          <w:spacing w:val="-2"/>
          <w:sz w:val="24"/>
        </w:rPr>
        <w:t>1989</w:t>
      </w:r>
      <w:r>
        <w:rPr>
          <w:spacing w:val="-2"/>
          <w:sz w:val="24"/>
        </w:rPr>
        <w:t>）的研究，邊界物件</w:t>
      </w:r>
      <w:r>
        <w:rPr>
          <w:spacing w:val="-6"/>
          <w:sz w:val="24"/>
        </w:rPr>
        <w:t>是一種在不同社群之間共享的資源，既能適應本地需求，又具備一致性以</w:t>
      </w:r>
    </w:p>
    <w:p>
      <w:pPr>
        <w:pStyle w:val="BodyText"/>
        <w:spacing w:line="422" w:lineRule="auto" w:before="111"/>
        <w:ind w:left="1408" w:right="683"/>
        <w:jc w:val="left"/>
      </w:pPr>
      <w:r>
        <w:rPr>
          <w:spacing w:val="-6"/>
        </w:rPr>
        <w:t>維持整體協作。在技術邊界管理中，利用邊界物件可以有效簡化不同部門</w:t>
      </w:r>
      <w:r>
        <w:rPr>
          <w:spacing w:val="-2"/>
        </w:rPr>
        <w:t>和組織之間的溝通障礙，從而提高組織的技術適應力與創新能力。</w:t>
      </w:r>
    </w:p>
    <w:p>
      <w:pPr>
        <w:pStyle w:val="ListParagraph"/>
        <w:numPr>
          <w:ilvl w:val="0"/>
          <w:numId w:val="11"/>
        </w:numPr>
        <w:tabs>
          <w:tab w:pos="1408" w:val="left" w:leader="none"/>
        </w:tabs>
        <w:spacing w:line="336" w:lineRule="auto" w:before="27" w:after="0"/>
        <w:ind w:left="1408" w:right="683" w:hanging="360"/>
        <w:jc w:val="left"/>
        <w:rPr>
          <w:sz w:val="24"/>
        </w:rPr>
      </w:pPr>
      <w:r>
        <w:rPr>
          <w:rFonts w:ascii="Microsoft JhengHei" w:eastAsia="Microsoft JhengHei"/>
          <w:b/>
          <w:spacing w:val="-6"/>
          <w:sz w:val="24"/>
        </w:rPr>
        <w:t>促進跨部門協作：</w:t>
      </w:r>
      <w:r>
        <w:rPr>
          <w:spacing w:val="-6"/>
          <w:sz w:val="24"/>
        </w:rPr>
        <w:t>研究指出，建立跨職能團隊有助於解決技術邊界問題，</w:t>
      </w:r>
      <w:r>
        <w:rPr>
          <w:spacing w:val="-9"/>
          <w:sz w:val="24"/>
        </w:rPr>
        <w:t>因為這些團隊可以打破組織內部的知識孤島</w:t>
      </w:r>
      <w:r>
        <w:rPr>
          <w:spacing w:val="-6"/>
          <w:sz w:val="24"/>
        </w:rPr>
        <w:t>（</w:t>
      </w:r>
      <w:r>
        <w:rPr>
          <w:rFonts w:ascii="Times New Roman" w:eastAsia="Times New Roman"/>
          <w:spacing w:val="-6"/>
          <w:sz w:val="24"/>
        </w:rPr>
        <w:t>knowledge</w:t>
      </w:r>
      <w:r>
        <w:rPr>
          <w:rFonts w:ascii="Times New Roman" w:eastAsia="Times New Roman"/>
          <w:spacing w:val="-13"/>
          <w:sz w:val="24"/>
        </w:rPr>
        <w:t> </w:t>
      </w:r>
      <w:r>
        <w:rPr>
          <w:rFonts w:ascii="Times New Roman" w:eastAsia="Times New Roman"/>
          <w:spacing w:val="19"/>
          <w:sz w:val="24"/>
        </w:rPr>
        <w:t>si</w:t>
      </w:r>
      <w:r>
        <w:rPr>
          <w:rFonts w:ascii="Times New Roman" w:eastAsia="Times New Roman"/>
          <w:spacing w:val="20"/>
          <w:sz w:val="24"/>
        </w:rPr>
        <w:t>l</w:t>
      </w:r>
      <w:r>
        <w:rPr>
          <w:rFonts w:ascii="Times New Roman" w:eastAsia="Times New Roman"/>
          <w:spacing w:val="18"/>
          <w:sz w:val="24"/>
        </w:rPr>
        <w:t>o</w:t>
      </w:r>
      <w:r>
        <w:rPr>
          <w:rFonts w:ascii="Times New Roman" w:eastAsia="Times New Roman"/>
          <w:spacing w:val="19"/>
          <w:sz w:val="24"/>
        </w:rPr>
        <w:t>s</w:t>
      </w:r>
      <w:r>
        <w:rPr>
          <w:spacing w:val="-130"/>
          <w:sz w:val="24"/>
        </w:rPr>
        <w:t>）</w:t>
      </w:r>
      <w:r>
        <w:rPr>
          <w:spacing w:val="-8"/>
          <w:sz w:val="24"/>
        </w:rPr>
        <w:t>，促進不同</w:t>
      </w:r>
    </w:p>
    <w:p>
      <w:pPr>
        <w:pStyle w:val="BodyText"/>
        <w:spacing w:before="111"/>
        <w:ind w:left="1408"/>
        <w:jc w:val="left"/>
      </w:pPr>
      <w:r>
        <w:rPr>
          <w:spacing w:val="-4"/>
        </w:rPr>
        <w:t>專業背景的成員之間的交流與合作（</w:t>
      </w:r>
      <w:r>
        <w:rPr>
          <w:rFonts w:ascii="Times New Roman" w:eastAsia="Times New Roman"/>
          <w:spacing w:val="-4"/>
        </w:rPr>
        <w:t>Edmondson</w:t>
      </w:r>
      <w:r>
        <w:rPr>
          <w:rFonts w:ascii="Times New Roman" w:eastAsia="Times New Roman"/>
          <w:spacing w:val="2"/>
        </w:rPr>
        <w:t> </w:t>
      </w:r>
      <w:r>
        <w:rPr>
          <w:rFonts w:ascii="Times New Roman" w:eastAsia="Times New Roman"/>
          <w:spacing w:val="-4"/>
        </w:rPr>
        <w:t>&amp;</w:t>
      </w:r>
      <w:r>
        <w:rPr>
          <w:rFonts w:ascii="Times New Roman" w:eastAsia="Times New Roman"/>
          <w:spacing w:val="5"/>
        </w:rPr>
        <w:t> </w:t>
      </w:r>
      <w:r>
        <w:rPr>
          <w:rFonts w:ascii="Times New Roman" w:eastAsia="Times New Roman"/>
          <w:spacing w:val="-4"/>
        </w:rPr>
        <w:t>Harvey</w:t>
      </w:r>
      <w:r>
        <w:rPr>
          <w:rFonts w:ascii="Times New Roman" w:eastAsia="Times New Roman"/>
        </w:rPr>
        <w:t>, </w:t>
      </w:r>
      <w:r>
        <w:rPr>
          <w:rFonts w:ascii="Times New Roman" w:eastAsia="Times New Roman"/>
          <w:spacing w:val="20"/>
        </w:rPr>
        <w:t>2017</w:t>
      </w:r>
      <w:r>
        <w:rPr>
          <w:spacing w:val="-100"/>
        </w:rPr>
        <w:t>）</w:t>
      </w:r>
      <w:r>
        <w:rPr>
          <w:spacing w:val="-130"/>
        </w:rPr>
        <w:t>。</w:t>
      </w:r>
    </w:p>
    <w:p>
      <w:pPr>
        <w:pStyle w:val="ListParagraph"/>
        <w:numPr>
          <w:ilvl w:val="0"/>
          <w:numId w:val="11"/>
        </w:numPr>
        <w:tabs>
          <w:tab w:pos="1408" w:val="left" w:leader="none"/>
        </w:tabs>
        <w:spacing w:line="336" w:lineRule="auto" w:before="261" w:after="0"/>
        <w:ind w:left="1408" w:right="683" w:hanging="360"/>
        <w:jc w:val="left"/>
        <w:rPr>
          <w:rFonts w:ascii="Times New Roman" w:eastAsia="Times New Roman"/>
          <w:sz w:val="24"/>
        </w:rPr>
      </w:pPr>
      <w:r>
        <w:rPr>
          <w:rFonts w:ascii="Microsoft JhengHei" w:eastAsia="Microsoft JhengHei"/>
          <w:b/>
          <w:spacing w:val="-6"/>
          <w:sz w:val="24"/>
        </w:rPr>
        <w:t>數位轉型與平台化管理：</w:t>
      </w:r>
      <w:r>
        <w:rPr>
          <w:spacing w:val="-6"/>
          <w:sz w:val="24"/>
        </w:rPr>
        <w:t>隨著技術發展，數位化已成為應對技術邊界挑戰</w:t>
      </w:r>
      <w:r>
        <w:rPr>
          <w:sz w:val="24"/>
        </w:rPr>
        <w:t>的核心策略。這些工具能夠顯著提升組織的適應性與應變能力（</w:t>
      </w:r>
      <w:r>
        <w:rPr>
          <w:rFonts w:ascii="Times New Roman" w:eastAsia="Times New Roman"/>
          <w:sz w:val="24"/>
        </w:rPr>
        <w:t>Kane et</w:t>
      </w:r>
    </w:p>
    <w:p>
      <w:pPr>
        <w:pStyle w:val="BodyText"/>
        <w:spacing w:before="111"/>
        <w:ind w:left="1408"/>
        <w:jc w:val="left"/>
      </w:pPr>
      <w:r>
        <w:rPr>
          <w:rFonts w:ascii="Times New Roman" w:eastAsia="Times New Roman"/>
          <w:spacing w:val="-14"/>
        </w:rPr>
        <w:t>al.,</w:t>
      </w:r>
      <w:r>
        <w:rPr>
          <w:rFonts w:ascii="Times New Roman" w:eastAsia="Times New Roman"/>
          <w:spacing w:val="5"/>
        </w:rPr>
        <w:t> </w:t>
      </w:r>
      <w:r>
        <w:rPr>
          <w:rFonts w:ascii="Times New Roman" w:eastAsia="Times New Roman"/>
          <w:spacing w:val="10"/>
        </w:rPr>
        <w:t>2015</w:t>
      </w:r>
      <w:r>
        <w:rPr>
          <w:spacing w:val="-110"/>
        </w:rPr>
        <w:t>）</w:t>
      </w:r>
      <w:r>
        <w:rPr>
          <w:spacing w:val="-130"/>
        </w:rPr>
        <w:t>。</w:t>
      </w:r>
    </w:p>
    <w:p>
      <w:pPr>
        <w:pStyle w:val="BodyText"/>
        <w:spacing w:before="33"/>
        <w:ind w:left="0"/>
        <w:jc w:val="left"/>
      </w:pPr>
    </w:p>
    <w:p>
      <w:pPr>
        <w:pStyle w:val="BodyText"/>
        <w:spacing w:line="422" w:lineRule="auto"/>
        <w:ind w:left="569" w:right="563" w:firstLine="479"/>
        <w:jc w:val="left"/>
      </w:pPr>
      <w:r>
        <w:rPr>
          <w:spacing w:val="-6"/>
        </w:rPr>
        <w:t>綜上所述，跨界管理是組織打破內外部邊界限制的重要策略，旨在促進資訊流</w:t>
      </w:r>
      <w:r>
        <w:rPr>
          <w:spacing w:val="-4"/>
        </w:rPr>
        <w:t>動、資源整合與協同合作。表格 </w:t>
      </w:r>
      <w:r>
        <w:rPr>
          <w:rFonts w:ascii="Times New Roman" w:eastAsia="Times New Roman"/>
        </w:rPr>
        <w:t>2.4.4-1</w:t>
      </w:r>
      <w:r>
        <w:rPr>
          <w:rFonts w:ascii="Times New Roman" w:eastAsia="Times New Roman"/>
          <w:spacing w:val="-1"/>
        </w:rPr>
        <w:t> </w:t>
      </w:r>
      <w:r>
        <w:rPr>
          <w:spacing w:val="-1"/>
        </w:rPr>
        <w:t>簡要呈現市場、知識、技術邊界的定義：</w:t>
      </w:r>
    </w:p>
    <w:p>
      <w:pPr>
        <w:pStyle w:val="BodyText"/>
        <w:spacing w:after="0" w:line="422" w:lineRule="auto"/>
        <w:jc w:val="left"/>
        <w:sectPr>
          <w:pgSz w:w="11910" w:h="16840"/>
          <w:pgMar w:header="0" w:footer="1197" w:top="1740" w:bottom="1380" w:left="1133" w:right="1133"/>
        </w:sectPr>
      </w:pPr>
    </w:p>
    <w:p>
      <w:pPr>
        <w:pStyle w:val="Heading4"/>
        <w:spacing w:line="409" w:lineRule="exact"/>
        <w:ind w:left="599" w:right="118"/>
        <w:jc w:val="center"/>
      </w:pPr>
      <w:bookmarkStart w:name="_bookmark25" w:id="26"/>
      <w:bookmarkEnd w:id="26"/>
      <w:r>
        <w:rPr>
          <w:b w:val="0"/>
        </w:rPr>
      </w:r>
      <w:r>
        <w:rPr>
          <w:spacing w:val="30"/>
        </w:rPr>
        <w:t>表 </w:t>
      </w:r>
      <w:r>
        <w:rPr>
          <w:rFonts w:ascii="Times New Roman" w:eastAsia="Times New Roman"/>
        </w:rPr>
        <w:t>2.4-1</w:t>
      </w:r>
      <w:r>
        <w:rPr>
          <w:rFonts w:ascii="Times New Roman" w:eastAsia="Times New Roman"/>
          <w:spacing w:val="60"/>
        </w:rPr>
        <w:t> </w:t>
      </w:r>
      <w:r>
        <w:rPr>
          <w:spacing w:val="-2"/>
        </w:rPr>
        <w:t>邊界之定義</w:t>
      </w:r>
    </w:p>
    <w:p>
      <w:pPr>
        <w:pStyle w:val="BodyText"/>
        <w:spacing w:before="17"/>
        <w:ind w:left="0"/>
        <w:jc w:val="left"/>
        <w:rPr>
          <w:rFonts w:ascii="Microsoft JhengHei"/>
          <w:b/>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6947"/>
      </w:tblGrid>
      <w:tr>
        <w:trPr>
          <w:trHeight w:val="755" w:hRule="atLeast"/>
        </w:trPr>
        <w:tc>
          <w:tcPr>
            <w:tcW w:w="1555" w:type="dxa"/>
            <w:shd w:val="clear" w:color="auto" w:fill="E7E6E6"/>
          </w:tcPr>
          <w:p>
            <w:pPr>
              <w:pStyle w:val="TableParagraph"/>
              <w:spacing w:before="131"/>
              <w:ind w:left="9"/>
              <w:jc w:val="center"/>
              <w:rPr>
                <w:rFonts w:ascii="Microsoft JhengHei" w:eastAsia="Microsoft JhengHei"/>
                <w:b/>
                <w:sz w:val="24"/>
              </w:rPr>
            </w:pPr>
            <w:r>
              <w:rPr>
                <w:rFonts w:ascii="Microsoft JhengHei" w:eastAsia="Microsoft JhengHei"/>
                <w:b/>
                <w:spacing w:val="-3"/>
                <w:sz w:val="24"/>
              </w:rPr>
              <w:t>邊界類型</w:t>
            </w:r>
          </w:p>
        </w:tc>
        <w:tc>
          <w:tcPr>
            <w:tcW w:w="6947" w:type="dxa"/>
            <w:shd w:val="clear" w:color="auto" w:fill="E7E6E6"/>
          </w:tcPr>
          <w:p>
            <w:pPr>
              <w:pStyle w:val="TableParagraph"/>
              <w:spacing w:before="131"/>
              <w:ind w:left="10"/>
              <w:jc w:val="center"/>
              <w:rPr>
                <w:rFonts w:ascii="Microsoft JhengHei" w:eastAsia="Microsoft JhengHei"/>
                <w:b/>
                <w:sz w:val="24"/>
              </w:rPr>
            </w:pPr>
            <w:r>
              <w:rPr>
                <w:rFonts w:ascii="Microsoft JhengHei" w:eastAsia="Microsoft JhengHei"/>
                <w:b/>
                <w:spacing w:val="-5"/>
                <w:sz w:val="24"/>
              </w:rPr>
              <w:t>定義</w:t>
            </w:r>
          </w:p>
        </w:tc>
      </w:tr>
      <w:tr>
        <w:trPr>
          <w:trHeight w:val="1295" w:hRule="atLeast"/>
        </w:trPr>
        <w:tc>
          <w:tcPr>
            <w:tcW w:w="1555" w:type="dxa"/>
          </w:tcPr>
          <w:p>
            <w:pPr>
              <w:pStyle w:val="TableParagraph"/>
              <w:spacing w:before="211"/>
              <w:ind w:left="9"/>
              <w:jc w:val="center"/>
              <w:rPr>
                <w:sz w:val="24"/>
              </w:rPr>
            </w:pPr>
            <w:r>
              <w:rPr>
                <w:spacing w:val="-3"/>
                <w:sz w:val="24"/>
              </w:rPr>
              <w:t>市場邊界</w:t>
            </w:r>
          </w:p>
        </w:tc>
        <w:tc>
          <w:tcPr>
            <w:tcW w:w="6947" w:type="dxa"/>
          </w:tcPr>
          <w:p>
            <w:pPr>
              <w:pStyle w:val="TableParagraph"/>
              <w:spacing w:line="540" w:lineRule="exact" w:before="19"/>
              <w:ind w:left="227" w:right="218"/>
              <w:rPr>
                <w:sz w:val="24"/>
              </w:rPr>
            </w:pPr>
            <w:r>
              <w:rPr>
                <w:spacing w:val="-2"/>
                <w:sz w:val="24"/>
              </w:rPr>
              <w:t>組織在市場中確定產品、買方與賣方等要素的位置及範圍。企業透過界定和管理這些邊界來確保市場的合法性與功能性。</w:t>
            </w:r>
          </w:p>
        </w:tc>
      </w:tr>
      <w:tr>
        <w:trPr>
          <w:trHeight w:val="1296" w:hRule="atLeast"/>
        </w:trPr>
        <w:tc>
          <w:tcPr>
            <w:tcW w:w="1555" w:type="dxa"/>
          </w:tcPr>
          <w:p>
            <w:pPr>
              <w:pStyle w:val="TableParagraph"/>
              <w:spacing w:before="211"/>
              <w:ind w:left="9"/>
              <w:jc w:val="center"/>
              <w:rPr>
                <w:sz w:val="24"/>
              </w:rPr>
            </w:pPr>
            <w:r>
              <w:rPr>
                <w:spacing w:val="-3"/>
                <w:sz w:val="24"/>
              </w:rPr>
              <w:t>知識邊界</w:t>
            </w:r>
          </w:p>
        </w:tc>
        <w:tc>
          <w:tcPr>
            <w:tcW w:w="6947" w:type="dxa"/>
          </w:tcPr>
          <w:p>
            <w:pPr>
              <w:pStyle w:val="TableParagraph"/>
              <w:spacing w:line="540" w:lineRule="exact" w:before="19"/>
              <w:ind w:left="227" w:right="218"/>
              <w:rPr>
                <w:sz w:val="24"/>
              </w:rPr>
            </w:pPr>
            <w:r>
              <w:rPr>
                <w:spacing w:val="-2"/>
                <w:sz w:val="24"/>
              </w:rPr>
              <w:t>組織在知識創造、分享與應用過程中所面臨的限制，常由資訊孤島、專業差距或文化障礙引起。</w:t>
            </w:r>
          </w:p>
        </w:tc>
      </w:tr>
      <w:tr>
        <w:trPr>
          <w:trHeight w:val="1297" w:hRule="atLeast"/>
        </w:trPr>
        <w:tc>
          <w:tcPr>
            <w:tcW w:w="1555" w:type="dxa"/>
          </w:tcPr>
          <w:p>
            <w:pPr>
              <w:pStyle w:val="TableParagraph"/>
              <w:spacing w:before="211"/>
              <w:ind w:left="9"/>
              <w:jc w:val="center"/>
              <w:rPr>
                <w:sz w:val="24"/>
              </w:rPr>
            </w:pPr>
            <w:r>
              <w:rPr>
                <w:spacing w:val="-3"/>
                <w:sz w:val="24"/>
              </w:rPr>
              <w:t>技術邊界</w:t>
            </w:r>
          </w:p>
        </w:tc>
        <w:tc>
          <w:tcPr>
            <w:tcW w:w="6947" w:type="dxa"/>
          </w:tcPr>
          <w:p>
            <w:pPr>
              <w:pStyle w:val="TableParagraph"/>
              <w:spacing w:line="540" w:lineRule="exact" w:before="19"/>
              <w:ind w:left="227" w:right="216"/>
              <w:rPr>
                <w:sz w:val="24"/>
              </w:rPr>
            </w:pPr>
            <w:r>
              <w:rPr>
                <w:spacing w:val="-2"/>
                <w:sz w:val="24"/>
              </w:rPr>
              <w:t>系統、流程或利害關係人之間的互動限制或介面，影響創新與適應能力。</w:t>
            </w:r>
          </w:p>
        </w:tc>
      </w:tr>
    </w:tbl>
    <w:p>
      <w:pPr>
        <w:pStyle w:val="BodyText"/>
        <w:spacing w:before="213"/>
        <w:ind w:left="597" w:right="118"/>
        <w:jc w:val="center"/>
      </w:pPr>
      <w:r>
        <w:rPr/>
        <w:drawing>
          <wp:anchor distT="0" distB="0" distL="0" distR="0" allowOverlap="1" layoutInCell="1" locked="0" behindDoc="1" simplePos="0" relativeHeight="485789696">
            <wp:simplePos x="0" y="0"/>
            <wp:positionH relativeFrom="page">
              <wp:posOffset>3312414</wp:posOffset>
            </wp:positionH>
            <wp:positionV relativeFrom="paragraph">
              <wp:posOffset>355726</wp:posOffset>
            </wp:positionV>
            <wp:extent cx="929640" cy="978408"/>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6" cstate="print"/>
                    <a:stretch>
                      <a:fillRect/>
                    </a:stretch>
                  </pic:blipFill>
                  <pic:spPr>
                    <a:xfrm>
                      <a:off x="0" y="0"/>
                      <a:ext cx="929640" cy="978408"/>
                    </a:xfrm>
                    <a:prstGeom prst="rect">
                      <a:avLst/>
                    </a:prstGeom>
                  </pic:spPr>
                </pic:pic>
              </a:graphicData>
            </a:graphic>
          </wp:anchor>
        </w:drawing>
      </w:r>
      <w:r>
        <w:rPr>
          <w:spacing w:val="-1"/>
        </w:rPr>
        <w:t>資料來源：本研究整理</w:t>
      </w:r>
    </w:p>
    <w:p>
      <w:pPr>
        <w:pStyle w:val="BodyText"/>
        <w:spacing w:after="0"/>
        <w:jc w:val="center"/>
        <w:sectPr>
          <w:pgSz w:w="11910" w:h="16840"/>
          <w:pgMar w:header="0" w:footer="1197" w:top="1740" w:bottom="1380" w:left="1133" w:right="1133"/>
        </w:sectPr>
      </w:pPr>
    </w:p>
    <w:p>
      <w:pPr>
        <w:pStyle w:val="Heading2"/>
        <w:numPr>
          <w:ilvl w:val="1"/>
          <w:numId w:val="9"/>
        </w:numPr>
        <w:tabs>
          <w:tab w:pos="1047" w:val="left" w:leader="none"/>
        </w:tabs>
        <w:spacing w:line="522" w:lineRule="exact" w:before="0" w:after="0"/>
        <w:ind w:left="1047" w:right="0" w:hanging="478"/>
        <w:jc w:val="left"/>
      </w:pPr>
      <w:bookmarkStart w:name="_bookmark26" w:id="27"/>
      <w:bookmarkEnd w:id="27"/>
      <w:r>
        <w:rPr>
          <w:b w:val="0"/>
        </w:rPr>
      </w:r>
      <w:r>
        <w:rPr>
          <w:spacing w:val="-2"/>
        </w:rPr>
        <w:t>資源和諧（</w:t>
      </w:r>
      <w:r>
        <w:rPr>
          <w:rFonts w:ascii="Times New Roman" w:eastAsia="Times New Roman"/>
          <w:spacing w:val="-2"/>
        </w:rPr>
        <w:t>Resource</w:t>
      </w:r>
      <w:r>
        <w:rPr>
          <w:rFonts w:ascii="Times New Roman" w:eastAsia="Times New Roman"/>
          <w:spacing w:val="-1"/>
        </w:rPr>
        <w:t> </w:t>
      </w:r>
      <w:r>
        <w:rPr>
          <w:rFonts w:ascii="Times New Roman" w:eastAsia="Times New Roman"/>
          <w:spacing w:val="-2"/>
        </w:rPr>
        <w:t>Orchestration</w:t>
      </w:r>
      <w:r>
        <w:rPr>
          <w:spacing w:val="-2"/>
        </w:rPr>
        <w:t>）</w:t>
      </w:r>
    </w:p>
    <w:p>
      <w:pPr>
        <w:pStyle w:val="BodyText"/>
        <w:spacing w:line="422" w:lineRule="auto" w:before="312"/>
        <w:ind w:right="683" w:firstLine="479"/>
      </w:pPr>
      <w:r>
        <w:rPr/>
        <w:t>資源和諧（</w:t>
      </w:r>
      <w:r>
        <w:rPr>
          <w:rFonts w:ascii="Times New Roman" w:eastAsia="Times New Roman"/>
        </w:rPr>
        <w:t>Resource</w:t>
      </w:r>
      <w:r>
        <w:rPr>
          <w:rFonts w:ascii="Times New Roman" w:eastAsia="Times New Roman"/>
          <w:spacing w:val="-15"/>
        </w:rPr>
        <w:t> </w:t>
      </w:r>
      <w:r>
        <w:rPr>
          <w:rFonts w:ascii="Times New Roman" w:eastAsia="Times New Roman"/>
        </w:rPr>
        <w:t>Orchestration</w:t>
      </w:r>
      <w:r>
        <w:rPr/>
        <w:t>）是管理學領域中一個至關重要的概念，</w:t>
      </w:r>
      <w:r>
        <w:rPr>
          <w:spacing w:val="-1"/>
        </w:rPr>
        <w:t>其核心在於通過動態整合與運用資源來應對不確定的環境，從而創造競爭優勢</w:t>
      </w:r>
    </w:p>
    <w:p>
      <w:pPr>
        <w:pStyle w:val="BodyText"/>
        <w:spacing w:line="422" w:lineRule="auto"/>
        <w:ind w:right="683"/>
      </w:pPr>
      <w:r>
        <w:rPr/>
        <w:t>（</w:t>
      </w:r>
      <w:r>
        <w:rPr>
          <w:rFonts w:ascii="Times New Roman" w:eastAsia="Times New Roman"/>
        </w:rPr>
        <w:t>Sirmon</w:t>
      </w:r>
      <w:r>
        <w:rPr>
          <w:rFonts w:ascii="Times New Roman" w:eastAsia="Times New Roman"/>
          <w:spacing w:val="-5"/>
        </w:rPr>
        <w:t> </w:t>
      </w:r>
      <w:r>
        <w:rPr>
          <w:rFonts w:ascii="Times New Roman" w:eastAsia="Times New Roman"/>
        </w:rPr>
        <w:t>et</w:t>
      </w:r>
      <w:r>
        <w:rPr>
          <w:rFonts w:ascii="Times New Roman" w:eastAsia="Times New Roman"/>
          <w:spacing w:val="-4"/>
        </w:rPr>
        <w:t> </w:t>
      </w:r>
      <w:r>
        <w:rPr>
          <w:rFonts w:ascii="Times New Roman" w:eastAsia="Times New Roman"/>
        </w:rPr>
        <w:t>al.,</w:t>
      </w:r>
      <w:r>
        <w:rPr>
          <w:rFonts w:ascii="Times New Roman" w:eastAsia="Times New Roman"/>
          <w:spacing w:val="-4"/>
        </w:rPr>
        <w:t> </w:t>
      </w:r>
      <w:r>
        <w:rPr>
          <w:rFonts w:ascii="Times New Roman" w:eastAsia="Times New Roman"/>
        </w:rPr>
        <w:t>2007;</w:t>
      </w:r>
      <w:r>
        <w:rPr>
          <w:rFonts w:ascii="Times New Roman" w:eastAsia="Times New Roman"/>
          <w:spacing w:val="-3"/>
        </w:rPr>
        <w:t> </w:t>
      </w:r>
      <w:r>
        <w:rPr>
          <w:rFonts w:ascii="Times New Roman" w:eastAsia="Times New Roman"/>
        </w:rPr>
        <w:t>Helfat</w:t>
      </w:r>
      <w:r>
        <w:rPr>
          <w:rFonts w:ascii="Times New Roman" w:eastAsia="Times New Roman"/>
          <w:spacing w:val="-4"/>
        </w:rPr>
        <w:t> </w:t>
      </w:r>
      <w:r>
        <w:rPr>
          <w:rFonts w:ascii="Times New Roman" w:eastAsia="Times New Roman"/>
        </w:rPr>
        <w:t>et</w:t>
      </w:r>
      <w:r>
        <w:rPr>
          <w:rFonts w:ascii="Times New Roman" w:eastAsia="Times New Roman"/>
          <w:spacing w:val="-3"/>
        </w:rPr>
        <w:t> </w:t>
      </w:r>
      <w:r>
        <w:rPr>
          <w:rFonts w:ascii="Times New Roman" w:eastAsia="Times New Roman"/>
        </w:rPr>
        <w:t>al.,</w:t>
      </w:r>
      <w:r>
        <w:rPr>
          <w:rFonts w:ascii="Times New Roman" w:eastAsia="Times New Roman"/>
          <w:spacing w:val="-4"/>
        </w:rPr>
        <w:t> </w:t>
      </w:r>
      <w:r>
        <w:rPr>
          <w:rFonts w:ascii="Times New Roman" w:eastAsia="Times New Roman"/>
          <w:spacing w:val="23"/>
        </w:rPr>
        <w:t>200</w:t>
      </w:r>
      <w:r>
        <w:rPr>
          <w:rFonts w:ascii="Times New Roman" w:eastAsia="Times New Roman"/>
          <w:spacing w:val="25"/>
        </w:rPr>
        <w:t>7</w:t>
      </w:r>
      <w:r>
        <w:rPr>
          <w:spacing w:val="-97"/>
        </w:rPr>
        <w:t>）</w:t>
      </w:r>
      <w:r>
        <w:rPr/>
        <w:t>。該理論基於資源基礎理論（</w:t>
      </w:r>
      <w:r>
        <w:rPr>
          <w:rFonts w:ascii="Times New Roman" w:eastAsia="Times New Roman"/>
        </w:rPr>
        <w:t>Resource- </w:t>
      </w:r>
      <w:r>
        <w:rPr>
          <w:rFonts w:ascii="Times New Roman" w:eastAsia="Times New Roman"/>
          <w:spacing w:val="-4"/>
        </w:rPr>
        <w:t>Based</w:t>
      </w:r>
      <w:r>
        <w:rPr>
          <w:rFonts w:ascii="Times New Roman" w:eastAsia="Times New Roman"/>
          <w:spacing w:val="-7"/>
        </w:rPr>
        <w:t> </w:t>
      </w:r>
      <w:r>
        <w:rPr>
          <w:rFonts w:ascii="Times New Roman" w:eastAsia="Times New Roman"/>
          <w:spacing w:val="-4"/>
        </w:rPr>
        <w:t>View, RBV</w:t>
      </w:r>
      <w:r>
        <w:rPr>
          <w:spacing w:val="-4"/>
        </w:rPr>
        <w:t>）與動態能力理論（</w:t>
      </w:r>
      <w:r>
        <w:rPr>
          <w:rFonts w:ascii="Times New Roman" w:eastAsia="Times New Roman"/>
          <w:spacing w:val="-4"/>
        </w:rPr>
        <w:t>Dynamic Capabilities</w:t>
      </w:r>
      <w:r>
        <w:rPr>
          <w:rFonts w:ascii="Times New Roman" w:eastAsia="Times New Roman"/>
          <w:spacing w:val="-7"/>
        </w:rPr>
        <w:t> </w:t>
      </w:r>
      <w:r>
        <w:rPr>
          <w:rFonts w:ascii="Times New Roman" w:eastAsia="Times New Roman"/>
          <w:spacing w:val="11"/>
        </w:rPr>
        <w:t>Th</w:t>
      </w:r>
      <w:r>
        <w:rPr>
          <w:rFonts w:ascii="Times New Roman" w:eastAsia="Times New Roman"/>
          <w:spacing w:val="9"/>
        </w:rPr>
        <w:t>e</w:t>
      </w:r>
      <w:r>
        <w:rPr>
          <w:rFonts w:ascii="Times New Roman" w:eastAsia="Times New Roman"/>
          <w:spacing w:val="11"/>
        </w:rPr>
        <w:t>ory</w:t>
      </w:r>
      <w:r>
        <w:rPr>
          <w:spacing w:val="-109"/>
        </w:rPr>
        <w:t>）</w:t>
      </w:r>
      <w:r>
        <w:rPr>
          <w:spacing w:val="-3"/>
        </w:rPr>
        <w:t>，強調企業在</w:t>
      </w:r>
      <w:r>
        <w:rPr>
          <w:spacing w:val="-2"/>
        </w:rPr>
        <w:t>資源管理中的靈活性與創新能力。</w:t>
      </w:r>
    </w:p>
    <w:p>
      <w:pPr>
        <w:pStyle w:val="BodyText"/>
        <w:spacing w:line="422" w:lineRule="auto" w:before="103"/>
        <w:ind w:right="682" w:firstLine="479"/>
      </w:pPr>
      <w:r>
        <w:rPr/>
        <w:drawing>
          <wp:anchor distT="0" distB="0" distL="0" distR="0" allowOverlap="1" layoutInCell="1" locked="0" behindDoc="1" simplePos="0" relativeHeight="485790208">
            <wp:simplePos x="0" y="0"/>
            <wp:positionH relativeFrom="page">
              <wp:posOffset>3312414</wp:posOffset>
            </wp:positionH>
            <wp:positionV relativeFrom="paragraph">
              <wp:posOffset>1437886</wp:posOffset>
            </wp:positionV>
            <wp:extent cx="929640" cy="978408"/>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競爭優勢的概念深植於資源基礎理論，該理論強調企業內部資源與能力在</w:t>
      </w:r>
      <w:r>
        <w:rPr>
          <w:spacing w:val="-8"/>
        </w:rPr>
        <w:t>塑造競爭優勢中的核心地位（</w:t>
      </w:r>
      <w:r>
        <w:rPr>
          <w:rFonts w:ascii="Times New Roman" w:eastAsia="Times New Roman"/>
          <w:spacing w:val="-8"/>
        </w:rPr>
        <w:t>Wernerfelt,</w:t>
      </w:r>
      <w:r>
        <w:rPr>
          <w:rFonts w:ascii="Times New Roman" w:eastAsia="Times New Roman"/>
        </w:rPr>
        <w:t> </w:t>
      </w:r>
      <w:r>
        <w:rPr>
          <w:rFonts w:ascii="Times New Roman" w:eastAsia="Times New Roman"/>
          <w:spacing w:val="18"/>
        </w:rPr>
        <w:t>198</w:t>
      </w:r>
      <w:r>
        <w:rPr>
          <w:rFonts w:ascii="Times New Roman" w:eastAsia="Times New Roman"/>
          <w:spacing w:val="19"/>
        </w:rPr>
        <w:t>4</w:t>
      </w:r>
      <w:r>
        <w:rPr>
          <w:spacing w:val="-117"/>
        </w:rPr>
        <w:t>）</w:t>
      </w:r>
      <w:r>
        <w:rPr>
          <w:spacing w:val="-8"/>
        </w:rPr>
        <w:t>。</w:t>
      </w:r>
      <w:r>
        <w:rPr>
          <w:rFonts w:ascii="Times New Roman" w:eastAsia="Times New Roman"/>
          <w:spacing w:val="-8"/>
        </w:rPr>
        <w:t>Barney</w:t>
      </w:r>
      <w:r>
        <w:rPr>
          <w:spacing w:val="-8"/>
        </w:rPr>
        <w:t>（</w:t>
      </w:r>
      <w:r>
        <w:rPr>
          <w:rFonts w:ascii="Times New Roman" w:eastAsia="Times New Roman"/>
          <w:spacing w:val="-8"/>
        </w:rPr>
        <w:t>1991</w:t>
      </w:r>
      <w:r>
        <w:rPr>
          <w:spacing w:val="-8"/>
        </w:rPr>
        <w:t>）進一步提出，企</w:t>
      </w:r>
      <w:r>
        <w:rPr>
          <w:spacing w:val="-4"/>
        </w:rPr>
        <w:t>業若能擁有符合價值、稀少性、難以模仿性與不可替代性的資源或能力，即可實現持久的競爭優勢。然而，在快速變化的市場環境中，僅依靠靜態資源並不足以保持競爭力。動態能力理論進一步補充了這一缺陷，強調企業需要通過整合、建</w:t>
      </w:r>
      <w:r>
        <w:rPr/>
        <w:t>構和重新配置其內外部能力，來應對外部市場的快速變遷（</w:t>
      </w:r>
      <w:r>
        <w:rPr>
          <w:rFonts w:ascii="Times New Roman" w:eastAsia="Times New Roman"/>
        </w:rPr>
        <w:t>Teece</w:t>
      </w:r>
      <w:r>
        <w:rPr>
          <w:rFonts w:ascii="Times New Roman" w:eastAsia="Times New Roman"/>
          <w:spacing w:val="-13"/>
        </w:rPr>
        <w:t> </w:t>
      </w:r>
      <w:r>
        <w:rPr>
          <w:rFonts w:ascii="Times New Roman" w:eastAsia="Times New Roman"/>
        </w:rPr>
        <w:t>et</w:t>
      </w:r>
      <w:r>
        <w:rPr>
          <w:rFonts w:ascii="Times New Roman" w:eastAsia="Times New Roman"/>
          <w:spacing w:val="-12"/>
        </w:rPr>
        <w:t> </w:t>
      </w:r>
      <w:r>
        <w:rPr>
          <w:rFonts w:ascii="Times New Roman" w:eastAsia="Times New Roman"/>
        </w:rPr>
        <w:t>al.,</w:t>
      </w:r>
      <w:r>
        <w:rPr>
          <w:rFonts w:ascii="Times New Roman" w:eastAsia="Times New Roman"/>
          <w:spacing w:val="-12"/>
        </w:rPr>
        <w:t> </w:t>
      </w:r>
      <w:r>
        <w:rPr>
          <w:rFonts w:ascii="Times New Roman" w:eastAsia="Times New Roman"/>
          <w:spacing w:val="23"/>
        </w:rPr>
        <w:t>199</w:t>
      </w:r>
      <w:r>
        <w:rPr>
          <w:rFonts w:ascii="Times New Roman" w:eastAsia="Times New Roman"/>
          <w:spacing w:val="24"/>
        </w:rPr>
        <w:t>7</w:t>
      </w:r>
      <w:r>
        <w:rPr>
          <w:spacing w:val="-97"/>
        </w:rPr>
        <w:t>）</w:t>
      </w:r>
      <w:r>
        <w:rPr>
          <w:spacing w:val="-120"/>
        </w:rPr>
        <w:t>。</w:t>
      </w:r>
    </w:p>
    <w:p>
      <w:pPr>
        <w:pStyle w:val="Heading2"/>
        <w:spacing w:before="97"/>
        <w:ind w:left="571"/>
        <w:rPr>
          <w:position w:val="1"/>
        </w:rPr>
      </w:pPr>
      <w:r>
        <w:rPr>
          <w:b w:val="0"/>
        </w:rPr>
        <w:drawing>
          <wp:inline distT="0" distB="0" distL="0" distR="0">
            <wp:extent cx="392429" cy="145541"/>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62" cstate="print"/>
                    <a:stretch>
                      <a:fillRect/>
                    </a:stretch>
                  </pic:blipFill>
                  <pic:spPr>
                    <a:xfrm>
                      <a:off x="0" y="0"/>
                      <a:ext cx="392429" cy="145541"/>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27" w:id="28"/>
      <w:bookmarkEnd w:id="28"/>
      <w:r>
        <w:rPr>
          <w:rFonts w:ascii="Times New Roman" w:eastAsia="Times New Roman"/>
          <w:b w:val="0"/>
          <w:spacing w:val="-12"/>
          <w:position w:val="1"/>
          <w:sz w:val="20"/>
        </w:rPr>
      </w:r>
      <w:r>
        <w:rPr>
          <w:spacing w:val="-2"/>
          <w:position w:val="1"/>
        </w:rPr>
        <w:t>資源管理框架（</w:t>
      </w:r>
      <w:r>
        <w:rPr>
          <w:rFonts w:ascii="Times New Roman" w:eastAsia="Times New Roman"/>
          <w:spacing w:val="-2"/>
          <w:position w:val="1"/>
        </w:rPr>
        <w:t>Resource Management</w:t>
      </w:r>
      <w:r>
        <w:rPr>
          <w:spacing w:val="-2"/>
          <w:position w:val="1"/>
        </w:rPr>
        <w:t>）</w:t>
      </w:r>
    </w:p>
    <w:p>
      <w:pPr>
        <w:pStyle w:val="BodyText"/>
        <w:spacing w:line="422" w:lineRule="auto" w:before="387"/>
        <w:ind w:right="683" w:firstLine="479"/>
      </w:pPr>
      <w:r>
        <w:rPr>
          <w:rFonts w:ascii="Times New Roman" w:eastAsia="Times New Roman"/>
          <w:spacing w:val="-8"/>
        </w:rPr>
        <w:t>Sirmon</w:t>
      </w:r>
      <w:r>
        <w:rPr>
          <w:rFonts w:ascii="Times New Roman" w:eastAsia="Times New Roman"/>
        </w:rPr>
        <w:t> </w:t>
      </w:r>
      <w:r>
        <w:rPr>
          <w:spacing w:val="-8"/>
        </w:rPr>
        <w:t>等人（</w:t>
      </w:r>
      <w:r>
        <w:rPr>
          <w:rFonts w:ascii="Times New Roman" w:eastAsia="Times New Roman"/>
          <w:spacing w:val="-8"/>
        </w:rPr>
        <w:t>2007</w:t>
      </w:r>
      <w:r>
        <w:rPr>
          <w:spacing w:val="-8"/>
        </w:rPr>
        <w:t>）提出的資源管理框架包括資源建構</w:t>
      </w:r>
      <w:r>
        <w:rPr>
          <w:spacing w:val="3"/>
        </w:rPr>
        <w:t>（</w:t>
      </w:r>
      <w:r>
        <w:rPr>
          <w:rFonts w:ascii="Times New Roman" w:eastAsia="Times New Roman"/>
          <w:spacing w:val="3"/>
        </w:rPr>
        <w:t>Stru</w:t>
      </w:r>
      <w:r>
        <w:rPr>
          <w:rFonts w:ascii="Times New Roman" w:eastAsia="Times New Roman"/>
          <w:spacing w:val="1"/>
        </w:rPr>
        <w:t>c</w:t>
      </w:r>
      <w:r>
        <w:rPr>
          <w:rFonts w:ascii="Times New Roman" w:eastAsia="Times New Roman"/>
          <w:spacing w:val="3"/>
        </w:rPr>
        <w:t>turin</w:t>
      </w:r>
      <w:r>
        <w:rPr>
          <w:rFonts w:ascii="Times New Roman" w:eastAsia="Times New Roman"/>
          <w:spacing w:val="4"/>
        </w:rPr>
        <w:t>g</w:t>
      </w:r>
      <w:r>
        <w:rPr>
          <w:spacing w:val="-141"/>
        </w:rPr>
        <w:t>）</w:t>
      </w:r>
      <w:r>
        <w:rPr>
          <w:spacing w:val="-8"/>
        </w:rPr>
        <w:t>、資源</w:t>
      </w:r>
      <w:r>
        <w:rPr>
          <w:spacing w:val="-6"/>
        </w:rPr>
        <w:t>整合（</w:t>
      </w:r>
      <w:r>
        <w:rPr>
          <w:rFonts w:ascii="Times New Roman" w:eastAsia="Times New Roman"/>
          <w:spacing w:val="-6"/>
        </w:rPr>
        <w:t>Bundling</w:t>
      </w:r>
      <w:r>
        <w:rPr>
          <w:spacing w:val="-6"/>
        </w:rPr>
        <w:t>）與資源槓桿（</w:t>
      </w:r>
      <w:r>
        <w:rPr>
          <w:rFonts w:ascii="Times New Roman" w:eastAsia="Times New Roman"/>
          <w:spacing w:val="-6"/>
        </w:rPr>
        <w:t>Leveraging</w:t>
      </w:r>
      <w:r>
        <w:rPr>
          <w:spacing w:val="-6"/>
        </w:rPr>
        <w:t>）三個主要過程。這些過程共同構成了</w:t>
      </w:r>
      <w:r>
        <w:rPr>
          <w:spacing w:val="-2"/>
        </w:rPr>
        <w:t>資源和諧的重要機制，幫助企業有效利用其資源以實現持續的競爭優勢。</w:t>
      </w:r>
    </w:p>
    <w:p>
      <w:pPr>
        <w:pStyle w:val="Heading4"/>
        <w:spacing w:before="98"/>
      </w:pPr>
      <w:r>
        <w:rPr/>
        <w:t>資源建構</w:t>
      </w:r>
      <w:r>
        <w:rPr>
          <w:spacing w:val="-2"/>
        </w:rPr>
        <w:t>（</w:t>
      </w:r>
      <w:r>
        <w:rPr>
          <w:rFonts w:ascii="Times New Roman" w:eastAsia="Times New Roman"/>
          <w:spacing w:val="-2"/>
        </w:rPr>
        <w:t>Structuring</w:t>
      </w:r>
      <w:r>
        <w:rPr>
          <w:spacing w:val="-2"/>
        </w:rPr>
        <w:t>）</w:t>
      </w:r>
    </w:p>
    <w:p>
      <w:pPr>
        <w:pStyle w:val="BodyText"/>
        <w:spacing w:line="540" w:lineRule="atLeast" w:before="126"/>
        <w:ind w:right="682" w:firstLine="479"/>
      </w:pPr>
      <w:r>
        <w:rPr>
          <w:spacing w:val="-16"/>
        </w:rPr>
        <w:t>資源建構包括取得</w:t>
      </w:r>
      <w:r>
        <w:rPr>
          <w:spacing w:val="8"/>
        </w:rPr>
        <w:t>（</w:t>
      </w:r>
      <w:r>
        <w:rPr>
          <w:rFonts w:ascii="Times New Roman" w:eastAsia="Times New Roman"/>
          <w:spacing w:val="8"/>
        </w:rPr>
        <w:t>Acquiring</w:t>
      </w:r>
      <w:r>
        <w:rPr>
          <w:spacing w:val="-153"/>
        </w:rPr>
        <w:t>）</w:t>
      </w:r>
      <w:r>
        <w:rPr>
          <w:spacing w:val="-32"/>
        </w:rPr>
        <w:t>、累積</w:t>
      </w:r>
      <w:r>
        <w:rPr>
          <w:spacing w:val="-6"/>
        </w:rPr>
        <w:t>（</w:t>
      </w:r>
      <w:r>
        <w:rPr>
          <w:rFonts w:ascii="Times New Roman" w:eastAsia="Times New Roman"/>
          <w:spacing w:val="-6"/>
        </w:rPr>
        <w:t>Accumulating</w:t>
      </w:r>
      <w:r>
        <w:rPr>
          <w:spacing w:val="-6"/>
        </w:rPr>
        <w:t>）</w:t>
      </w:r>
      <w:r>
        <w:rPr>
          <w:spacing w:val="-25"/>
        </w:rPr>
        <w:t>以及精簡</w:t>
      </w:r>
      <w:r>
        <w:rPr>
          <w:spacing w:val="-6"/>
        </w:rPr>
        <w:t>（</w:t>
      </w:r>
      <w:r>
        <w:rPr>
          <w:rFonts w:ascii="Times New Roman" w:eastAsia="Times New Roman"/>
          <w:spacing w:val="-6"/>
        </w:rPr>
        <w:t>Divesting</w:t>
      </w:r>
      <w:r>
        <w:rPr>
          <w:spacing w:val="-6"/>
        </w:rPr>
        <w:t>）</w:t>
      </w:r>
      <w:r>
        <w:rPr>
          <w:spacing w:val="-4"/>
        </w:rPr>
        <w:t>資源的過程。在這一過程中，企業需要以策略性的方式來收購新資源，以便應對外部環境的變化（</w:t>
      </w:r>
      <w:r>
        <w:rPr>
          <w:rFonts w:ascii="Times New Roman" w:eastAsia="Times New Roman"/>
          <w:spacing w:val="-4"/>
        </w:rPr>
        <w:t>Hitt</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1"/>
        </w:rPr>
        <w:t>1996</w:t>
      </w:r>
      <w:r>
        <w:rPr>
          <w:spacing w:val="-104"/>
        </w:rPr>
        <w:t>）</w:t>
      </w:r>
      <w:r>
        <w:rPr>
          <w:spacing w:val="-4"/>
        </w:rPr>
        <w:t>。此外，企業可以通過內部學習累積其核心能</w:t>
      </w:r>
      <w:r>
        <w:rPr>
          <w:spacing w:val="-6"/>
        </w:rPr>
        <w:t>力（</w:t>
      </w:r>
      <w:r>
        <w:rPr>
          <w:rFonts w:ascii="Times New Roman" w:eastAsia="Times New Roman"/>
          <w:spacing w:val="-6"/>
        </w:rPr>
        <w:t>Lane &amp; Lubatkin, </w:t>
      </w:r>
      <w:r>
        <w:rPr>
          <w:rFonts w:ascii="Times New Roman" w:eastAsia="Times New Roman"/>
          <w:spacing w:val="17"/>
        </w:rPr>
        <w:t>1998</w:t>
      </w:r>
      <w:r>
        <w:rPr>
          <w:spacing w:val="-113"/>
        </w:rPr>
        <w:t>）</w:t>
      </w:r>
      <w:r>
        <w:rPr>
          <w:spacing w:val="-6"/>
        </w:rPr>
        <w:t>，並精簡低價值資源以優化資源配置，從而提升整體</w:t>
      </w:r>
      <w:r>
        <w:rPr>
          <w:spacing w:val="-4"/>
        </w:rPr>
        <w:t>運營效率（</w:t>
      </w:r>
      <w:r>
        <w:rPr>
          <w:rFonts w:ascii="Times New Roman" w:eastAsia="Times New Roman"/>
          <w:spacing w:val="-4"/>
        </w:rPr>
        <w:t>Sirmon</w:t>
      </w:r>
      <w:r>
        <w:rPr>
          <w:rFonts w:ascii="Times New Roman" w:eastAsia="Times New Roman"/>
          <w:spacing w:val="-11"/>
        </w:rPr>
        <w:t> </w:t>
      </w:r>
      <w:r>
        <w:rPr>
          <w:rFonts w:ascii="Times New Roman" w:eastAsia="Times New Roman"/>
          <w:spacing w:val="-4"/>
        </w:rPr>
        <w:t>&amp;</w:t>
      </w:r>
      <w:r>
        <w:rPr>
          <w:rFonts w:ascii="Times New Roman" w:eastAsia="Times New Roman"/>
          <w:spacing w:val="-11"/>
        </w:rPr>
        <w:t> </w:t>
      </w:r>
      <w:r>
        <w:rPr>
          <w:rFonts w:ascii="Times New Roman" w:eastAsia="Times New Roman"/>
          <w:spacing w:val="-4"/>
        </w:rPr>
        <w:t>Hitt,</w:t>
      </w:r>
      <w:r>
        <w:rPr>
          <w:rFonts w:ascii="Times New Roman" w:eastAsia="Times New Roman"/>
          <w:spacing w:val="-11"/>
        </w:rPr>
        <w:t> </w:t>
      </w:r>
      <w:r>
        <w:rPr>
          <w:rFonts w:ascii="Times New Roman" w:eastAsia="Times New Roman"/>
          <w:spacing w:val="21"/>
        </w:rPr>
        <w:t>200</w:t>
      </w:r>
      <w:r>
        <w:rPr>
          <w:rFonts w:ascii="Times New Roman" w:eastAsia="Times New Roman"/>
          <w:spacing w:val="22"/>
        </w:rPr>
        <w:t>3</w:t>
      </w:r>
      <w:r>
        <w:rPr>
          <w:spacing w:val="-109"/>
        </w:rPr>
        <w:t>）</w:t>
      </w:r>
      <w:r>
        <w:rPr>
          <w:spacing w:val="-4"/>
        </w:rPr>
        <w:t>。資源建構的目標在於確保企業擁有足夠的關鍵</w:t>
      </w:r>
      <w:r>
        <w:rPr>
          <w:spacing w:val="-2"/>
        </w:rPr>
        <w:t>資源來支援其未來的成長與創新。</w:t>
      </w:r>
    </w:p>
    <w:p>
      <w:pPr>
        <w:pStyle w:val="BodyText"/>
        <w:spacing w:after="0" w:line="540" w:lineRule="atLeast"/>
        <w:sectPr>
          <w:pgSz w:w="11910" w:h="16840"/>
          <w:pgMar w:header="0" w:footer="1197" w:top="1780" w:bottom="1380" w:left="1133" w:right="1133"/>
        </w:sectPr>
      </w:pPr>
    </w:p>
    <w:p>
      <w:pPr>
        <w:pStyle w:val="Heading4"/>
        <w:spacing w:line="409" w:lineRule="exact"/>
      </w:pPr>
      <w:r>
        <w:rPr/>
        <w:t>資源綑綁</w:t>
      </w:r>
      <w:r>
        <w:rPr>
          <w:spacing w:val="-2"/>
        </w:rPr>
        <w:t>（</w:t>
      </w:r>
      <w:r>
        <w:rPr>
          <w:rFonts w:ascii="Times New Roman" w:eastAsia="Times New Roman"/>
          <w:spacing w:val="-2"/>
        </w:rPr>
        <w:t>Bundling</w:t>
      </w:r>
      <w:r>
        <w:rPr>
          <w:spacing w:val="-2"/>
        </w:rPr>
        <w:t>）</w:t>
      </w:r>
    </w:p>
    <w:p>
      <w:pPr>
        <w:pStyle w:val="BodyText"/>
        <w:spacing w:before="358"/>
        <w:ind w:left="0" w:right="680"/>
        <w:jc w:val="right"/>
      </w:pPr>
      <w:r>
        <w:rPr/>
        <w:t>資源綑綁的目的是通過穩定化</w:t>
      </w:r>
      <w:r>
        <w:rPr>
          <w:spacing w:val="16"/>
        </w:rPr>
        <w:t>（</w:t>
      </w:r>
      <w:r>
        <w:rPr>
          <w:rFonts w:ascii="Times New Roman" w:eastAsia="Times New Roman"/>
          <w:spacing w:val="7"/>
        </w:rPr>
        <w:t>Stabi</w:t>
      </w:r>
      <w:r>
        <w:rPr>
          <w:rFonts w:ascii="Times New Roman" w:eastAsia="Times New Roman"/>
          <w:spacing w:val="5"/>
        </w:rPr>
        <w:t>l</w:t>
      </w:r>
      <w:r>
        <w:rPr>
          <w:rFonts w:ascii="Times New Roman" w:eastAsia="Times New Roman"/>
          <w:spacing w:val="7"/>
        </w:rPr>
        <w:t>izin</w:t>
      </w:r>
      <w:r>
        <w:rPr>
          <w:rFonts w:ascii="Times New Roman" w:eastAsia="Times New Roman"/>
          <w:spacing w:val="14"/>
        </w:rPr>
        <w:t>g</w:t>
      </w:r>
      <w:r>
        <w:rPr>
          <w:spacing w:val="-109"/>
        </w:rPr>
        <w:t>）</w:t>
      </w:r>
      <w:r>
        <w:rPr/>
        <w:t>、豐富化（</w:t>
      </w:r>
      <w:r>
        <w:rPr>
          <w:rFonts w:ascii="Times New Roman" w:eastAsia="Times New Roman"/>
        </w:rPr>
        <w:t>Enriching</w:t>
      </w:r>
      <w:r>
        <w:rPr/>
        <w:t>）</w:t>
      </w:r>
      <w:r>
        <w:rPr>
          <w:spacing w:val="-4"/>
        </w:rPr>
        <w:t>和開創</w:t>
      </w:r>
    </w:p>
    <w:p>
      <w:pPr>
        <w:pStyle w:val="BodyText"/>
        <w:spacing w:before="232"/>
        <w:ind w:left="0" w:right="692"/>
        <w:jc w:val="right"/>
      </w:pPr>
      <w:r>
        <w:rPr/>
        <w:t>（</w:t>
      </w:r>
      <w:r>
        <w:rPr>
          <w:rFonts w:ascii="Times New Roman" w:eastAsia="Times New Roman"/>
        </w:rPr>
        <w:t>Pioneering</w:t>
      </w:r>
      <w:r>
        <w:rPr/>
        <w:t>）</w:t>
      </w:r>
      <w:r>
        <w:rPr>
          <w:spacing w:val="-1"/>
        </w:rPr>
        <w:t>來提升企業的能力。穩定化主要在於維持企業現有的資源和能力</w:t>
      </w:r>
    </w:p>
    <w:p>
      <w:pPr>
        <w:pStyle w:val="BodyText"/>
        <w:spacing w:line="422" w:lineRule="auto" w:before="233"/>
        <w:ind w:right="682"/>
      </w:pPr>
      <w:r>
        <w:rPr>
          <w:spacing w:val="-2"/>
        </w:rPr>
        <w:t>（</w:t>
      </w:r>
      <w:r>
        <w:rPr>
          <w:rFonts w:ascii="Times New Roman" w:eastAsia="Times New Roman"/>
          <w:spacing w:val="-2"/>
        </w:rPr>
        <w:t>Sirmon et al., </w:t>
      </w:r>
      <w:r>
        <w:rPr>
          <w:rFonts w:ascii="Times New Roman" w:eastAsia="Times New Roman"/>
          <w:spacing w:val="18"/>
        </w:rPr>
        <w:t>200</w:t>
      </w:r>
      <w:r>
        <w:rPr>
          <w:rFonts w:ascii="Times New Roman" w:eastAsia="Times New Roman"/>
          <w:spacing w:val="19"/>
        </w:rPr>
        <w:t>7</w:t>
      </w:r>
      <w:r>
        <w:rPr>
          <w:spacing w:val="-105"/>
        </w:rPr>
        <w:t>）</w:t>
      </w:r>
      <w:r>
        <w:rPr>
          <w:spacing w:val="-2"/>
        </w:rPr>
        <w:t>，以確保企業在動盪環境中保持穩定運營。豐富化則強調</w:t>
      </w:r>
      <w:r>
        <w:rPr>
          <w:spacing w:val="-4"/>
        </w:rPr>
        <w:t>增強現有的資源和技能，從而延展企業的競爭優勢（</w:t>
      </w:r>
      <w:r>
        <w:rPr>
          <w:rFonts w:ascii="Times New Roman" w:eastAsia="Times New Roman"/>
          <w:spacing w:val="-4"/>
        </w:rPr>
        <w:t>Puranam</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1"/>
        </w:rPr>
        <w:t>2003</w:t>
      </w:r>
      <w:r>
        <w:rPr>
          <w:spacing w:val="-104"/>
        </w:rPr>
        <w:t>）</w:t>
      </w:r>
      <w:r>
        <w:rPr>
          <w:spacing w:val="-4"/>
        </w:rPr>
        <w:t>。開創</w:t>
      </w:r>
      <w:r>
        <w:rPr>
          <w:spacing w:val="-1"/>
        </w:rPr>
        <w:t>則側重於創新資源的整合與開發，通過創新推動企業在市場中占據有利地位</w:t>
      </w:r>
    </w:p>
    <w:p>
      <w:pPr>
        <w:pStyle w:val="BodyText"/>
        <w:spacing w:line="304" w:lineRule="exact"/>
        <w:jc w:val="left"/>
      </w:pPr>
      <w:r>
        <w:rPr>
          <w:spacing w:val="-10"/>
        </w:rPr>
        <w:t>（</w:t>
      </w:r>
      <w:r>
        <w:rPr>
          <w:rFonts w:ascii="Times New Roman" w:eastAsia="Times New Roman"/>
          <w:spacing w:val="-10"/>
        </w:rPr>
        <w:t>Grant,</w:t>
      </w:r>
      <w:r>
        <w:rPr>
          <w:rFonts w:ascii="Times New Roman" w:eastAsia="Times New Roman"/>
          <w:spacing w:val="-4"/>
        </w:rPr>
        <w:t> </w:t>
      </w:r>
      <w:r>
        <w:rPr>
          <w:rFonts w:ascii="Times New Roman" w:eastAsia="Times New Roman"/>
          <w:spacing w:val="14"/>
        </w:rPr>
        <w:t>1996</w:t>
      </w:r>
      <w:r>
        <w:rPr>
          <w:spacing w:val="-106"/>
        </w:rPr>
        <w:t>）</w:t>
      </w:r>
      <w:r>
        <w:rPr>
          <w:spacing w:val="-130"/>
        </w:rPr>
        <w:t>。</w:t>
      </w:r>
    </w:p>
    <w:p>
      <w:pPr>
        <w:pStyle w:val="BodyText"/>
        <w:spacing w:before="25"/>
        <w:ind w:left="0"/>
        <w:jc w:val="left"/>
      </w:pPr>
    </w:p>
    <w:p>
      <w:pPr>
        <w:pStyle w:val="Heading4"/>
      </w:pPr>
      <w:r>
        <w:rPr/>
        <w:t>資源槓桿</w:t>
      </w:r>
      <w:r>
        <w:rPr>
          <w:spacing w:val="-2"/>
        </w:rPr>
        <w:t>（</w:t>
      </w:r>
      <w:r>
        <w:rPr>
          <w:rFonts w:ascii="Times New Roman" w:eastAsia="Times New Roman"/>
          <w:spacing w:val="-2"/>
        </w:rPr>
        <w:t>Leveraging</w:t>
      </w:r>
      <w:r>
        <w:rPr>
          <w:spacing w:val="-2"/>
        </w:rPr>
        <w:t>）</w:t>
      </w:r>
    </w:p>
    <w:p>
      <w:pPr>
        <w:pStyle w:val="BodyText"/>
        <w:spacing w:before="358"/>
        <w:ind w:left="597" w:right="118"/>
        <w:jc w:val="center"/>
      </w:pPr>
      <w:r>
        <w:rPr>
          <w:spacing w:val="35"/>
        </w:rPr>
        <w:t>資源槓桿過程包括調度</w:t>
      </w:r>
      <w:r>
        <w:rPr/>
        <w:t>（</w:t>
      </w:r>
      <w:r>
        <w:rPr>
          <w:spacing w:val="-82"/>
        </w:rPr>
        <w:t> </w:t>
      </w:r>
      <w:r>
        <w:rPr>
          <w:rFonts w:ascii="Times New Roman" w:eastAsia="Times New Roman"/>
        </w:rPr>
        <w:t>Mobilizing</w:t>
      </w:r>
      <w:r>
        <w:rPr>
          <w:rFonts w:ascii="Times New Roman" w:eastAsia="Times New Roman"/>
          <w:spacing w:val="-22"/>
        </w:rPr>
        <w:t> </w:t>
      </w:r>
      <w:r>
        <w:rPr>
          <w:spacing w:val="-84"/>
        </w:rPr>
        <w:t>）</w:t>
      </w:r>
      <w:r>
        <w:rPr>
          <w:spacing w:val="35"/>
        </w:rPr>
        <w:t>、協調</w:t>
      </w:r>
      <w:r>
        <w:rPr/>
        <w:t>（</w:t>
      </w:r>
      <w:r>
        <w:rPr>
          <w:spacing w:val="-83"/>
        </w:rPr>
        <w:t> </w:t>
      </w:r>
      <w:r>
        <w:rPr>
          <w:rFonts w:ascii="Times New Roman" w:eastAsia="Times New Roman"/>
        </w:rPr>
        <w:t>Coordinating</w:t>
      </w:r>
      <w:r>
        <w:rPr>
          <w:rFonts w:ascii="Times New Roman" w:eastAsia="Times New Roman"/>
          <w:spacing w:val="-22"/>
        </w:rPr>
        <w:t> </w:t>
      </w:r>
      <w:r>
        <w:rPr>
          <w:spacing w:val="36"/>
        </w:rPr>
        <w:t>）</w:t>
      </w:r>
      <w:r>
        <w:rPr>
          <w:spacing w:val="20"/>
        </w:rPr>
        <w:t>與部署</w:t>
      </w:r>
    </w:p>
    <w:p>
      <w:pPr>
        <w:pStyle w:val="BodyText"/>
        <w:spacing w:line="422" w:lineRule="auto" w:before="233"/>
        <w:ind w:right="682"/>
      </w:pPr>
      <w:r>
        <w:rPr/>
        <w:drawing>
          <wp:anchor distT="0" distB="0" distL="0" distR="0" allowOverlap="1" layoutInCell="1" locked="0" behindDoc="1" simplePos="0" relativeHeight="485790720">
            <wp:simplePos x="0" y="0"/>
            <wp:positionH relativeFrom="page">
              <wp:posOffset>3312414</wp:posOffset>
            </wp:positionH>
            <wp:positionV relativeFrom="paragraph">
              <wp:posOffset>400343</wp:posOffset>
            </wp:positionV>
            <wp:extent cx="929640" cy="978408"/>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 cstate="print"/>
                    <a:stretch>
                      <a:fillRect/>
                    </a:stretch>
                  </pic:blipFill>
                  <pic:spPr>
                    <a:xfrm>
                      <a:off x="0" y="0"/>
                      <a:ext cx="929640" cy="978408"/>
                    </a:xfrm>
                    <a:prstGeom prst="rect">
                      <a:avLst/>
                    </a:prstGeom>
                  </pic:spPr>
                </pic:pic>
              </a:graphicData>
            </a:graphic>
          </wp:anchor>
        </w:drawing>
      </w:r>
      <w:r>
        <w:rPr>
          <w:spacing w:val="5"/>
        </w:rPr>
        <w:t>（</w:t>
      </w:r>
      <w:r>
        <w:rPr>
          <w:rFonts w:ascii="Times New Roman" w:eastAsia="Times New Roman"/>
          <w:spacing w:val="6"/>
        </w:rPr>
        <w:t>D</w:t>
      </w:r>
      <w:r>
        <w:rPr>
          <w:rFonts w:ascii="Times New Roman" w:eastAsia="Times New Roman"/>
          <w:spacing w:val="4"/>
        </w:rPr>
        <w:t>e</w:t>
      </w:r>
      <w:r>
        <w:rPr>
          <w:rFonts w:ascii="Times New Roman" w:eastAsia="Times New Roman"/>
          <w:spacing w:val="6"/>
        </w:rPr>
        <w:t>ploying</w:t>
      </w:r>
      <w:r>
        <w:rPr>
          <w:spacing w:val="-126"/>
        </w:rPr>
        <w:t>）</w:t>
      </w:r>
      <w:r>
        <w:rPr>
          <w:spacing w:val="-6"/>
        </w:rPr>
        <w:t>。在調度過程中，企業旨在發揮資源的最大功能彈性，使資源能夠</w:t>
      </w:r>
      <w:r>
        <w:rPr>
          <w:spacing w:val="-2"/>
        </w:rPr>
        <w:t>根據實際需求進行靈活調整（</w:t>
      </w:r>
      <w:r>
        <w:rPr>
          <w:rFonts w:ascii="Times New Roman" w:eastAsia="Times New Roman"/>
          <w:spacing w:val="-2"/>
        </w:rPr>
        <w:t>Hamel</w:t>
      </w:r>
      <w:r>
        <w:rPr>
          <w:rFonts w:ascii="Times New Roman" w:eastAsia="Times New Roman"/>
          <w:spacing w:val="-13"/>
        </w:rPr>
        <w:t> </w:t>
      </w:r>
      <w:r>
        <w:rPr>
          <w:rFonts w:ascii="Times New Roman" w:eastAsia="Times New Roman"/>
          <w:spacing w:val="-2"/>
        </w:rPr>
        <w:t>&amp;</w:t>
      </w:r>
      <w:r>
        <w:rPr>
          <w:rFonts w:ascii="Times New Roman" w:eastAsia="Times New Roman"/>
          <w:spacing w:val="-13"/>
        </w:rPr>
        <w:t> </w:t>
      </w:r>
      <w:r>
        <w:rPr>
          <w:rFonts w:ascii="Times New Roman" w:eastAsia="Times New Roman"/>
          <w:spacing w:val="-2"/>
        </w:rPr>
        <w:t>Prahalad,</w:t>
      </w:r>
      <w:r>
        <w:rPr>
          <w:rFonts w:ascii="Times New Roman" w:eastAsia="Times New Roman"/>
          <w:spacing w:val="-13"/>
        </w:rPr>
        <w:t> </w:t>
      </w:r>
      <w:r>
        <w:rPr>
          <w:rFonts w:ascii="Times New Roman" w:eastAsia="Times New Roman"/>
          <w:spacing w:val="22"/>
        </w:rPr>
        <w:t>1994</w:t>
      </w:r>
      <w:r>
        <w:rPr>
          <w:spacing w:val="-98"/>
        </w:rPr>
        <w:t>）</w:t>
      </w:r>
      <w:r>
        <w:rPr>
          <w:spacing w:val="-2"/>
        </w:rPr>
        <w:t>。協調則重點強調內部資</w:t>
      </w:r>
      <w:r>
        <w:rPr>
          <w:spacing w:val="-1"/>
        </w:rPr>
        <w:t>源和專業知識之間的整合，以確保不同部門能夠協同作戰，從而提高整體效能</w:t>
      </w:r>
    </w:p>
    <w:p>
      <w:pPr>
        <w:pStyle w:val="BodyText"/>
        <w:spacing w:line="422" w:lineRule="auto"/>
        <w:ind w:right="685"/>
      </w:pPr>
      <w:r>
        <w:rPr>
          <w:spacing w:val="-4"/>
        </w:rPr>
        <w:t>（</w:t>
      </w:r>
      <w:r>
        <w:rPr>
          <w:rFonts w:ascii="Times New Roman" w:eastAsia="Times New Roman"/>
          <w:spacing w:val="-4"/>
        </w:rPr>
        <w:t>Hitt</w:t>
      </w:r>
      <w:r>
        <w:rPr>
          <w:rFonts w:ascii="Times New Roman" w:eastAsia="Times New Roman"/>
          <w:spacing w:val="-10"/>
        </w:rPr>
        <w:t> </w:t>
      </w:r>
      <w:r>
        <w:rPr>
          <w:rFonts w:ascii="Times New Roman" w:eastAsia="Times New Roman"/>
          <w:spacing w:val="-4"/>
        </w:rPr>
        <w:t>&amp;</w:t>
      </w:r>
      <w:r>
        <w:rPr>
          <w:rFonts w:ascii="Times New Roman" w:eastAsia="Times New Roman"/>
          <w:spacing w:val="-10"/>
        </w:rPr>
        <w:t> </w:t>
      </w:r>
      <w:r>
        <w:rPr>
          <w:rFonts w:ascii="Times New Roman" w:eastAsia="Times New Roman"/>
          <w:spacing w:val="-4"/>
        </w:rPr>
        <w:t>Ireland,</w:t>
      </w:r>
      <w:r>
        <w:rPr>
          <w:rFonts w:ascii="Times New Roman" w:eastAsia="Times New Roman"/>
          <w:spacing w:val="-11"/>
        </w:rPr>
        <w:t> </w:t>
      </w:r>
      <w:r>
        <w:rPr>
          <w:rFonts w:ascii="Times New Roman" w:eastAsia="Times New Roman"/>
          <w:spacing w:val="20"/>
        </w:rPr>
        <w:t>2002</w:t>
      </w:r>
      <w:r>
        <w:rPr>
          <w:spacing w:val="-103"/>
        </w:rPr>
        <w:t>）</w:t>
      </w:r>
      <w:r>
        <w:rPr>
          <w:spacing w:val="-4"/>
        </w:rPr>
        <w:t>。最終，通過部署，企業將重組後的資源投向市場，創造</w:t>
      </w:r>
      <w:r>
        <w:rPr/>
        <w:t>市場價值，並進一步推動競爭優勢的形成（</w:t>
      </w:r>
      <w:r>
        <w:rPr>
          <w:rFonts w:ascii="Times New Roman" w:eastAsia="Times New Roman"/>
        </w:rPr>
        <w:t>Sirmon et al., </w:t>
      </w:r>
      <w:r>
        <w:rPr>
          <w:rFonts w:ascii="Times New Roman" w:eastAsia="Times New Roman"/>
          <w:spacing w:val="24"/>
        </w:rPr>
        <w:t>2007</w:t>
      </w:r>
      <w:r>
        <w:rPr>
          <w:spacing w:val="-96"/>
        </w:rPr>
        <w:t>）</w:t>
      </w:r>
      <w:r>
        <w:rPr>
          <w:spacing w:val="-120"/>
        </w:rPr>
        <w:t>。</w:t>
      </w:r>
    </w:p>
    <w:p>
      <w:pPr>
        <w:pStyle w:val="Heading2"/>
        <w:spacing w:before="98"/>
        <w:ind w:left="571"/>
        <w:rPr>
          <w:position w:val="1"/>
        </w:rPr>
      </w:pPr>
      <w:r>
        <w:rPr>
          <w:b w:val="0"/>
        </w:rPr>
        <w:drawing>
          <wp:inline distT="0" distB="0" distL="0" distR="0">
            <wp:extent cx="398525" cy="145541"/>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63" cstate="print"/>
                    <a:stretch>
                      <a:fillRect/>
                    </a:stretch>
                  </pic:blipFill>
                  <pic:spPr>
                    <a:xfrm>
                      <a:off x="0" y="0"/>
                      <a:ext cx="398525" cy="145541"/>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28" w:id="29"/>
      <w:bookmarkEnd w:id="29"/>
      <w:r>
        <w:rPr>
          <w:rFonts w:ascii="Times New Roman" w:eastAsia="Times New Roman"/>
          <w:b w:val="0"/>
          <w:spacing w:val="-22"/>
          <w:position w:val="1"/>
          <w:sz w:val="20"/>
        </w:rPr>
      </w:r>
      <w:r>
        <w:rPr>
          <w:spacing w:val="-2"/>
          <w:position w:val="1"/>
        </w:rPr>
        <w:t>資產動態諧合（</w:t>
      </w:r>
      <w:r>
        <w:rPr>
          <w:rFonts w:ascii="Times New Roman" w:eastAsia="Times New Roman"/>
          <w:spacing w:val="-2"/>
          <w:position w:val="1"/>
        </w:rPr>
        <w:t>Asset Orchestration</w:t>
      </w:r>
      <w:r>
        <w:rPr>
          <w:spacing w:val="-2"/>
          <w:position w:val="1"/>
        </w:rPr>
        <w:t>）</w:t>
      </w:r>
    </w:p>
    <w:p>
      <w:pPr>
        <w:pStyle w:val="Heading4"/>
        <w:spacing w:before="309"/>
      </w:pPr>
      <w:r>
        <w:rPr/>
        <w:t>尋找與選擇</w:t>
      </w:r>
      <w:r>
        <w:rPr>
          <w:spacing w:val="-2"/>
        </w:rPr>
        <w:t>（</w:t>
      </w:r>
      <w:r>
        <w:rPr>
          <w:rFonts w:ascii="Times New Roman" w:eastAsia="Times New Roman"/>
          <w:spacing w:val="-2"/>
        </w:rPr>
        <w:t>Search/Selection</w:t>
      </w:r>
      <w:r>
        <w:rPr>
          <w:spacing w:val="-2"/>
        </w:rPr>
        <w:t>）</w:t>
      </w:r>
    </w:p>
    <w:p>
      <w:pPr>
        <w:pStyle w:val="BodyText"/>
        <w:spacing w:line="422" w:lineRule="auto" w:before="357"/>
        <w:ind w:right="662" w:firstLine="479"/>
      </w:pPr>
      <w:r>
        <w:rPr>
          <w:spacing w:val="-4"/>
        </w:rPr>
        <w:t>在尋找與選擇的過程中，企業需要辨識有用的資源並進行策略性投資。這不</w:t>
      </w:r>
      <w:r>
        <w:rPr>
          <w:spacing w:val="34"/>
        </w:rPr>
        <w:t>僅涉及到對資源的辨識與取得，還包括對商業模式和治理結構的設計</w:t>
      </w:r>
    </w:p>
    <w:p>
      <w:pPr>
        <w:pStyle w:val="BodyText"/>
        <w:spacing w:line="422" w:lineRule="auto"/>
        <w:ind w:right="683"/>
      </w:pPr>
      <w:r>
        <w:rPr>
          <w:spacing w:val="-2"/>
        </w:rPr>
        <w:t>（</w:t>
      </w:r>
      <w:r>
        <w:rPr>
          <w:rFonts w:ascii="Times New Roman" w:eastAsia="Times New Roman"/>
          <w:spacing w:val="-2"/>
        </w:rPr>
        <w:t>Osterwalder</w:t>
      </w:r>
      <w:r>
        <w:rPr>
          <w:rFonts w:ascii="Times New Roman" w:eastAsia="Times New Roman"/>
          <w:spacing w:val="-7"/>
        </w:rPr>
        <w:t> </w:t>
      </w:r>
      <w:r>
        <w:rPr>
          <w:rFonts w:ascii="Times New Roman" w:eastAsia="Times New Roman"/>
          <w:spacing w:val="-2"/>
        </w:rPr>
        <w:t>&amp;</w:t>
      </w:r>
      <w:r>
        <w:rPr>
          <w:rFonts w:ascii="Times New Roman" w:eastAsia="Times New Roman"/>
          <w:spacing w:val="-5"/>
        </w:rPr>
        <w:t> </w:t>
      </w:r>
      <w:r>
        <w:rPr>
          <w:rFonts w:ascii="Times New Roman" w:eastAsia="Times New Roman"/>
          <w:spacing w:val="-2"/>
        </w:rPr>
        <w:t>Pigneur</w:t>
      </w:r>
      <w:r>
        <w:rPr>
          <w:rFonts w:ascii="Times New Roman" w:eastAsia="Times New Roman"/>
          <w:spacing w:val="-4"/>
        </w:rPr>
        <w:t>, </w:t>
      </w:r>
      <w:r>
        <w:rPr>
          <w:rFonts w:ascii="Times New Roman" w:eastAsia="Times New Roman"/>
          <w:spacing w:val="21"/>
        </w:rPr>
        <w:t>201</w:t>
      </w:r>
      <w:r>
        <w:rPr>
          <w:rFonts w:ascii="Times New Roman" w:eastAsia="Times New Roman"/>
          <w:spacing w:val="22"/>
        </w:rPr>
        <w:t>0</w:t>
      </w:r>
      <w:r>
        <w:rPr>
          <w:spacing w:val="-99"/>
        </w:rPr>
        <w:t>）</w:t>
      </w:r>
      <w:r>
        <w:rPr>
          <w:spacing w:val="-2"/>
        </w:rPr>
        <w:t>。例如，企業應根據市場需求和自身資源優勢，構建有利於競爭的商業模式（</w:t>
      </w:r>
      <w:r>
        <w:rPr>
          <w:rFonts w:ascii="Times New Roman" w:eastAsia="Times New Roman"/>
          <w:spacing w:val="-2"/>
        </w:rPr>
        <w:t>Grant,</w:t>
      </w:r>
      <w:r>
        <w:rPr>
          <w:rFonts w:ascii="Times New Roman" w:eastAsia="Times New Roman"/>
          <w:spacing w:val="-13"/>
        </w:rPr>
        <w:t> </w:t>
      </w:r>
      <w:r>
        <w:rPr>
          <w:rFonts w:ascii="Times New Roman" w:eastAsia="Times New Roman"/>
          <w:spacing w:val="22"/>
        </w:rPr>
        <w:t>2001</w:t>
      </w:r>
      <w:r>
        <w:rPr>
          <w:spacing w:val="-98"/>
        </w:rPr>
        <w:t>）</w:t>
      </w:r>
      <w:r>
        <w:rPr>
          <w:spacing w:val="-2"/>
        </w:rPr>
        <w:t>。這樣的選擇能夠確保企業在資源投入方面始終保持與其長期戰略目標一致，從而有效應對外部環境的不確定性。</w:t>
      </w:r>
    </w:p>
    <w:p>
      <w:pPr>
        <w:pStyle w:val="BodyText"/>
        <w:spacing w:after="0" w:line="422" w:lineRule="auto"/>
        <w:sectPr>
          <w:pgSz w:w="11910" w:h="16840"/>
          <w:pgMar w:header="0" w:footer="1197" w:top="1740" w:bottom="1380" w:left="1133" w:right="1133"/>
        </w:sectPr>
      </w:pPr>
    </w:p>
    <w:p>
      <w:pPr>
        <w:pStyle w:val="Heading4"/>
        <w:spacing w:line="409" w:lineRule="exact"/>
      </w:pPr>
      <w:r>
        <w:rPr/>
        <w:t>配置與佈署</w:t>
      </w:r>
      <w:r>
        <w:rPr>
          <w:spacing w:val="-2"/>
        </w:rPr>
        <w:t>（</w:t>
      </w:r>
      <w:r>
        <w:rPr>
          <w:rFonts w:ascii="Times New Roman" w:eastAsia="Times New Roman"/>
          <w:spacing w:val="-2"/>
        </w:rPr>
        <w:t>Configuration/Deployment</w:t>
      </w:r>
      <w:r>
        <w:rPr>
          <w:spacing w:val="-2"/>
        </w:rPr>
        <w:t>）</w:t>
      </w:r>
    </w:p>
    <w:p>
      <w:pPr>
        <w:pStyle w:val="BodyText"/>
        <w:spacing w:line="422" w:lineRule="auto" w:before="358"/>
        <w:ind w:right="682" w:firstLine="479"/>
      </w:pPr>
      <w:r>
        <w:rPr>
          <w:spacing w:val="-4"/>
        </w:rPr>
        <w:t>配置與佈署過程涉及到資源協調（</w:t>
      </w:r>
      <w:r>
        <w:rPr>
          <w:rFonts w:ascii="Times New Roman" w:eastAsia="Times New Roman"/>
          <w:spacing w:val="-4"/>
        </w:rPr>
        <w:t>Coordinating of Cospecialized </w:t>
      </w:r>
      <w:r>
        <w:rPr>
          <w:rFonts w:ascii="Times New Roman" w:eastAsia="Times New Roman"/>
          <w:spacing w:val="12"/>
        </w:rPr>
        <w:t>Ass</w:t>
      </w:r>
      <w:r>
        <w:rPr>
          <w:rFonts w:ascii="Times New Roman" w:eastAsia="Times New Roman"/>
          <w:spacing w:val="11"/>
        </w:rPr>
        <w:t>et</w:t>
      </w:r>
      <w:r>
        <w:rPr>
          <w:rFonts w:ascii="Times New Roman" w:eastAsia="Times New Roman"/>
          <w:spacing w:val="16"/>
        </w:rPr>
        <w:t>s</w:t>
      </w:r>
      <w:r>
        <w:rPr>
          <w:spacing w:val="-108"/>
        </w:rPr>
        <w:t>）</w:t>
      </w:r>
      <w:r>
        <w:rPr>
          <w:spacing w:val="-4"/>
        </w:rPr>
        <w:t>、提</w:t>
      </w:r>
      <w:r>
        <w:rPr>
          <w:spacing w:val="-6"/>
        </w:rPr>
        <w:t>供願景（</w:t>
      </w:r>
      <w:r>
        <w:rPr>
          <w:rFonts w:ascii="Times New Roman" w:eastAsia="Times New Roman"/>
          <w:spacing w:val="-6"/>
        </w:rPr>
        <w:t>Provide</w:t>
      </w:r>
      <w:r>
        <w:rPr>
          <w:rFonts w:ascii="Times New Roman" w:eastAsia="Times New Roman"/>
          <w:spacing w:val="-9"/>
        </w:rPr>
        <w:t> </w:t>
      </w:r>
      <w:r>
        <w:rPr>
          <w:rFonts w:ascii="Times New Roman" w:eastAsia="Times New Roman"/>
          <w:spacing w:val="-6"/>
        </w:rPr>
        <w:t>Vision</w:t>
      </w:r>
      <w:r>
        <w:rPr>
          <w:spacing w:val="-6"/>
        </w:rPr>
        <w:t>）以及培育創新（</w:t>
      </w:r>
      <w:r>
        <w:rPr>
          <w:rFonts w:ascii="Times New Roman" w:eastAsia="Times New Roman"/>
          <w:spacing w:val="-6"/>
        </w:rPr>
        <w:t>Nurture</w:t>
      </w:r>
      <w:r>
        <w:rPr>
          <w:rFonts w:ascii="Times New Roman" w:eastAsia="Times New Roman"/>
          <w:spacing w:val="-9"/>
        </w:rPr>
        <w:t> </w:t>
      </w:r>
      <w:r>
        <w:rPr>
          <w:rFonts w:ascii="Times New Roman" w:eastAsia="Times New Roman"/>
          <w:spacing w:val="6"/>
        </w:rPr>
        <w:t>Inno</w:t>
      </w:r>
      <w:r>
        <w:rPr>
          <w:rFonts w:ascii="Times New Roman" w:eastAsia="Times New Roman"/>
          <w:spacing w:val="5"/>
        </w:rPr>
        <w:t>va</w:t>
      </w:r>
      <w:r>
        <w:rPr>
          <w:rFonts w:ascii="Times New Roman" w:eastAsia="Times New Roman"/>
          <w:spacing w:val="6"/>
        </w:rPr>
        <w:t>tion</w:t>
      </w:r>
      <w:r>
        <w:rPr>
          <w:spacing w:val="-131"/>
        </w:rPr>
        <w:t>）</w:t>
      </w:r>
      <w:r>
        <w:rPr>
          <w:spacing w:val="-6"/>
        </w:rPr>
        <w:t>。高階管理層需要提</w:t>
      </w:r>
      <w:r>
        <w:rPr>
          <w:spacing w:val="-4"/>
        </w:rPr>
        <w:t>供清晰的願景，以引導資源的重組方向（</w:t>
      </w:r>
      <w:r>
        <w:rPr>
          <w:rFonts w:ascii="Times New Roman" w:eastAsia="Times New Roman"/>
          <w:spacing w:val="-4"/>
        </w:rPr>
        <w:t>Floyd</w:t>
      </w:r>
      <w:r>
        <w:rPr>
          <w:rFonts w:ascii="Times New Roman" w:eastAsia="Times New Roman"/>
          <w:spacing w:val="-9"/>
        </w:rPr>
        <w:t> </w:t>
      </w:r>
      <w:r>
        <w:rPr>
          <w:rFonts w:ascii="Times New Roman" w:eastAsia="Times New Roman"/>
          <w:spacing w:val="-4"/>
        </w:rPr>
        <w:t>&amp;</w:t>
      </w:r>
      <w:r>
        <w:rPr>
          <w:rFonts w:ascii="Times New Roman" w:eastAsia="Times New Roman"/>
          <w:spacing w:val="-8"/>
        </w:rPr>
        <w:t> </w:t>
      </w:r>
      <w:r>
        <w:rPr>
          <w:rFonts w:ascii="Times New Roman" w:eastAsia="Times New Roman"/>
          <w:spacing w:val="-4"/>
        </w:rPr>
        <w:t>Lane</w:t>
      </w:r>
      <w:r>
        <w:rPr>
          <w:rFonts w:ascii="Times New Roman" w:eastAsia="Times New Roman"/>
          <w:spacing w:val="-7"/>
        </w:rPr>
        <w:t>, </w:t>
      </w:r>
      <w:r>
        <w:rPr>
          <w:rFonts w:ascii="Times New Roman" w:eastAsia="Times New Roman"/>
          <w:spacing w:val="20"/>
        </w:rPr>
        <w:t>2000</w:t>
      </w:r>
      <w:r>
        <w:rPr>
          <w:spacing w:val="-100"/>
        </w:rPr>
        <w:t>）</w:t>
      </w:r>
      <w:r>
        <w:rPr>
          <w:spacing w:val="-4"/>
        </w:rPr>
        <w:t>。此外，企業必須</w:t>
      </w:r>
      <w:r>
        <w:rPr/>
        <w:t>重視創新文化的培育，強化內部知識的分享和創新能力（</w:t>
      </w:r>
      <w:r>
        <w:rPr>
          <w:rFonts w:ascii="Times New Roman" w:eastAsia="Times New Roman"/>
        </w:rPr>
        <w:t>Peters &amp; Waterman, </w:t>
      </w:r>
      <w:r>
        <w:rPr>
          <w:rFonts w:ascii="Times New Roman" w:eastAsia="Times New Roman"/>
          <w:spacing w:val="21"/>
        </w:rPr>
        <w:t>198</w:t>
      </w:r>
      <w:r>
        <w:rPr>
          <w:rFonts w:ascii="Times New Roman" w:eastAsia="Times New Roman"/>
          <w:spacing w:val="20"/>
        </w:rPr>
        <w:t>2</w:t>
      </w:r>
      <w:r>
        <w:rPr>
          <w:spacing w:val="-104"/>
        </w:rPr>
        <w:t>）</w:t>
      </w:r>
      <w:r>
        <w:rPr>
          <w:spacing w:val="-4"/>
        </w:rPr>
        <w:t>。這些舉措不僅有助於提升資源整合的效率，還有助於企業在快速變化的</w:t>
      </w:r>
      <w:r>
        <w:rPr>
          <w:spacing w:val="-2"/>
        </w:rPr>
        <w:t>市場中保持靈活性和應對能力。</w:t>
      </w:r>
    </w:p>
    <w:p>
      <w:pPr>
        <w:pStyle w:val="BodyText"/>
        <w:spacing w:before="101"/>
        <w:ind w:left="1168"/>
      </w:pPr>
      <w:r>
        <w:rPr>
          <w:spacing w:val="-20"/>
        </w:rPr>
        <w:t>表格 </w:t>
      </w:r>
      <w:r>
        <w:rPr>
          <w:rFonts w:ascii="Times New Roman" w:eastAsia="Times New Roman"/>
        </w:rPr>
        <w:t>2.5.2-1</w:t>
      </w:r>
      <w:r>
        <w:rPr>
          <w:rFonts w:ascii="Times New Roman" w:eastAsia="Times New Roman"/>
          <w:spacing w:val="59"/>
        </w:rPr>
        <w:t> </w:t>
      </w:r>
      <w:r>
        <w:rPr/>
        <w:t>彙整了 </w:t>
      </w:r>
      <w:r>
        <w:rPr>
          <w:rFonts w:ascii="Times New Roman" w:eastAsia="Times New Roman"/>
        </w:rPr>
        <w:t>Sirmon</w:t>
      </w:r>
      <w:r>
        <w:rPr>
          <w:rFonts w:ascii="Times New Roman" w:eastAsia="Times New Roman"/>
          <w:spacing w:val="60"/>
        </w:rPr>
        <w:t> </w:t>
      </w:r>
      <w:r>
        <w:rPr/>
        <w:t>等人（</w:t>
      </w:r>
      <w:r>
        <w:rPr>
          <w:rFonts w:ascii="Times New Roman" w:eastAsia="Times New Roman"/>
        </w:rPr>
        <w:t>2007</w:t>
      </w:r>
      <w:r>
        <w:rPr/>
        <w:t>）</w:t>
      </w:r>
      <w:r>
        <w:rPr>
          <w:spacing w:val="-1"/>
        </w:rPr>
        <w:t>對資源和諧構面的研究：</w:t>
      </w:r>
    </w:p>
    <w:p>
      <w:pPr>
        <w:pStyle w:val="Heading4"/>
        <w:spacing w:before="261"/>
        <w:ind w:left="599" w:right="118"/>
        <w:jc w:val="center"/>
      </w:pPr>
      <w:bookmarkStart w:name="_bookmark29" w:id="30"/>
      <w:bookmarkEnd w:id="30"/>
      <w:r>
        <w:rPr>
          <w:b w:val="0"/>
        </w:rPr>
      </w:r>
      <w:r>
        <w:rPr>
          <w:spacing w:val="30"/>
        </w:rPr>
        <w:t>表 </w:t>
      </w:r>
      <w:r>
        <w:rPr>
          <w:rFonts w:ascii="Times New Roman" w:eastAsia="Times New Roman"/>
        </w:rPr>
        <w:t>2.5-1</w:t>
      </w:r>
      <w:r>
        <w:rPr>
          <w:rFonts w:ascii="Times New Roman" w:eastAsia="Times New Roman"/>
          <w:spacing w:val="60"/>
        </w:rPr>
        <w:t> </w:t>
      </w:r>
      <w:r>
        <w:rPr>
          <w:spacing w:val="-2"/>
        </w:rPr>
        <w:t>資源和諧之構面</w:t>
      </w:r>
    </w:p>
    <w:p>
      <w:pPr>
        <w:pStyle w:val="BodyText"/>
        <w:spacing w:before="17"/>
        <w:ind w:left="0"/>
        <w:jc w:val="left"/>
        <w:rPr>
          <w:rFonts w:ascii="Microsoft JhengHei"/>
          <w:b/>
          <w:sz w:val="9"/>
        </w:r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74"/>
        <w:gridCol w:w="2425"/>
        <w:gridCol w:w="1213"/>
        <w:gridCol w:w="1213"/>
        <w:gridCol w:w="2426"/>
      </w:tblGrid>
      <w:tr>
        <w:trPr>
          <w:trHeight w:val="1187" w:hRule="atLeast"/>
        </w:trPr>
        <w:tc>
          <w:tcPr>
            <w:tcW w:w="2074" w:type="dxa"/>
            <w:vMerge w:val="restart"/>
            <w:shd w:val="clear" w:color="auto" w:fill="2F5597"/>
          </w:tcPr>
          <w:p>
            <w:pPr>
              <w:pStyle w:val="TableParagraph"/>
              <w:spacing w:before="403"/>
              <w:rPr>
                <w:rFonts w:ascii="Microsoft JhengHei"/>
                <w:b/>
                <w:sz w:val="24"/>
              </w:rPr>
            </w:pPr>
          </w:p>
          <w:p>
            <w:pPr>
              <w:pStyle w:val="TableParagraph"/>
              <w:ind w:left="9"/>
              <w:jc w:val="center"/>
              <w:rPr>
                <w:sz w:val="24"/>
              </w:rPr>
            </w:pPr>
            <w:r>
              <w:rPr>
                <w:color w:val="FFFFFF"/>
                <w:spacing w:val="-3"/>
                <w:sz w:val="24"/>
              </w:rPr>
              <w:t>資源管理</w:t>
            </w:r>
          </w:p>
          <w:p>
            <w:pPr>
              <w:pStyle w:val="TableParagraph"/>
              <w:spacing w:line="280" w:lineRule="auto" w:before="160"/>
              <w:ind w:left="290" w:right="281" w:firstLine="5"/>
              <w:jc w:val="center"/>
              <w:rPr>
                <w:sz w:val="24"/>
              </w:rPr>
            </w:pPr>
            <w:r>
              <w:rPr>
                <w:color w:val="FFFFFF"/>
                <w:spacing w:val="-2"/>
                <w:sz w:val="24"/>
              </w:rPr>
              <w:t>（</w:t>
            </w:r>
            <w:r>
              <w:rPr>
                <w:rFonts w:ascii="Times New Roman" w:eastAsia="Times New Roman"/>
                <w:color w:val="FFFFFF"/>
                <w:spacing w:val="-2"/>
                <w:sz w:val="24"/>
              </w:rPr>
              <w:t>Resource Management</w:t>
            </w:r>
            <w:r>
              <w:rPr>
                <w:color w:val="FFFFFF"/>
                <w:spacing w:val="-2"/>
                <w:sz w:val="24"/>
              </w:rPr>
              <w:t>）</w:t>
            </w:r>
          </w:p>
        </w:tc>
        <w:tc>
          <w:tcPr>
            <w:tcW w:w="2425" w:type="dxa"/>
            <w:shd w:val="clear" w:color="auto" w:fill="DAE3F3"/>
          </w:tcPr>
          <w:p>
            <w:pPr>
              <w:pStyle w:val="TableParagraph"/>
              <w:spacing w:before="191"/>
              <w:ind w:right="109"/>
              <w:jc w:val="center"/>
              <w:rPr>
                <w:sz w:val="24"/>
              </w:rPr>
            </w:pPr>
            <w:r>
              <w:rPr>
                <w:spacing w:val="-3"/>
                <w:sz w:val="24"/>
              </w:rPr>
              <w:t>資源建構</w:t>
            </w:r>
          </w:p>
          <w:p>
            <w:pPr>
              <w:pStyle w:val="TableParagraph"/>
              <w:spacing w:before="161"/>
              <w:ind w:right="109"/>
              <w:jc w:val="center"/>
              <w:rPr>
                <w:sz w:val="24"/>
              </w:rPr>
            </w:pPr>
            <w:r>
              <w:rPr>
                <w:spacing w:val="-2"/>
                <w:sz w:val="24"/>
              </w:rPr>
              <w:t>（</w:t>
            </w:r>
            <w:r>
              <w:rPr>
                <w:rFonts w:ascii="Times New Roman" w:eastAsia="Times New Roman"/>
                <w:spacing w:val="-2"/>
                <w:sz w:val="24"/>
              </w:rPr>
              <w:t>Structuring</w:t>
            </w:r>
            <w:r>
              <w:rPr>
                <w:spacing w:val="-2"/>
                <w:sz w:val="24"/>
              </w:rPr>
              <w:t>）</w:t>
            </w:r>
          </w:p>
        </w:tc>
        <w:tc>
          <w:tcPr>
            <w:tcW w:w="2426" w:type="dxa"/>
            <w:gridSpan w:val="2"/>
            <w:shd w:val="clear" w:color="auto" w:fill="DAE3F3"/>
          </w:tcPr>
          <w:p>
            <w:pPr>
              <w:pStyle w:val="TableParagraph"/>
              <w:spacing w:before="191"/>
              <w:ind w:right="111"/>
              <w:jc w:val="center"/>
              <w:rPr>
                <w:sz w:val="24"/>
              </w:rPr>
            </w:pPr>
            <w:r>
              <w:rPr>
                <w:spacing w:val="-3"/>
                <w:sz w:val="24"/>
              </w:rPr>
              <w:t>資源綑綁</w:t>
            </w:r>
          </w:p>
          <w:p>
            <w:pPr>
              <w:pStyle w:val="TableParagraph"/>
              <w:spacing w:before="161"/>
              <w:ind w:left="3" w:right="111"/>
              <w:jc w:val="center"/>
              <w:rPr>
                <w:sz w:val="24"/>
              </w:rPr>
            </w:pPr>
            <w:r>
              <w:rPr>
                <w:sz w:val="24"/>
              </w:rPr>
              <mc:AlternateContent>
                <mc:Choice Requires="wps">
                  <w:drawing>
                    <wp:anchor distT="0" distB="0" distL="0" distR="0" allowOverlap="1" layoutInCell="1" locked="0" behindDoc="1" simplePos="0" relativeHeight="485791232">
                      <wp:simplePos x="0" y="0"/>
                      <wp:positionH relativeFrom="column">
                        <wp:posOffset>-356488</wp:posOffset>
                      </wp:positionH>
                      <wp:positionV relativeFrom="paragraph">
                        <wp:posOffset>17779</wp:posOffset>
                      </wp:positionV>
                      <wp:extent cx="929640" cy="97853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929640" cy="978535"/>
                                <a:chExt cx="929640" cy="978535"/>
                              </a:xfrm>
                            </wpg:grpSpPr>
                            <pic:pic>
                              <pic:nvPicPr>
                                <pic:cNvPr id="99" name="Image 99"/>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28.06999pt;margin-top:1.399979pt;width:73.2pt;height:77.05pt;mso-position-horizontal-relative:column;mso-position-vertical-relative:paragraph;z-index:-17525248" id="docshapegroup7" coordorigin="-561,28" coordsize="1464,1541">
                      <v:shape style="position:absolute;left:-562;top:28;width:1464;height:1541" type="#_x0000_t75" id="docshape8" stroked="false">
                        <v:imagedata r:id="rId6" o:title=""/>
                      </v:shape>
                      <w10:wrap type="none"/>
                    </v:group>
                  </w:pict>
                </mc:Fallback>
              </mc:AlternateContent>
            </w:r>
            <w:r>
              <w:rPr>
                <w:spacing w:val="-2"/>
                <w:sz w:val="24"/>
              </w:rPr>
              <w:t>（</w:t>
            </w:r>
            <w:r>
              <w:rPr>
                <w:rFonts w:ascii="Times New Roman" w:eastAsia="Times New Roman"/>
                <w:spacing w:val="-2"/>
                <w:sz w:val="24"/>
              </w:rPr>
              <w:t>Bundling</w:t>
            </w:r>
            <w:r>
              <w:rPr>
                <w:spacing w:val="-2"/>
                <w:sz w:val="24"/>
              </w:rPr>
              <w:t>）</w:t>
            </w:r>
          </w:p>
        </w:tc>
        <w:tc>
          <w:tcPr>
            <w:tcW w:w="2426" w:type="dxa"/>
            <w:shd w:val="clear" w:color="auto" w:fill="DAE3F3"/>
          </w:tcPr>
          <w:p>
            <w:pPr>
              <w:pStyle w:val="TableParagraph"/>
              <w:spacing w:before="191"/>
              <w:ind w:left="3" w:right="112"/>
              <w:jc w:val="center"/>
              <w:rPr>
                <w:sz w:val="24"/>
              </w:rPr>
            </w:pPr>
            <w:r>
              <w:rPr>
                <w:spacing w:val="-3"/>
                <w:sz w:val="24"/>
              </w:rPr>
              <w:t>資源槓桿</w:t>
            </w:r>
          </w:p>
          <w:p>
            <w:pPr>
              <w:pStyle w:val="TableParagraph"/>
              <w:spacing w:before="161"/>
              <w:ind w:right="112"/>
              <w:jc w:val="center"/>
              <w:rPr>
                <w:sz w:val="24"/>
              </w:rPr>
            </w:pPr>
            <w:r>
              <w:rPr>
                <w:spacing w:val="-2"/>
                <w:sz w:val="24"/>
              </w:rPr>
              <w:t>（</w:t>
            </w:r>
            <w:r>
              <w:rPr>
                <w:rFonts w:ascii="Times New Roman" w:eastAsia="Times New Roman"/>
                <w:spacing w:val="-2"/>
                <w:sz w:val="24"/>
              </w:rPr>
              <w:t>Leveraging</w:t>
            </w:r>
            <w:r>
              <w:rPr>
                <w:spacing w:val="-2"/>
                <w:sz w:val="24"/>
              </w:rPr>
              <w:t>）</w:t>
            </w:r>
          </w:p>
        </w:tc>
      </w:tr>
      <w:tr>
        <w:trPr>
          <w:trHeight w:val="1656" w:hRule="atLeast"/>
        </w:trPr>
        <w:tc>
          <w:tcPr>
            <w:tcW w:w="2074" w:type="dxa"/>
            <w:vMerge/>
            <w:tcBorders>
              <w:top w:val="nil"/>
            </w:tcBorders>
            <w:shd w:val="clear" w:color="auto" w:fill="2F5597"/>
          </w:tcPr>
          <w:p>
            <w:pPr>
              <w:rPr>
                <w:sz w:val="2"/>
                <w:szCs w:val="2"/>
              </w:rPr>
            </w:pPr>
          </w:p>
        </w:tc>
        <w:tc>
          <w:tcPr>
            <w:tcW w:w="2425" w:type="dxa"/>
          </w:tcPr>
          <w:p>
            <w:pPr>
              <w:pStyle w:val="TableParagraph"/>
              <w:spacing w:line="364" w:lineRule="auto" w:before="192"/>
              <w:ind w:left="911" w:right="1021"/>
              <w:jc w:val="both"/>
              <w:rPr>
                <w:sz w:val="24"/>
              </w:rPr>
            </w:pPr>
            <w:r>
              <w:rPr>
                <w:spacing w:val="-6"/>
                <w:sz w:val="24"/>
              </w:rPr>
              <w:t>取得累績</w:t>
            </w:r>
            <w:r>
              <w:rPr>
                <w:spacing w:val="-5"/>
                <w:sz w:val="24"/>
              </w:rPr>
              <w:t>精簡</w:t>
            </w:r>
          </w:p>
        </w:tc>
        <w:tc>
          <w:tcPr>
            <w:tcW w:w="2426" w:type="dxa"/>
            <w:gridSpan w:val="2"/>
          </w:tcPr>
          <w:p>
            <w:pPr>
              <w:pStyle w:val="TableParagraph"/>
              <w:spacing w:line="364" w:lineRule="auto" w:before="192"/>
              <w:ind w:left="911" w:right="1022"/>
              <w:jc w:val="both"/>
              <w:rPr>
                <w:sz w:val="24"/>
              </w:rPr>
            </w:pPr>
            <w:r>
              <w:rPr>
                <w:spacing w:val="-6"/>
                <w:sz w:val="24"/>
              </w:rPr>
              <w:t>穩定豐富</w:t>
            </w:r>
            <w:r>
              <w:rPr>
                <w:spacing w:val="-5"/>
                <w:sz w:val="24"/>
              </w:rPr>
              <w:t>開創</w:t>
            </w:r>
          </w:p>
        </w:tc>
        <w:tc>
          <w:tcPr>
            <w:tcW w:w="2426" w:type="dxa"/>
          </w:tcPr>
          <w:p>
            <w:pPr>
              <w:pStyle w:val="TableParagraph"/>
              <w:spacing w:line="364" w:lineRule="auto" w:before="192"/>
              <w:ind w:left="912" w:right="1021"/>
              <w:jc w:val="both"/>
              <w:rPr>
                <w:sz w:val="24"/>
              </w:rPr>
            </w:pPr>
            <w:r>
              <w:rPr>
                <w:spacing w:val="-6"/>
                <w:sz w:val="24"/>
              </w:rPr>
              <w:t>調度協調</w:t>
            </w:r>
            <w:r>
              <w:rPr>
                <w:spacing w:val="-5"/>
                <w:sz w:val="24"/>
              </w:rPr>
              <w:t>部署</w:t>
            </w:r>
          </w:p>
        </w:tc>
      </w:tr>
      <w:tr>
        <w:trPr>
          <w:trHeight w:val="582" w:hRule="atLeast"/>
        </w:trPr>
        <w:tc>
          <w:tcPr>
            <w:tcW w:w="2074" w:type="dxa"/>
            <w:tcBorders>
              <w:bottom w:val="nil"/>
            </w:tcBorders>
            <w:shd w:val="clear" w:color="auto" w:fill="2F5597"/>
          </w:tcPr>
          <w:p>
            <w:pPr>
              <w:pStyle w:val="TableParagraph"/>
              <w:rPr>
                <w:rFonts w:ascii="Times New Roman"/>
                <w:sz w:val="22"/>
              </w:rPr>
            </w:pPr>
          </w:p>
        </w:tc>
        <w:tc>
          <w:tcPr>
            <w:tcW w:w="3638" w:type="dxa"/>
            <w:gridSpan w:val="2"/>
            <w:tcBorders>
              <w:bottom w:val="nil"/>
            </w:tcBorders>
            <w:shd w:val="clear" w:color="auto" w:fill="DAE3F3"/>
          </w:tcPr>
          <w:p>
            <w:pPr>
              <w:pStyle w:val="TableParagraph"/>
              <w:spacing w:before="192"/>
              <w:ind w:left="1257"/>
              <w:rPr>
                <w:sz w:val="24"/>
              </w:rPr>
            </w:pPr>
            <w:r>
              <w:rPr>
                <w:spacing w:val="-2"/>
                <w:sz w:val="24"/>
              </w:rPr>
              <w:t>尋找與選擇</w:t>
            </w:r>
          </w:p>
        </w:tc>
        <w:tc>
          <w:tcPr>
            <w:tcW w:w="3639" w:type="dxa"/>
            <w:gridSpan w:val="2"/>
            <w:tcBorders>
              <w:bottom w:val="nil"/>
            </w:tcBorders>
            <w:shd w:val="clear" w:color="auto" w:fill="DAE3F3"/>
          </w:tcPr>
          <w:p>
            <w:pPr>
              <w:pStyle w:val="TableParagraph"/>
              <w:spacing w:before="192"/>
              <w:ind w:left="1155"/>
              <w:rPr>
                <w:sz w:val="24"/>
              </w:rPr>
            </w:pPr>
            <w:r>
              <w:rPr>
                <w:spacing w:val="-2"/>
                <w:sz w:val="24"/>
              </w:rPr>
              <w:t>配置與部署</w:t>
            </w:r>
          </w:p>
        </w:tc>
      </w:tr>
      <w:tr>
        <w:trPr>
          <w:trHeight w:val="456" w:hRule="atLeast"/>
        </w:trPr>
        <w:tc>
          <w:tcPr>
            <w:tcW w:w="2074" w:type="dxa"/>
            <w:tcBorders>
              <w:top w:val="nil"/>
              <w:bottom w:val="nil"/>
            </w:tcBorders>
            <w:shd w:val="clear" w:color="auto" w:fill="2F5597"/>
          </w:tcPr>
          <w:p>
            <w:pPr>
              <w:pStyle w:val="TableParagraph"/>
              <w:rPr>
                <w:rFonts w:ascii="Times New Roman"/>
                <w:sz w:val="22"/>
              </w:rPr>
            </w:pPr>
          </w:p>
        </w:tc>
        <w:tc>
          <w:tcPr>
            <w:tcW w:w="3638" w:type="dxa"/>
            <w:gridSpan w:val="2"/>
            <w:tcBorders>
              <w:top w:val="nil"/>
              <w:bottom w:val="nil"/>
            </w:tcBorders>
            <w:shd w:val="clear" w:color="auto" w:fill="DAE3F3"/>
          </w:tcPr>
          <w:p>
            <w:pPr>
              <w:pStyle w:val="TableParagraph"/>
              <w:spacing w:before="77"/>
              <w:ind w:left="811"/>
              <w:rPr>
                <w:sz w:val="24"/>
              </w:rPr>
            </w:pPr>
            <w:r>
              <w:rPr>
                <w:spacing w:val="-2"/>
                <w:sz w:val="24"/>
              </w:rPr>
              <w:t>（</w:t>
            </w:r>
            <w:r>
              <w:rPr>
                <w:rFonts w:ascii="Times New Roman" w:eastAsia="Times New Roman"/>
                <w:spacing w:val="-2"/>
                <w:sz w:val="24"/>
              </w:rPr>
              <w:t>Search/Selection</w:t>
            </w:r>
            <w:r>
              <w:rPr>
                <w:spacing w:val="-2"/>
                <w:sz w:val="24"/>
              </w:rPr>
              <w:t>）</w:t>
            </w:r>
          </w:p>
        </w:tc>
        <w:tc>
          <w:tcPr>
            <w:tcW w:w="3639" w:type="dxa"/>
            <w:gridSpan w:val="2"/>
            <w:tcBorders>
              <w:top w:val="nil"/>
              <w:bottom w:val="nil"/>
            </w:tcBorders>
            <w:shd w:val="clear" w:color="auto" w:fill="DAE3F3"/>
          </w:tcPr>
          <w:p>
            <w:pPr>
              <w:pStyle w:val="TableParagraph"/>
              <w:spacing w:before="77"/>
              <w:ind w:left="216"/>
              <w:rPr>
                <w:sz w:val="24"/>
              </w:rPr>
            </w:pPr>
            <w:r>
              <w:rPr>
                <w:spacing w:val="-2"/>
                <w:sz w:val="24"/>
              </w:rPr>
              <w:t>（</w:t>
            </w:r>
            <w:r>
              <w:rPr>
                <w:rFonts w:ascii="Times New Roman" w:eastAsia="Times New Roman"/>
                <w:spacing w:val="-2"/>
                <w:sz w:val="24"/>
              </w:rPr>
              <w:t>Configuration/Deployment</w:t>
            </w:r>
            <w:r>
              <w:rPr>
                <w:spacing w:val="-2"/>
                <w:sz w:val="24"/>
              </w:rPr>
              <w:t>）</w:t>
            </w:r>
          </w:p>
        </w:tc>
      </w:tr>
      <w:tr>
        <w:trPr>
          <w:trHeight w:val="147" w:hRule="atLeast"/>
        </w:trPr>
        <w:tc>
          <w:tcPr>
            <w:tcW w:w="2074" w:type="dxa"/>
            <w:vMerge w:val="restart"/>
            <w:tcBorders>
              <w:top w:val="nil"/>
              <w:bottom w:val="nil"/>
            </w:tcBorders>
            <w:shd w:val="clear" w:color="auto" w:fill="2F5597"/>
          </w:tcPr>
          <w:p>
            <w:pPr>
              <w:pStyle w:val="TableParagraph"/>
              <w:spacing w:line="303" w:lineRule="exact" w:before="40"/>
              <w:ind w:left="556"/>
              <w:rPr>
                <w:sz w:val="24"/>
              </w:rPr>
            </w:pPr>
            <w:r>
              <w:rPr>
                <w:color w:val="FFFFFF"/>
                <w:spacing w:val="-3"/>
                <w:sz w:val="24"/>
              </w:rPr>
              <w:t>資產和諧</w:t>
            </w:r>
          </w:p>
        </w:tc>
        <w:tc>
          <w:tcPr>
            <w:tcW w:w="3638" w:type="dxa"/>
            <w:gridSpan w:val="2"/>
            <w:tcBorders>
              <w:top w:val="nil"/>
            </w:tcBorders>
            <w:shd w:val="clear" w:color="auto" w:fill="DAE3F3"/>
          </w:tcPr>
          <w:p>
            <w:pPr>
              <w:pStyle w:val="TableParagraph"/>
              <w:rPr>
                <w:rFonts w:ascii="Times New Roman"/>
                <w:sz w:val="8"/>
              </w:rPr>
            </w:pPr>
          </w:p>
        </w:tc>
        <w:tc>
          <w:tcPr>
            <w:tcW w:w="3639" w:type="dxa"/>
            <w:gridSpan w:val="2"/>
            <w:tcBorders>
              <w:top w:val="nil"/>
            </w:tcBorders>
            <w:shd w:val="clear" w:color="auto" w:fill="DAE3F3"/>
          </w:tcPr>
          <w:p>
            <w:pPr>
              <w:pStyle w:val="TableParagraph"/>
              <w:rPr>
                <w:rFonts w:ascii="Times New Roman"/>
                <w:sz w:val="8"/>
              </w:rPr>
            </w:pPr>
          </w:p>
        </w:tc>
      </w:tr>
      <w:tr>
        <w:trPr>
          <w:trHeight w:val="204" w:hRule="atLeast"/>
        </w:trPr>
        <w:tc>
          <w:tcPr>
            <w:tcW w:w="2074" w:type="dxa"/>
            <w:vMerge/>
            <w:tcBorders>
              <w:top w:val="nil"/>
              <w:bottom w:val="nil"/>
            </w:tcBorders>
            <w:shd w:val="clear" w:color="auto" w:fill="2F5597"/>
          </w:tcPr>
          <w:p>
            <w:pPr>
              <w:rPr>
                <w:sz w:val="2"/>
                <w:szCs w:val="2"/>
              </w:rPr>
            </w:pPr>
          </w:p>
        </w:tc>
        <w:tc>
          <w:tcPr>
            <w:tcW w:w="3638" w:type="dxa"/>
            <w:gridSpan w:val="2"/>
            <w:tcBorders>
              <w:bottom w:val="nil"/>
            </w:tcBorders>
          </w:tcPr>
          <w:p>
            <w:pPr>
              <w:pStyle w:val="TableParagraph"/>
              <w:rPr>
                <w:rFonts w:ascii="Times New Roman"/>
                <w:sz w:val="14"/>
              </w:rPr>
            </w:pPr>
          </w:p>
        </w:tc>
        <w:tc>
          <w:tcPr>
            <w:tcW w:w="3639" w:type="dxa"/>
            <w:gridSpan w:val="2"/>
            <w:tcBorders>
              <w:bottom w:val="nil"/>
            </w:tcBorders>
          </w:tcPr>
          <w:p>
            <w:pPr>
              <w:pStyle w:val="TableParagraph"/>
              <w:rPr>
                <w:rFonts w:ascii="Times New Roman"/>
                <w:sz w:val="14"/>
              </w:rPr>
            </w:pPr>
          </w:p>
        </w:tc>
      </w:tr>
      <w:tr>
        <w:trPr>
          <w:trHeight w:val="974" w:hRule="atLeast"/>
        </w:trPr>
        <w:tc>
          <w:tcPr>
            <w:tcW w:w="2074" w:type="dxa"/>
            <w:tcBorders>
              <w:top w:val="nil"/>
              <w:bottom w:val="nil"/>
            </w:tcBorders>
            <w:shd w:val="clear" w:color="auto" w:fill="2F5597"/>
          </w:tcPr>
          <w:p>
            <w:pPr>
              <w:pStyle w:val="TableParagraph"/>
              <w:spacing w:line="280" w:lineRule="auto" w:before="145"/>
              <w:ind w:left="263" w:firstLine="386"/>
              <w:rPr>
                <w:sz w:val="24"/>
              </w:rPr>
            </w:pPr>
            <w:r>
              <w:rPr>
                <w:color w:val="FFFFFF"/>
                <w:spacing w:val="-2"/>
                <w:sz w:val="24"/>
              </w:rPr>
              <w:t>（</w:t>
            </w:r>
            <w:r>
              <w:rPr>
                <w:rFonts w:ascii="Times New Roman" w:eastAsia="Times New Roman"/>
                <w:color w:val="FFFFFF"/>
                <w:spacing w:val="-2"/>
                <w:sz w:val="24"/>
              </w:rPr>
              <w:t>Asset Orchestration</w:t>
            </w:r>
            <w:r>
              <w:rPr>
                <w:color w:val="FFFFFF"/>
                <w:spacing w:val="-2"/>
                <w:sz w:val="24"/>
              </w:rPr>
              <w:t>）</w:t>
            </w:r>
          </w:p>
        </w:tc>
        <w:tc>
          <w:tcPr>
            <w:tcW w:w="3638" w:type="dxa"/>
            <w:gridSpan w:val="2"/>
            <w:tcBorders>
              <w:top w:val="nil"/>
              <w:bottom w:val="nil"/>
            </w:tcBorders>
          </w:tcPr>
          <w:p>
            <w:pPr>
              <w:pStyle w:val="TableParagraph"/>
              <w:spacing w:line="364" w:lineRule="auto"/>
              <w:ind w:left="1617" w:right="1528"/>
              <w:jc w:val="center"/>
              <w:rPr>
                <w:sz w:val="24"/>
              </w:rPr>
            </w:pPr>
            <w:r>
              <w:rPr>
                <w:spacing w:val="-6"/>
                <w:sz w:val="24"/>
              </w:rPr>
              <w:t>辨識</w:t>
            </w:r>
            <w:r>
              <w:rPr>
                <w:spacing w:val="-5"/>
                <w:sz w:val="24"/>
              </w:rPr>
              <w:t>投資</w:t>
            </w:r>
          </w:p>
        </w:tc>
        <w:tc>
          <w:tcPr>
            <w:tcW w:w="3639" w:type="dxa"/>
            <w:gridSpan w:val="2"/>
            <w:tcBorders>
              <w:top w:val="nil"/>
              <w:bottom w:val="nil"/>
            </w:tcBorders>
          </w:tcPr>
          <w:p>
            <w:pPr>
              <w:pStyle w:val="TableParagraph"/>
              <w:spacing w:line="470" w:lineRule="atLeast" w:before="19"/>
              <w:ind w:left="1275" w:right="1391"/>
              <w:jc w:val="center"/>
              <w:rPr>
                <w:sz w:val="24"/>
              </w:rPr>
            </w:pPr>
            <w:r>
              <w:rPr>
                <w:spacing w:val="-4"/>
                <w:sz w:val="24"/>
              </w:rPr>
              <w:t>提供願景</w:t>
            </w:r>
            <w:r>
              <w:rPr>
                <w:spacing w:val="-3"/>
                <w:sz w:val="24"/>
              </w:rPr>
              <w:t>培育創新</w:t>
            </w:r>
          </w:p>
        </w:tc>
      </w:tr>
      <w:tr>
        <w:trPr>
          <w:trHeight w:val="234" w:hRule="atLeast"/>
        </w:trPr>
        <w:tc>
          <w:tcPr>
            <w:tcW w:w="2074" w:type="dxa"/>
            <w:tcBorders>
              <w:top w:val="nil"/>
              <w:bottom w:val="nil"/>
            </w:tcBorders>
            <w:shd w:val="clear" w:color="auto" w:fill="2F5597"/>
          </w:tcPr>
          <w:p>
            <w:pPr>
              <w:pStyle w:val="TableParagraph"/>
              <w:rPr>
                <w:rFonts w:ascii="Times New Roman"/>
                <w:sz w:val="16"/>
              </w:rPr>
            </w:pPr>
          </w:p>
        </w:tc>
        <w:tc>
          <w:tcPr>
            <w:tcW w:w="3638" w:type="dxa"/>
            <w:gridSpan w:val="2"/>
            <w:tcBorders>
              <w:top w:val="nil"/>
              <w:bottom w:val="nil"/>
            </w:tcBorders>
          </w:tcPr>
          <w:p>
            <w:pPr>
              <w:pStyle w:val="TableParagraph"/>
              <w:spacing w:line="214" w:lineRule="exact"/>
              <w:ind w:left="1017"/>
              <w:rPr>
                <w:sz w:val="24"/>
              </w:rPr>
            </w:pPr>
            <w:r>
              <w:rPr>
                <w:spacing w:val="-2"/>
                <w:sz w:val="24"/>
              </w:rPr>
              <w:t>治理與組織結構</w:t>
            </w:r>
          </w:p>
        </w:tc>
        <w:tc>
          <w:tcPr>
            <w:tcW w:w="3639" w:type="dxa"/>
            <w:gridSpan w:val="2"/>
            <w:tcBorders>
              <w:top w:val="nil"/>
              <w:bottom w:val="nil"/>
            </w:tcBorders>
          </w:tcPr>
          <w:p>
            <w:pPr>
              <w:pStyle w:val="TableParagraph"/>
              <w:rPr>
                <w:rFonts w:ascii="Times New Roman"/>
                <w:sz w:val="16"/>
              </w:rPr>
            </w:pPr>
          </w:p>
        </w:tc>
      </w:tr>
      <w:tr>
        <w:trPr>
          <w:trHeight w:val="712" w:hRule="atLeast"/>
        </w:trPr>
        <w:tc>
          <w:tcPr>
            <w:tcW w:w="2074" w:type="dxa"/>
            <w:tcBorders>
              <w:top w:val="nil"/>
            </w:tcBorders>
            <w:shd w:val="clear" w:color="auto" w:fill="2F5597"/>
          </w:tcPr>
          <w:p>
            <w:pPr>
              <w:pStyle w:val="TableParagraph"/>
              <w:rPr>
                <w:rFonts w:ascii="Times New Roman"/>
                <w:sz w:val="22"/>
              </w:rPr>
            </w:pPr>
          </w:p>
        </w:tc>
        <w:tc>
          <w:tcPr>
            <w:tcW w:w="3638" w:type="dxa"/>
            <w:gridSpan w:val="2"/>
            <w:tcBorders>
              <w:top w:val="nil"/>
            </w:tcBorders>
          </w:tcPr>
          <w:p>
            <w:pPr>
              <w:pStyle w:val="TableParagraph"/>
              <w:spacing w:before="182"/>
              <w:ind w:left="87"/>
              <w:jc w:val="center"/>
              <w:rPr>
                <w:sz w:val="24"/>
              </w:rPr>
            </w:pPr>
            <w:r>
              <w:rPr>
                <w:spacing w:val="-3"/>
                <w:sz w:val="24"/>
              </w:rPr>
              <w:t>商業模式</w:t>
            </w:r>
          </w:p>
        </w:tc>
        <w:tc>
          <w:tcPr>
            <w:tcW w:w="3639" w:type="dxa"/>
            <w:gridSpan w:val="2"/>
            <w:tcBorders>
              <w:top w:val="nil"/>
            </w:tcBorders>
          </w:tcPr>
          <w:p>
            <w:pPr>
              <w:pStyle w:val="TableParagraph"/>
              <w:spacing w:line="257" w:lineRule="exact"/>
              <w:ind w:right="116"/>
              <w:jc w:val="center"/>
              <w:rPr>
                <w:sz w:val="24"/>
              </w:rPr>
            </w:pPr>
            <w:r>
              <w:rPr>
                <w:spacing w:val="-3"/>
                <w:sz w:val="24"/>
              </w:rPr>
              <w:t>資產協同</w:t>
            </w:r>
          </w:p>
        </w:tc>
      </w:tr>
    </w:tbl>
    <w:p>
      <w:pPr>
        <w:pStyle w:val="BodyText"/>
        <w:spacing w:before="216"/>
        <w:ind w:left="600" w:right="118"/>
        <w:jc w:val="center"/>
      </w:pPr>
      <w:r>
        <w:rPr/>
        <w:t>資料來源：</w:t>
      </w:r>
      <w:r>
        <w:rPr>
          <w:rFonts w:ascii="Times New Roman" w:eastAsia="Times New Roman"/>
        </w:rPr>
        <w:t>Sirmon</w:t>
      </w:r>
      <w:r>
        <w:rPr>
          <w:rFonts w:ascii="Times New Roman" w:eastAsia="Times New Roman"/>
          <w:spacing w:val="60"/>
        </w:rPr>
        <w:t> </w:t>
      </w:r>
      <w:r>
        <w:rPr/>
        <w:t>等人</w:t>
      </w:r>
      <w:r>
        <w:rPr>
          <w:spacing w:val="-2"/>
        </w:rPr>
        <w:t>（</w:t>
      </w:r>
      <w:r>
        <w:rPr>
          <w:rFonts w:ascii="Times New Roman" w:eastAsia="Times New Roman"/>
          <w:spacing w:val="-2"/>
        </w:rPr>
        <w:t>2007</w:t>
      </w:r>
      <w:r>
        <w:rPr>
          <w:spacing w:val="-2"/>
        </w:rPr>
        <w:t>）</w:t>
      </w:r>
    </w:p>
    <w:p>
      <w:pPr>
        <w:pStyle w:val="BodyText"/>
        <w:spacing w:after="0"/>
        <w:jc w:val="center"/>
        <w:sectPr>
          <w:pgSz w:w="11910" w:h="16840"/>
          <w:pgMar w:header="0" w:footer="1197" w:top="1740" w:bottom="1380" w:left="1133" w:right="1133"/>
        </w:sectPr>
      </w:pPr>
    </w:p>
    <w:p>
      <w:pPr>
        <w:pStyle w:val="Heading2"/>
        <w:spacing w:line="500" w:lineRule="exact"/>
        <w:ind w:left="571"/>
        <w:rPr>
          <w:position w:val="1"/>
        </w:rPr>
      </w:pPr>
      <w:r>
        <w:rPr>
          <w:b w:val="0"/>
        </w:rPr>
        <w:drawing>
          <wp:inline distT="0" distB="0" distL="0" distR="0">
            <wp:extent cx="395478" cy="145542"/>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64" cstate="print"/>
                    <a:stretch>
                      <a:fillRect/>
                    </a:stretch>
                  </pic:blipFill>
                  <pic:spPr>
                    <a:xfrm>
                      <a:off x="0" y="0"/>
                      <a:ext cx="395478" cy="145542"/>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30" w:id="31"/>
      <w:bookmarkEnd w:id="31"/>
      <w:r>
        <w:rPr>
          <w:rFonts w:ascii="Times New Roman" w:eastAsia="Times New Roman"/>
          <w:b w:val="0"/>
          <w:spacing w:val="-17"/>
          <w:position w:val="1"/>
          <w:sz w:val="20"/>
        </w:rPr>
      </w:r>
      <w:r>
        <w:rPr>
          <w:spacing w:val="-4"/>
          <w:position w:val="1"/>
        </w:rPr>
        <w:t>組織策略、跨界管理與資源和諧之關聯</w:t>
      </w:r>
    </w:p>
    <w:p>
      <w:pPr>
        <w:pStyle w:val="Heading4"/>
        <w:spacing w:before="307"/>
      </w:pPr>
      <w:r>
        <w:rPr>
          <w:spacing w:val="-1"/>
        </w:rPr>
        <w:t>資源和諧對策略實踐之重要性</w:t>
      </w:r>
    </w:p>
    <w:p>
      <w:pPr>
        <w:pStyle w:val="BodyText"/>
        <w:spacing w:line="422" w:lineRule="auto" w:before="358"/>
        <w:ind w:right="683" w:firstLine="479"/>
      </w:pPr>
      <w:r>
        <w:rPr>
          <w:spacing w:val="-2"/>
        </w:rPr>
        <w:t>競爭優勢的創造可以透過資源和諧理論來實現（</w:t>
      </w:r>
      <w:r>
        <w:rPr>
          <w:rFonts w:ascii="Times New Roman" w:eastAsia="Times New Roman"/>
          <w:spacing w:val="-2"/>
        </w:rPr>
        <w:t>Sirmon et al., </w:t>
      </w:r>
      <w:r>
        <w:rPr>
          <w:rFonts w:ascii="Times New Roman" w:eastAsia="Times New Roman"/>
          <w:spacing w:val="23"/>
        </w:rPr>
        <w:t>20</w:t>
      </w:r>
      <w:r>
        <w:rPr>
          <w:rFonts w:ascii="Times New Roman" w:eastAsia="Times New Roman"/>
          <w:spacing w:val="13"/>
        </w:rPr>
        <w:t>1</w:t>
      </w:r>
      <w:r>
        <w:rPr>
          <w:rFonts w:ascii="Times New Roman" w:eastAsia="Times New Roman"/>
          <w:spacing w:val="24"/>
        </w:rPr>
        <w:t>1</w:t>
      </w:r>
      <w:r>
        <w:rPr>
          <w:spacing w:val="-97"/>
        </w:rPr>
        <w:t>）</w:t>
      </w:r>
      <w:r>
        <w:rPr>
          <w:spacing w:val="-2"/>
        </w:rPr>
        <w:t>。企業</w:t>
      </w:r>
      <w:r>
        <w:rPr>
          <w:spacing w:val="-4"/>
        </w:rPr>
        <w:t>透過動態整合與運用其資源，可以迅速響應市場變化，從而在不斷變化的市場中保持靈活性與創新能力。特別是對於資源有限的新創企業，資源和諧顯得尤為重</w:t>
      </w:r>
      <w:r>
        <w:rPr>
          <w:spacing w:val="-1"/>
        </w:rPr>
        <w:t>要，因為它們能夠通過動態整合有限的資源，迅速進入新市場並提升創新績效</w:t>
      </w:r>
    </w:p>
    <w:p>
      <w:pPr>
        <w:pStyle w:val="BodyText"/>
        <w:spacing w:line="422" w:lineRule="auto"/>
        <w:ind w:right="662"/>
      </w:pPr>
      <w:r>
        <w:rPr>
          <w:spacing w:val="-2"/>
        </w:rPr>
        <w:t>（</w:t>
      </w:r>
      <w:r>
        <w:rPr>
          <w:rFonts w:ascii="Times New Roman" w:eastAsia="Times New Roman"/>
          <w:spacing w:val="-2"/>
        </w:rPr>
        <w:t>Ndofor </w:t>
      </w:r>
      <w:r>
        <w:rPr>
          <w:spacing w:val="-2"/>
        </w:rPr>
        <w:t>等人</w:t>
      </w:r>
      <w:r>
        <w:rPr>
          <w:rFonts w:ascii="Times New Roman" w:eastAsia="Times New Roman"/>
          <w:spacing w:val="-2"/>
        </w:rPr>
        <w:t>, </w:t>
      </w:r>
      <w:r>
        <w:rPr>
          <w:rFonts w:ascii="Times New Roman" w:eastAsia="Times New Roman"/>
          <w:spacing w:val="24"/>
        </w:rPr>
        <w:t>20</w:t>
      </w:r>
      <w:r>
        <w:rPr>
          <w:rFonts w:ascii="Times New Roman" w:eastAsia="Times New Roman"/>
          <w:spacing w:val="14"/>
        </w:rPr>
        <w:t>1</w:t>
      </w:r>
      <w:r>
        <w:rPr>
          <w:rFonts w:ascii="Times New Roman" w:eastAsia="Times New Roman"/>
          <w:spacing w:val="24"/>
        </w:rPr>
        <w:t>1</w:t>
      </w:r>
      <w:r>
        <w:rPr>
          <w:spacing w:val="-96"/>
        </w:rPr>
        <w:t>）</w:t>
      </w:r>
      <w:r>
        <w:rPr>
          <w:spacing w:val="-2"/>
        </w:rPr>
        <w:t>。這種靈活性使新創企業能夠有效應對資源的約束，找到</w:t>
      </w:r>
      <w:r>
        <w:rPr>
          <w:spacing w:val="-4"/>
        </w:rPr>
        <w:t>最佳的成長路徑，並在競爭激烈的環境中尋求突破。企業若要將資源轉化為可持</w:t>
      </w:r>
      <w:r>
        <w:rPr>
          <w:spacing w:val="34"/>
        </w:rPr>
        <w:t>續的競爭優勢，還需要協調內部資源和專業化資產，以達到最佳效益</w:t>
      </w:r>
    </w:p>
    <w:p>
      <w:pPr>
        <w:pStyle w:val="BodyText"/>
        <w:spacing w:line="304" w:lineRule="exact"/>
      </w:pPr>
      <w:r>
        <w:rPr/>
        <w:drawing>
          <wp:anchor distT="0" distB="0" distL="0" distR="0" allowOverlap="1" layoutInCell="1" locked="0" behindDoc="1" simplePos="0" relativeHeight="485791744">
            <wp:simplePos x="0" y="0"/>
            <wp:positionH relativeFrom="page">
              <wp:posOffset>3312414</wp:posOffset>
            </wp:positionH>
            <wp:positionV relativeFrom="paragraph">
              <wp:posOffset>247433</wp:posOffset>
            </wp:positionV>
            <wp:extent cx="929640" cy="978408"/>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6" cstate="print"/>
                    <a:stretch>
                      <a:fillRect/>
                    </a:stretch>
                  </pic:blipFill>
                  <pic:spPr>
                    <a:xfrm>
                      <a:off x="0" y="0"/>
                      <a:ext cx="929640" cy="978408"/>
                    </a:xfrm>
                    <a:prstGeom prst="rect">
                      <a:avLst/>
                    </a:prstGeom>
                  </pic:spPr>
                </pic:pic>
              </a:graphicData>
            </a:graphic>
          </wp:anchor>
        </w:drawing>
      </w:r>
      <w:r>
        <w:rPr>
          <w:spacing w:val="-8"/>
        </w:rPr>
        <w:t>（</w:t>
      </w:r>
      <w:r>
        <w:rPr>
          <w:rFonts w:ascii="Times New Roman" w:eastAsia="Times New Roman"/>
          <w:spacing w:val="-8"/>
        </w:rPr>
        <w:t>Augier&amp;Teece</w:t>
      </w:r>
      <w:r>
        <w:rPr>
          <w:rFonts w:ascii="Times New Roman" w:eastAsia="Times New Roman"/>
          <w:spacing w:val="2"/>
        </w:rPr>
        <w:t>, </w:t>
      </w:r>
      <w:r>
        <w:rPr>
          <w:rFonts w:ascii="Times New Roman" w:eastAsia="Times New Roman"/>
          <w:spacing w:val="15"/>
        </w:rPr>
        <w:t>2009</w:t>
      </w:r>
      <w:r>
        <w:rPr>
          <w:spacing w:val="-103"/>
        </w:rPr>
        <w:t>）</w:t>
      </w:r>
      <w:r>
        <w:rPr>
          <w:spacing w:val="-128"/>
        </w:rPr>
        <w:t>。</w:t>
      </w:r>
    </w:p>
    <w:p>
      <w:pPr>
        <w:pStyle w:val="BodyText"/>
        <w:spacing w:before="21"/>
        <w:ind w:left="0"/>
        <w:jc w:val="left"/>
      </w:pPr>
    </w:p>
    <w:p>
      <w:pPr>
        <w:pStyle w:val="Heading4"/>
      </w:pPr>
      <w:r>
        <w:rPr>
          <w:spacing w:val="-1"/>
        </w:rPr>
        <w:t>跨界活動與資源和諧之關聯</w:t>
      </w:r>
    </w:p>
    <w:p>
      <w:pPr>
        <w:pStyle w:val="BodyText"/>
        <w:spacing w:line="422" w:lineRule="auto" w:before="359"/>
        <w:ind w:right="683" w:firstLine="479"/>
      </w:pPr>
      <w:r>
        <w:rPr>
          <w:rFonts w:ascii="Times New Roman" w:eastAsia="Times New Roman"/>
          <w:spacing w:val="-2"/>
        </w:rPr>
        <w:t>Ariwibowo</w:t>
      </w:r>
      <w:r>
        <w:rPr>
          <w:rFonts w:ascii="Times New Roman" w:eastAsia="Times New Roman"/>
          <w:spacing w:val="-13"/>
        </w:rPr>
        <w:t> </w:t>
      </w:r>
      <w:r>
        <w:rPr>
          <w:spacing w:val="-2"/>
        </w:rPr>
        <w:t>等人（</w:t>
      </w:r>
      <w:r>
        <w:rPr>
          <w:rFonts w:ascii="Times New Roman" w:eastAsia="Times New Roman"/>
          <w:spacing w:val="-2"/>
        </w:rPr>
        <w:t>2024</w:t>
      </w:r>
      <w:r>
        <w:rPr>
          <w:spacing w:val="-2"/>
        </w:rPr>
        <w:t>）指出，跨邊界活動對於組織的資源和諧具有顯著影</w:t>
      </w:r>
      <w:r>
        <w:rPr>
          <w:spacing w:val="-4"/>
        </w:rPr>
        <w:t>響。跨界活動能有效提升資源管理績效，幫助組織應對環境中的不確定性，並確保資源與策略目標保持一致。通過促進組織內外部資源的協調，跨界活動能夠顯</w:t>
      </w:r>
      <w:r>
        <w:rPr/>
        <w:t>著提高資源配置的效率和創新成果（</w:t>
      </w:r>
      <w:r>
        <w:rPr>
          <w:rFonts w:ascii="Times New Roman" w:eastAsia="Times New Roman"/>
        </w:rPr>
        <w:t>Wang et al., </w:t>
      </w:r>
      <w:r>
        <w:rPr>
          <w:rFonts w:ascii="Times New Roman" w:eastAsia="Times New Roman"/>
          <w:spacing w:val="23"/>
        </w:rPr>
        <w:t>202</w:t>
      </w:r>
      <w:r>
        <w:rPr>
          <w:rFonts w:ascii="Times New Roman" w:eastAsia="Times New Roman"/>
          <w:spacing w:val="24"/>
        </w:rPr>
        <w:t>0</w:t>
      </w:r>
      <w:r>
        <w:rPr>
          <w:spacing w:val="-97"/>
        </w:rPr>
        <w:t>）</w:t>
      </w:r>
      <w:r>
        <w:rPr>
          <w:spacing w:val="-120"/>
        </w:rPr>
        <w:t>。</w:t>
      </w:r>
    </w:p>
    <w:p>
      <w:pPr>
        <w:pStyle w:val="BodyText"/>
        <w:spacing w:line="422" w:lineRule="auto" w:before="103"/>
        <w:ind w:right="662" w:firstLine="479"/>
        <w:jc w:val="left"/>
      </w:pPr>
      <w:r>
        <w:rPr>
          <w:spacing w:val="-4"/>
        </w:rPr>
        <w:t>此外，數位平台在這一過程中扮演著重要角色，邊界跨越活動還能幫助組織</w:t>
      </w:r>
      <w:r>
        <w:rPr>
          <w:spacing w:val="15"/>
        </w:rPr>
        <w:t>更精確地收集和解釋數據，使資源部署更具策略性，並提高決策的一致性</w:t>
      </w:r>
    </w:p>
    <w:p>
      <w:pPr>
        <w:pStyle w:val="BodyText"/>
        <w:spacing w:line="305" w:lineRule="exact"/>
      </w:pPr>
      <w:r>
        <w:rPr/>
        <w:t>（</w:t>
      </w:r>
      <w:r>
        <w:rPr>
          <w:rFonts w:ascii="Times New Roman" w:eastAsia="Times New Roman"/>
        </w:rPr>
        <w:t>Jemison,</w:t>
      </w:r>
      <w:r>
        <w:rPr>
          <w:rFonts w:ascii="Times New Roman" w:eastAsia="Times New Roman"/>
          <w:spacing w:val="27"/>
        </w:rPr>
        <w:t> </w:t>
      </w:r>
      <w:r>
        <w:rPr>
          <w:rFonts w:ascii="Times New Roman" w:eastAsia="Times New Roman"/>
          <w:spacing w:val="17"/>
        </w:rPr>
        <w:t>198</w:t>
      </w:r>
      <w:r>
        <w:rPr>
          <w:rFonts w:ascii="Times New Roman" w:eastAsia="Times New Roman"/>
          <w:spacing w:val="33"/>
        </w:rPr>
        <w:t>4</w:t>
      </w:r>
      <w:r>
        <w:rPr>
          <w:spacing w:val="-84"/>
        </w:rPr>
        <w:t>）</w:t>
      </w:r>
      <w:r>
        <w:rPr>
          <w:spacing w:val="19"/>
        </w:rPr>
        <w:t>。</w:t>
      </w:r>
      <w:r>
        <w:rPr>
          <w:rFonts w:ascii="Times New Roman" w:eastAsia="Times New Roman"/>
        </w:rPr>
        <w:t>Yao</w:t>
      </w:r>
      <w:r>
        <w:rPr>
          <w:rFonts w:ascii="Times New Roman" w:eastAsia="Times New Roman"/>
          <w:spacing w:val="53"/>
        </w:rPr>
        <w:t> </w:t>
      </w:r>
      <w:r>
        <w:rPr>
          <w:spacing w:val="19"/>
        </w:rPr>
        <w:t>等人</w:t>
      </w:r>
      <w:r>
        <w:rPr/>
        <w:t>（</w:t>
      </w:r>
      <w:r>
        <w:rPr>
          <w:rFonts w:ascii="Times New Roman" w:eastAsia="Times New Roman"/>
        </w:rPr>
        <w:t>2009</w:t>
      </w:r>
      <w:r>
        <w:rPr/>
        <w:t>）</w:t>
      </w:r>
      <w:r>
        <w:rPr>
          <w:spacing w:val="14"/>
        </w:rPr>
        <w:t>的研究中表明，邊界跨越之資訊技術</w:t>
      </w:r>
    </w:p>
    <w:p>
      <w:pPr>
        <w:pStyle w:val="BodyText"/>
        <w:spacing w:line="422" w:lineRule="auto" w:before="233"/>
        <w:ind w:right="682"/>
      </w:pPr>
      <w:r>
        <w:rPr>
          <w:spacing w:val="-4"/>
        </w:rPr>
        <w:t>（</w:t>
      </w:r>
      <w:r>
        <w:rPr>
          <w:rFonts w:ascii="Times New Roman" w:eastAsia="Times New Roman"/>
          <w:spacing w:val="-4"/>
        </w:rPr>
        <w:t>boundary-spanning information technologies</w:t>
      </w:r>
      <w:r>
        <w:rPr>
          <w:spacing w:val="-4"/>
        </w:rPr>
        <w:t>，</w:t>
      </w:r>
      <w:r>
        <w:rPr>
          <w:rFonts w:ascii="Times New Roman" w:eastAsia="Times New Roman"/>
          <w:spacing w:val="-4"/>
        </w:rPr>
        <w:t>BSIT</w:t>
      </w:r>
      <w:r>
        <w:rPr>
          <w:spacing w:val="-4"/>
        </w:rPr>
        <w:t>）能夠有效降低運營成本、優化庫存管理，並提高客戶滿意度，進一步提升資源協調的效率。這些跨邊界活動</w:t>
      </w:r>
      <w:r>
        <w:rPr>
          <w:spacing w:val="-2"/>
        </w:rPr>
        <w:t>的成功應用展示了資源和諧如何與動態的市場環境互動，並在保持競爭力的同時促進持續創新。</w:t>
      </w:r>
    </w:p>
    <w:p>
      <w:pPr>
        <w:pStyle w:val="BodyText"/>
        <w:spacing w:after="0" w:line="422" w:lineRule="auto"/>
        <w:sectPr>
          <w:pgSz w:w="11910" w:h="16840"/>
          <w:pgMar w:header="0" w:footer="1197" w:top="1800" w:bottom="1380" w:left="1133" w:right="1133"/>
        </w:sectPr>
      </w:pPr>
    </w:p>
    <w:p>
      <w:pPr>
        <w:pStyle w:val="Heading2"/>
        <w:numPr>
          <w:ilvl w:val="1"/>
          <w:numId w:val="9"/>
        </w:numPr>
        <w:tabs>
          <w:tab w:pos="1047" w:val="left" w:leader="none"/>
        </w:tabs>
        <w:spacing w:line="522" w:lineRule="exact" w:before="0" w:after="0"/>
        <w:ind w:left="1047" w:right="0" w:hanging="478"/>
        <w:jc w:val="left"/>
      </w:pPr>
      <w:bookmarkStart w:name="_bookmark31" w:id="32"/>
      <w:bookmarkEnd w:id="32"/>
      <w:r>
        <w:rPr>
          <w:b w:val="0"/>
        </w:rPr>
      </w:r>
      <w:r>
        <w:rPr>
          <w:spacing w:val="-4"/>
        </w:rPr>
        <w:t>服務生態系統</w:t>
      </w:r>
    </w:p>
    <w:p>
      <w:pPr>
        <w:pStyle w:val="BodyText"/>
        <w:spacing w:line="422" w:lineRule="auto" w:before="312"/>
        <w:ind w:right="683" w:firstLine="479"/>
      </w:pPr>
      <w:r>
        <w:rPr>
          <w:spacing w:val="-12"/>
        </w:rPr>
        <w:t>服務生態系統</w:t>
      </w:r>
      <w:r>
        <w:rPr>
          <w:spacing w:val="-2"/>
        </w:rPr>
        <w:t>（</w:t>
      </w:r>
      <w:r>
        <w:rPr>
          <w:rFonts w:ascii="Times New Roman" w:eastAsia="Times New Roman"/>
          <w:spacing w:val="-2"/>
        </w:rPr>
        <w:t>Service</w:t>
      </w:r>
      <w:r>
        <w:rPr>
          <w:rFonts w:ascii="Times New Roman" w:eastAsia="Times New Roman"/>
          <w:spacing w:val="-13"/>
        </w:rPr>
        <w:t> </w:t>
      </w:r>
      <w:r>
        <w:rPr>
          <w:rFonts w:ascii="Times New Roman" w:eastAsia="Times New Roman"/>
          <w:spacing w:val="-2"/>
        </w:rPr>
        <w:t>Ecosystems</w:t>
      </w:r>
      <w:r>
        <w:rPr>
          <w:spacing w:val="-2"/>
        </w:rPr>
        <w:t>）是一種強調價值共創與資源整合的動態</w:t>
      </w:r>
      <w:r>
        <w:rPr>
          <w:spacing w:val="-4"/>
        </w:rPr>
        <w:t>網絡體系，服務生態系統是由多元行為者（如企業、顧客及其他利害關係人）</w:t>
      </w:r>
      <w:r>
        <w:rPr>
          <w:spacing w:val="-4"/>
        </w:rPr>
        <w:t>構</w:t>
      </w:r>
      <w:r>
        <w:rPr>
          <w:spacing w:val="-2"/>
        </w:rPr>
        <w:t>成的開放且自我調整的動態網絡（</w:t>
      </w:r>
      <w:r>
        <w:rPr>
          <w:rFonts w:ascii="Times New Roman" w:eastAsia="Times New Roman"/>
          <w:spacing w:val="-2"/>
        </w:rPr>
        <w:t>Lusch</w:t>
      </w:r>
      <w:r>
        <w:rPr>
          <w:rFonts w:ascii="Times New Roman" w:eastAsia="Times New Roman"/>
          <w:spacing w:val="-3"/>
        </w:rPr>
        <w:t> </w:t>
      </w:r>
      <w:r>
        <w:rPr>
          <w:rFonts w:ascii="Times New Roman" w:eastAsia="Times New Roman"/>
          <w:spacing w:val="-2"/>
        </w:rPr>
        <w:t>&amp;</w:t>
      </w:r>
      <w:r>
        <w:rPr>
          <w:rFonts w:ascii="Times New Roman" w:eastAsia="Times New Roman"/>
          <w:spacing w:val="-8"/>
        </w:rPr>
        <w:t> </w:t>
      </w:r>
      <w:r>
        <w:rPr>
          <w:rFonts w:ascii="Times New Roman" w:eastAsia="Times New Roman"/>
          <w:spacing w:val="-2"/>
        </w:rPr>
        <w:t>Vargo,</w:t>
      </w:r>
      <w:r>
        <w:rPr>
          <w:rFonts w:ascii="Times New Roman" w:eastAsia="Times New Roman"/>
          <w:spacing w:val="-3"/>
        </w:rPr>
        <w:t> </w:t>
      </w:r>
      <w:r>
        <w:rPr>
          <w:rFonts w:ascii="Times New Roman" w:eastAsia="Times New Roman"/>
          <w:spacing w:val="21"/>
        </w:rPr>
        <w:t>201</w:t>
      </w:r>
      <w:r>
        <w:rPr>
          <w:rFonts w:ascii="Times New Roman" w:eastAsia="Times New Roman"/>
          <w:spacing w:val="22"/>
        </w:rPr>
        <w:t>4</w:t>
      </w:r>
      <w:r>
        <w:rPr>
          <w:spacing w:val="-99"/>
        </w:rPr>
        <w:t>）</w:t>
      </w:r>
      <w:r>
        <w:rPr>
          <w:spacing w:val="-2"/>
        </w:rPr>
        <w:t>。行為者在這一系統中通過資源整合和服務交換共同創造價值，其核心理念是透過行為者之間的協同</w:t>
      </w:r>
      <w:r>
        <w:rPr/>
        <w:t>互動，以實現系統內的整體價值創造（</w:t>
      </w:r>
      <w:r>
        <w:rPr>
          <w:rFonts w:ascii="Times New Roman" w:eastAsia="Times New Roman"/>
        </w:rPr>
        <w:t>Chandler</w:t>
      </w:r>
      <w:r>
        <w:rPr>
          <w:rFonts w:ascii="Times New Roman" w:eastAsia="Times New Roman"/>
          <w:spacing w:val="-4"/>
        </w:rPr>
        <w:t> </w:t>
      </w:r>
      <w:r>
        <w:rPr>
          <w:rFonts w:ascii="Times New Roman" w:eastAsia="Times New Roman"/>
        </w:rPr>
        <w:t>&amp;</w:t>
      </w:r>
      <w:r>
        <w:rPr>
          <w:rFonts w:ascii="Times New Roman" w:eastAsia="Times New Roman"/>
          <w:spacing w:val="-7"/>
        </w:rPr>
        <w:t> </w:t>
      </w:r>
      <w:r>
        <w:rPr>
          <w:rFonts w:ascii="Times New Roman" w:eastAsia="Times New Roman"/>
        </w:rPr>
        <w:t>Vargo,</w:t>
      </w:r>
      <w:r>
        <w:rPr>
          <w:rFonts w:ascii="Times New Roman" w:eastAsia="Times New Roman"/>
          <w:spacing w:val="-2"/>
        </w:rPr>
        <w:t> </w:t>
      </w:r>
      <w:r>
        <w:rPr>
          <w:rFonts w:ascii="Times New Roman" w:eastAsia="Times New Roman"/>
          <w:spacing w:val="26"/>
        </w:rPr>
        <w:t>20</w:t>
      </w:r>
      <w:r>
        <w:rPr>
          <w:rFonts w:ascii="Times New Roman" w:eastAsia="Times New Roman"/>
          <w:spacing w:val="16"/>
        </w:rPr>
        <w:t>1</w:t>
      </w:r>
      <w:r>
        <w:rPr>
          <w:rFonts w:ascii="Times New Roman" w:eastAsia="Times New Roman"/>
          <w:spacing w:val="26"/>
        </w:rPr>
        <w:t>1</w:t>
      </w:r>
      <w:r>
        <w:rPr>
          <w:spacing w:val="-94"/>
        </w:rPr>
        <w:t>）</w:t>
      </w:r>
      <w:r>
        <w:rPr>
          <w:spacing w:val="-120"/>
        </w:rPr>
        <w:t>。</w:t>
      </w:r>
    </w:p>
    <w:p>
      <w:pPr>
        <w:pStyle w:val="BodyText"/>
        <w:spacing w:before="103"/>
        <w:ind w:left="599" w:right="118"/>
        <w:jc w:val="center"/>
      </w:pPr>
      <w:r>
        <w:rPr>
          <w:spacing w:val="-2"/>
        </w:rPr>
        <w:t>服務主導邏輯（</w:t>
      </w:r>
      <w:r>
        <w:rPr>
          <w:rFonts w:ascii="Times New Roman" w:eastAsia="Times New Roman"/>
          <w:spacing w:val="-2"/>
        </w:rPr>
        <w:t>Service-Dominant</w:t>
      </w:r>
      <w:r>
        <w:rPr>
          <w:rFonts w:ascii="Times New Roman" w:eastAsia="Times New Roman"/>
          <w:spacing w:val="15"/>
        </w:rPr>
        <w:t> </w:t>
      </w:r>
      <w:r>
        <w:rPr>
          <w:rFonts w:ascii="Times New Roman" w:eastAsia="Times New Roman"/>
          <w:spacing w:val="-2"/>
        </w:rPr>
        <w:t>Logic</w:t>
      </w:r>
      <w:r>
        <w:rPr>
          <w:rFonts w:ascii="Times New Roman" w:eastAsia="Times New Roman"/>
          <w:spacing w:val="6"/>
        </w:rPr>
        <w:t>, </w:t>
      </w:r>
      <w:r>
        <w:rPr>
          <w:rFonts w:ascii="Times New Roman" w:eastAsia="Times New Roman"/>
          <w:spacing w:val="-2"/>
        </w:rPr>
        <w:t>S-D</w:t>
      </w:r>
      <w:r>
        <w:rPr>
          <w:rFonts w:ascii="Times New Roman" w:eastAsia="Times New Roman"/>
          <w:spacing w:val="15"/>
        </w:rPr>
        <w:t> </w:t>
      </w:r>
      <w:r>
        <w:rPr>
          <w:rFonts w:ascii="Times New Roman" w:eastAsia="Times New Roman"/>
          <w:spacing w:val="-2"/>
        </w:rPr>
        <w:t>Logic</w:t>
      </w:r>
      <w:r>
        <w:rPr>
          <w:spacing w:val="-2"/>
        </w:rPr>
        <w:t>）</w:t>
      </w:r>
      <w:r>
        <w:rPr>
          <w:spacing w:val="-3"/>
        </w:rPr>
        <w:t>與生態系統適應性循環</w:t>
      </w:r>
    </w:p>
    <w:p>
      <w:pPr>
        <w:pStyle w:val="BodyText"/>
        <w:spacing w:line="422" w:lineRule="auto" w:before="232"/>
        <w:ind w:right="683"/>
      </w:pPr>
      <w:r>
        <w:rPr/>
        <w:drawing>
          <wp:anchor distT="0" distB="0" distL="0" distR="0" allowOverlap="1" layoutInCell="1" locked="0" behindDoc="1" simplePos="0" relativeHeight="485792256">
            <wp:simplePos x="0" y="0"/>
            <wp:positionH relativeFrom="page">
              <wp:posOffset>3312414</wp:posOffset>
            </wp:positionH>
            <wp:positionV relativeFrom="paragraph">
              <wp:posOffset>1177218</wp:posOffset>
            </wp:positionV>
            <wp:extent cx="929640" cy="978408"/>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 cstate="print"/>
                    <a:stretch>
                      <a:fillRect/>
                    </a:stretch>
                  </pic:blipFill>
                  <pic:spPr>
                    <a:xfrm>
                      <a:off x="0" y="0"/>
                      <a:ext cx="929640" cy="978408"/>
                    </a:xfrm>
                    <a:prstGeom prst="rect">
                      <a:avLst/>
                    </a:prstGeom>
                  </pic:spPr>
                </pic:pic>
              </a:graphicData>
            </a:graphic>
          </wp:anchor>
        </w:drawing>
      </w:r>
      <w:r>
        <w:rPr/>
        <w:t>（</w:t>
      </w:r>
      <w:r>
        <w:rPr>
          <w:rFonts w:ascii="Times New Roman" w:eastAsia="Times New Roman"/>
        </w:rPr>
        <w:t>Adaptive Cycle</w:t>
      </w:r>
      <w:r>
        <w:rPr/>
        <w:t>）作為此理論的兩大核心基石，分別從價值共創與動態平衡的</w:t>
      </w:r>
      <w:r>
        <w:rPr>
          <w:spacing w:val="-4"/>
        </w:rPr>
        <w:t>角度，闡釋了服務生態系統在持續演化中如何實現創新與永續發展。服務主導邏</w:t>
      </w:r>
      <w:r>
        <w:rPr>
          <w:spacing w:val="-2"/>
        </w:rPr>
        <w:t>輯核心思想是價值並非由單一生產者創造，而是在服務交換過程中由多方行為</w:t>
      </w:r>
      <w:r>
        <w:rPr>
          <w:spacing w:val="-8"/>
        </w:rPr>
        <w:t>者共同創造（</w:t>
      </w:r>
      <w:r>
        <w:rPr>
          <w:rFonts w:ascii="Times New Roman" w:eastAsia="Times New Roman"/>
          <w:spacing w:val="-8"/>
        </w:rPr>
        <w:t>Vargo</w:t>
      </w:r>
      <w:r>
        <w:rPr>
          <w:rFonts w:ascii="Times New Roman" w:eastAsia="Times New Roman"/>
        </w:rPr>
        <w:t> </w:t>
      </w:r>
      <w:r>
        <w:rPr>
          <w:rFonts w:ascii="Times New Roman" w:eastAsia="Times New Roman"/>
          <w:spacing w:val="-8"/>
        </w:rPr>
        <w:t>&amp;</w:t>
      </w:r>
      <w:r>
        <w:rPr>
          <w:rFonts w:ascii="Times New Roman" w:eastAsia="Times New Roman"/>
        </w:rPr>
        <w:t> </w:t>
      </w:r>
      <w:r>
        <w:rPr>
          <w:rFonts w:ascii="Times New Roman" w:eastAsia="Times New Roman"/>
          <w:spacing w:val="-8"/>
        </w:rPr>
        <w:t>Lusch,</w:t>
      </w:r>
      <w:r>
        <w:rPr>
          <w:rFonts w:ascii="Times New Roman" w:eastAsia="Times New Roman"/>
        </w:rPr>
        <w:t> </w:t>
      </w:r>
      <w:r>
        <w:rPr>
          <w:rFonts w:ascii="Times New Roman" w:eastAsia="Times New Roman"/>
          <w:spacing w:val="20"/>
        </w:rPr>
        <w:t>2004</w:t>
      </w:r>
      <w:r>
        <w:rPr>
          <w:spacing w:val="-120"/>
        </w:rPr>
        <w:t>）</w:t>
      </w:r>
      <w:r>
        <w:rPr>
          <w:spacing w:val="-8"/>
        </w:rPr>
        <w:t>。在這一理論框架下，行為者的角色被重新定</w:t>
      </w:r>
      <w:r>
        <w:rPr>
          <w:spacing w:val="-4"/>
        </w:rPr>
        <w:t>義，視為資源整合者與價值共同創造者，強調協作與互動在資源管理中的關鍵作用（</w:t>
      </w:r>
      <w:r>
        <w:rPr>
          <w:rFonts w:ascii="Times New Roman" w:eastAsia="Times New Roman"/>
          <w:spacing w:val="-4"/>
        </w:rPr>
        <w:t>Vargo</w:t>
      </w:r>
      <w:r>
        <w:rPr>
          <w:rFonts w:ascii="Times New Roman" w:eastAsia="Times New Roman"/>
          <w:spacing w:val="-11"/>
        </w:rPr>
        <w:t> </w:t>
      </w:r>
      <w:r>
        <w:rPr>
          <w:rFonts w:ascii="Times New Roman" w:eastAsia="Times New Roman"/>
          <w:spacing w:val="-4"/>
        </w:rPr>
        <w:t>et</w:t>
      </w:r>
      <w:r>
        <w:rPr>
          <w:rFonts w:ascii="Times New Roman" w:eastAsia="Times New Roman"/>
          <w:spacing w:val="-11"/>
        </w:rPr>
        <w:t> </w:t>
      </w:r>
      <w:r>
        <w:rPr>
          <w:rFonts w:ascii="Times New Roman" w:eastAsia="Times New Roman"/>
          <w:spacing w:val="-4"/>
        </w:rPr>
        <w:t>al.,</w:t>
      </w:r>
      <w:r>
        <w:rPr>
          <w:rFonts w:ascii="Times New Roman" w:eastAsia="Times New Roman"/>
          <w:spacing w:val="-11"/>
        </w:rPr>
        <w:t> </w:t>
      </w:r>
      <w:r>
        <w:rPr>
          <w:rFonts w:ascii="Times New Roman" w:eastAsia="Times New Roman"/>
          <w:spacing w:val="20"/>
        </w:rPr>
        <w:t>2008</w:t>
      </w:r>
      <w:r>
        <w:rPr>
          <w:spacing w:val="-100"/>
        </w:rPr>
        <w:t>）</w:t>
      </w:r>
      <w:r>
        <w:rPr>
          <w:spacing w:val="-4"/>
        </w:rPr>
        <w:t>。服務主導邏輯的主要原則包含服務為交換的本質、價值</w:t>
      </w:r>
      <w:r>
        <w:rPr>
          <w:spacing w:val="-2"/>
        </w:rPr>
        <w:t>共創以及行為者在資源整合中的積極角色。這些原則共同構建了一個以服務為核心的價值創造觀點。</w:t>
      </w:r>
    </w:p>
    <w:p>
      <w:pPr>
        <w:pStyle w:val="BodyText"/>
        <w:spacing w:line="422" w:lineRule="auto" w:before="99"/>
        <w:ind w:right="688" w:firstLine="479"/>
        <w:jc w:val="right"/>
      </w:pPr>
      <w:r>
        <w:rPr/>
        <w:t>生態系統適應性循環（</w:t>
      </w:r>
      <w:r>
        <w:rPr>
          <w:rFonts w:ascii="Times New Roman" w:eastAsia="Times New Roman"/>
        </w:rPr>
        <w:t>Adaptive Cycle</w:t>
      </w:r>
      <w:r>
        <w:rPr/>
        <w:t>）描述了服務生態系統中穩定性與變</w:t>
      </w:r>
      <w:r>
        <w:rPr>
          <w:spacing w:val="-1"/>
        </w:rPr>
        <w:t>化的交替過程。這一過程能夠解釋系統如何在動盪與不確定性中持續運作與發</w:t>
      </w:r>
    </w:p>
    <w:p>
      <w:pPr>
        <w:pStyle w:val="BodyText"/>
        <w:spacing w:line="360" w:lineRule="exact"/>
        <w:ind w:left="0" w:right="683"/>
        <w:jc w:val="right"/>
        <w:rPr>
          <w:rFonts w:ascii="Microsoft JhengHei" w:eastAsia="Microsoft JhengHei"/>
          <w:b/>
        </w:rPr>
      </w:pPr>
      <w:r>
        <w:rPr>
          <w:spacing w:val="-2"/>
        </w:rPr>
        <w:t>展（</w:t>
      </w:r>
      <w:r>
        <w:rPr>
          <w:rFonts w:ascii="Times New Roman" w:eastAsia="Times New Roman"/>
          <w:spacing w:val="-2"/>
        </w:rPr>
        <w:t>Goda</w:t>
      </w:r>
      <w:r>
        <w:rPr>
          <w:rFonts w:ascii="Times New Roman" w:eastAsia="Times New Roman"/>
          <w:spacing w:val="4"/>
        </w:rPr>
        <w:t> </w:t>
      </w:r>
      <w:r>
        <w:rPr>
          <w:rFonts w:ascii="Times New Roman" w:eastAsia="Times New Roman"/>
          <w:spacing w:val="-2"/>
        </w:rPr>
        <w:t>&amp;</w:t>
      </w:r>
      <w:r>
        <w:rPr>
          <w:rFonts w:ascii="Times New Roman" w:eastAsia="Times New Roman"/>
          <w:spacing w:val="6"/>
        </w:rPr>
        <w:t> </w:t>
      </w:r>
      <w:r>
        <w:rPr>
          <w:rFonts w:ascii="Times New Roman" w:eastAsia="Times New Roman"/>
          <w:spacing w:val="-2"/>
        </w:rPr>
        <w:t>Kijima,</w:t>
      </w:r>
      <w:r>
        <w:rPr>
          <w:rFonts w:ascii="Times New Roman" w:eastAsia="Times New Roman"/>
          <w:spacing w:val="6"/>
        </w:rPr>
        <w:t> </w:t>
      </w:r>
      <w:r>
        <w:rPr>
          <w:rFonts w:ascii="Times New Roman" w:eastAsia="Times New Roman"/>
          <w:spacing w:val="21"/>
        </w:rPr>
        <w:t>201</w:t>
      </w:r>
      <w:r>
        <w:rPr>
          <w:rFonts w:ascii="Times New Roman" w:eastAsia="Times New Roman"/>
          <w:spacing w:val="22"/>
        </w:rPr>
        <w:t>5</w:t>
      </w:r>
      <w:r>
        <w:rPr>
          <w:spacing w:val="-99"/>
        </w:rPr>
        <w:t>）</w:t>
      </w:r>
      <w:r>
        <w:rPr>
          <w:spacing w:val="-2"/>
        </w:rPr>
        <w:t>。其動態框架由四個階段構成，分別是</w:t>
      </w:r>
      <w:r>
        <w:rPr>
          <w:rFonts w:ascii="Microsoft JhengHei" w:eastAsia="Microsoft JhengHei"/>
          <w:b/>
          <w:spacing w:val="-4"/>
        </w:rPr>
        <w:t>開拓、保守、</w:t>
      </w:r>
    </w:p>
    <w:p>
      <w:pPr>
        <w:pStyle w:val="BodyText"/>
        <w:spacing w:before="99"/>
        <w:jc w:val="left"/>
      </w:pPr>
      <w:r>
        <w:rPr>
          <w:rFonts w:ascii="Microsoft JhengHei" w:eastAsia="Microsoft JhengHei"/>
          <w:b/>
          <w:spacing w:val="-4"/>
        </w:rPr>
        <w:t>釋放與重組</w:t>
      </w:r>
      <w:r>
        <w:rPr>
          <w:spacing w:val="-5"/>
        </w:rPr>
        <w:t>。在開拓階段，資源集中於創新與市場擴展；保守階段則強調經驗與</w:t>
      </w:r>
    </w:p>
    <w:p>
      <w:pPr>
        <w:pStyle w:val="BodyText"/>
        <w:spacing w:line="422" w:lineRule="auto" w:before="178"/>
        <w:ind w:right="470"/>
        <w:jc w:val="left"/>
      </w:pPr>
      <w:r>
        <w:rPr>
          <w:spacing w:val="-2"/>
        </w:rPr>
        <w:t>資源的積累；當內外部壓力超過系統承受能力時，進入釋放階段，釋放積累的資</w:t>
      </w:r>
      <w:r>
        <w:rPr>
          <w:spacing w:val="-6"/>
        </w:rPr>
        <w:t>源並促進轉型；隨後在重組階段進行調整與適應，為新一輪的價值創造奠定基礎。</w:t>
      </w:r>
      <w:r>
        <w:rPr>
          <w:spacing w:val="-2"/>
        </w:rPr>
        <w:t>這一循環為理解服務生態系統如何在穩定與變化之間取得動態平衡提供了理論</w:t>
      </w:r>
      <w:r>
        <w:rPr>
          <w:spacing w:val="80"/>
        </w:rPr>
        <w:t> </w:t>
      </w:r>
      <w:r>
        <w:rPr/>
        <w:t>依據（</w:t>
      </w:r>
      <w:r>
        <w:rPr>
          <w:rFonts w:ascii="Times New Roman" w:eastAsia="Times New Roman"/>
        </w:rPr>
        <w:t>Wieland et al., </w:t>
      </w:r>
      <w:r>
        <w:rPr>
          <w:rFonts w:ascii="Times New Roman" w:eastAsia="Times New Roman"/>
          <w:spacing w:val="23"/>
        </w:rPr>
        <w:t>2</w:t>
      </w:r>
      <w:r>
        <w:rPr>
          <w:rFonts w:ascii="Times New Roman" w:eastAsia="Times New Roman"/>
          <w:spacing w:val="25"/>
        </w:rPr>
        <w:t>0</w:t>
      </w:r>
      <w:r>
        <w:rPr>
          <w:rFonts w:ascii="Times New Roman" w:eastAsia="Times New Roman"/>
          <w:spacing w:val="23"/>
        </w:rPr>
        <w:t>12</w:t>
      </w:r>
      <w:r>
        <w:rPr>
          <w:spacing w:val="-97"/>
        </w:rPr>
        <w:t>）</w:t>
      </w:r>
      <w:r>
        <w:rPr>
          <w:spacing w:val="-120"/>
        </w:rPr>
        <w:t>。</w:t>
      </w:r>
    </w:p>
    <w:p>
      <w:pPr>
        <w:pStyle w:val="BodyText"/>
        <w:spacing w:after="0" w:line="422" w:lineRule="auto"/>
        <w:jc w:val="left"/>
        <w:sectPr>
          <w:pgSz w:w="11910" w:h="16840"/>
          <w:pgMar w:header="0" w:footer="1197" w:top="1780" w:bottom="1380" w:left="1133" w:right="1133"/>
        </w:sectPr>
      </w:pPr>
    </w:p>
    <w:p>
      <w:pPr>
        <w:pStyle w:val="Heading1"/>
        <w:ind w:right="598"/>
      </w:pPr>
      <w:bookmarkStart w:name="_bookmark32" w:id="33"/>
      <w:bookmarkEnd w:id="33"/>
      <w:r>
        <w:rPr>
          <w:b w:val="0"/>
        </w:rPr>
      </w:r>
      <w:r>
        <w:rPr>
          <w:spacing w:val="-2"/>
        </w:rPr>
        <w:t>第三章、研究方法</w:t>
      </w:r>
    </w:p>
    <w:p>
      <w:pPr>
        <w:pStyle w:val="BodyText"/>
        <w:spacing w:line="422" w:lineRule="auto" w:before="349"/>
        <w:ind w:right="683" w:firstLine="479"/>
      </w:pPr>
      <w:r>
        <w:rPr>
          <w:spacing w:val="-6"/>
        </w:rPr>
        <w:t>本章節將分為五小節，第一節說明本研究所採用之個案研究法，第二節則依</w:t>
      </w:r>
      <w:r>
        <w:rPr>
          <w:spacing w:val="-4"/>
        </w:rPr>
        <w:t>據文獻探討內容推導研究架構，第三節歸納架構中觀察重點，第四節介紹個案研</w:t>
      </w:r>
      <w:r>
        <w:rPr>
          <w:spacing w:val="-2"/>
        </w:rPr>
        <w:t>究對象，第五節詳述資料收集來源與分析方式。</w:t>
      </w:r>
    </w:p>
    <w:p>
      <w:pPr>
        <w:pStyle w:val="Heading2"/>
        <w:numPr>
          <w:ilvl w:val="1"/>
          <w:numId w:val="12"/>
        </w:numPr>
        <w:tabs>
          <w:tab w:pos="1047" w:val="left" w:leader="none"/>
        </w:tabs>
        <w:spacing w:line="240" w:lineRule="auto" w:before="104" w:after="0"/>
        <w:ind w:left="1047" w:right="0" w:hanging="478"/>
        <w:jc w:val="left"/>
      </w:pPr>
      <w:bookmarkStart w:name="_bookmark33" w:id="34"/>
      <w:bookmarkEnd w:id="34"/>
      <w:r>
        <w:rPr>
          <w:rFonts w:ascii="Times New Roman" w:eastAsia="Times New Roman"/>
          <w:spacing w:val="-1"/>
        </w:rPr>
      </w:r>
      <w:r>
        <w:rPr>
          <w:spacing w:val="-4"/>
        </w:rPr>
        <w:t>研究方法</w:t>
      </w:r>
    </w:p>
    <w:p>
      <w:pPr>
        <w:pStyle w:val="BodyText"/>
        <w:spacing w:line="422" w:lineRule="auto" w:before="313"/>
        <w:ind w:right="683" w:firstLine="479"/>
      </w:pPr>
      <w:r>
        <w:rPr>
          <w:spacing w:val="-11"/>
        </w:rPr>
        <w:t>常見的學術研究方法可分為兩大主要類型：質性研究</w:t>
      </w:r>
      <w:r>
        <w:rPr/>
        <w:t>（</w:t>
      </w:r>
      <w:r>
        <w:rPr>
          <w:rFonts w:ascii="Times New Roman" w:eastAsia="Times New Roman"/>
        </w:rPr>
        <w:t>Qualitative</w:t>
      </w:r>
      <w:r>
        <w:rPr>
          <w:rFonts w:ascii="Times New Roman" w:eastAsia="Times New Roman"/>
          <w:spacing w:val="-15"/>
        </w:rPr>
        <w:t> </w:t>
      </w:r>
      <w:r>
        <w:rPr>
          <w:rFonts w:ascii="Times New Roman" w:eastAsia="Times New Roman"/>
        </w:rPr>
        <w:t>Research</w:t>
      </w:r>
      <w:r>
        <w:rPr/>
        <w:t>）</w:t>
      </w:r>
      <w:r>
        <w:rPr>
          <w:spacing w:val="-6"/>
        </w:rPr>
        <w:t>與量化研究（</w:t>
      </w:r>
      <w:r>
        <w:rPr>
          <w:rFonts w:ascii="Times New Roman" w:eastAsia="Times New Roman"/>
          <w:spacing w:val="-6"/>
        </w:rPr>
        <w:t>Quantitative </w:t>
      </w:r>
      <w:r>
        <w:rPr>
          <w:rFonts w:ascii="Times New Roman" w:eastAsia="Times New Roman"/>
          <w:spacing w:val="9"/>
        </w:rPr>
        <w:t>R</w:t>
      </w:r>
      <w:r>
        <w:rPr>
          <w:rFonts w:ascii="Times New Roman" w:eastAsia="Times New Roman"/>
          <w:spacing w:val="8"/>
        </w:rPr>
        <w:t>e</w:t>
      </w:r>
      <w:r>
        <w:rPr>
          <w:rFonts w:ascii="Times New Roman" w:eastAsia="Times New Roman"/>
          <w:spacing w:val="9"/>
        </w:rPr>
        <w:t>s</w:t>
      </w:r>
      <w:r>
        <w:rPr>
          <w:rFonts w:ascii="Times New Roman" w:eastAsia="Times New Roman"/>
          <w:spacing w:val="8"/>
        </w:rPr>
        <w:t>ea</w:t>
      </w:r>
      <w:r>
        <w:rPr>
          <w:rFonts w:ascii="Times New Roman" w:eastAsia="Times New Roman"/>
          <w:spacing w:val="10"/>
        </w:rPr>
        <w:t>r</w:t>
      </w:r>
      <w:r>
        <w:rPr>
          <w:rFonts w:ascii="Times New Roman" w:eastAsia="Times New Roman"/>
          <w:spacing w:val="8"/>
        </w:rPr>
        <w:t>c</w:t>
      </w:r>
      <w:r>
        <w:rPr>
          <w:rFonts w:ascii="Times New Roman" w:eastAsia="Times New Roman"/>
          <w:spacing w:val="10"/>
        </w:rPr>
        <w:t>h</w:t>
      </w:r>
      <w:r>
        <w:rPr>
          <w:spacing w:val="-126"/>
        </w:rPr>
        <w:t>）</w:t>
      </w:r>
      <w:r>
        <w:rPr>
          <w:spacing w:val="-6"/>
        </w:rPr>
        <w:t>。 這兩種方法在研究性質、資料蒐集方式和</w:t>
      </w:r>
      <w:r>
        <w:rPr>
          <w:spacing w:val="-2"/>
        </w:rPr>
        <w:t>分析技術上存在顯著差異，適用於不同的研究需求與背景。</w:t>
      </w:r>
    </w:p>
    <w:p>
      <w:pPr>
        <w:pStyle w:val="BodyText"/>
        <w:spacing w:before="25"/>
        <w:ind w:left="1168"/>
      </w:pPr>
      <w:r>
        <w:rPr>
          <w:rFonts w:ascii="Microsoft JhengHei" w:eastAsia="Microsoft JhengHei"/>
          <w:b/>
          <w:spacing w:val="19"/>
        </w:rPr>
        <w:t>質性研究</w:t>
      </w:r>
      <w:r>
        <w:rPr>
          <w:spacing w:val="17"/>
        </w:rPr>
        <w:t>以主觀性為核心，揭示經驗與社會現象背後豐富的背景資訊</w:t>
      </w:r>
    </w:p>
    <w:p>
      <w:pPr>
        <w:pStyle w:val="BodyText"/>
        <w:spacing w:line="422" w:lineRule="auto" w:before="178"/>
        <w:ind w:right="684"/>
      </w:pPr>
      <w:r>
        <w:rPr/>
        <w:drawing>
          <wp:anchor distT="0" distB="0" distL="0" distR="0" allowOverlap="1" layoutInCell="1" locked="0" behindDoc="1" simplePos="0" relativeHeight="485792768">
            <wp:simplePos x="0" y="0"/>
            <wp:positionH relativeFrom="page">
              <wp:posOffset>3312414</wp:posOffset>
            </wp:positionH>
            <wp:positionV relativeFrom="paragraph">
              <wp:posOffset>114090</wp:posOffset>
            </wp:positionV>
            <wp:extent cx="929640" cy="978408"/>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 cstate="print"/>
                    <a:stretch>
                      <a:fillRect/>
                    </a:stretch>
                  </pic:blipFill>
                  <pic:spPr>
                    <a:xfrm>
                      <a:off x="0" y="0"/>
                      <a:ext cx="929640" cy="978408"/>
                    </a:xfrm>
                    <a:prstGeom prst="rect">
                      <a:avLst/>
                    </a:prstGeom>
                  </pic:spPr>
                </pic:pic>
              </a:graphicData>
            </a:graphic>
          </wp:anchor>
        </w:drawing>
      </w:r>
      <w:r>
        <w:rPr>
          <w:spacing w:val="-8"/>
        </w:rPr>
        <w:t>（</w:t>
      </w:r>
      <w:r>
        <w:rPr>
          <w:rFonts w:ascii="Times New Roman" w:eastAsia="Times New Roman"/>
          <w:spacing w:val="-8"/>
        </w:rPr>
        <w:t>Pandey, 2024</w:t>
      </w:r>
      <w:r>
        <w:rPr>
          <w:spacing w:val="-8"/>
        </w:rPr>
        <w:t>；</w:t>
      </w:r>
      <w:r>
        <w:rPr>
          <w:rFonts w:ascii="Times New Roman" w:eastAsia="Times New Roman"/>
          <w:spacing w:val="-8"/>
        </w:rPr>
        <w:t>Haki</w:t>
      </w:r>
      <w:r>
        <w:rPr>
          <w:rFonts w:ascii="Times New Roman" w:eastAsia="Times New Roman"/>
          <w:spacing w:val="-7"/>
        </w:rPr>
        <w:t> </w:t>
      </w:r>
      <w:r>
        <w:rPr>
          <w:rFonts w:ascii="Times New Roman" w:eastAsia="Times New Roman"/>
          <w:spacing w:val="-8"/>
        </w:rPr>
        <w:t>et</w:t>
      </w:r>
      <w:r>
        <w:rPr>
          <w:rFonts w:ascii="Times New Roman" w:eastAsia="Times New Roman"/>
          <w:spacing w:val="-7"/>
        </w:rPr>
        <w:t> </w:t>
      </w:r>
      <w:r>
        <w:rPr>
          <w:rFonts w:ascii="Times New Roman" w:eastAsia="Times New Roman"/>
          <w:spacing w:val="-8"/>
        </w:rPr>
        <w:t>al.,</w:t>
      </w:r>
      <w:r>
        <w:rPr>
          <w:rFonts w:ascii="Times New Roman" w:eastAsia="Times New Roman"/>
          <w:spacing w:val="-7"/>
        </w:rPr>
        <w:t> </w:t>
      </w:r>
      <w:r>
        <w:rPr>
          <w:rFonts w:ascii="Times New Roman" w:eastAsia="Times New Roman"/>
          <w:spacing w:val="24"/>
        </w:rPr>
        <w:t>2024</w:t>
      </w:r>
      <w:r>
        <w:rPr>
          <w:spacing w:val="-137"/>
        </w:rPr>
        <w:t>）</w:t>
      </w:r>
      <w:r>
        <w:rPr>
          <w:spacing w:val="-8"/>
        </w:rPr>
        <w:t>。其常用的資料蒐集方法包括深度訪談和觀察，</w:t>
      </w:r>
      <w:r>
        <w:rPr>
          <w:spacing w:val="-2"/>
        </w:rPr>
        <w:t>具有靈活性並能深入挖掘研究對象的行為和經歷（</w:t>
      </w:r>
      <w:r>
        <w:rPr>
          <w:rFonts w:ascii="Times New Roman" w:eastAsia="Times New Roman"/>
          <w:spacing w:val="-2"/>
        </w:rPr>
        <w:t>Muurlink</w:t>
      </w:r>
      <w:r>
        <w:rPr>
          <w:rFonts w:ascii="Times New Roman" w:eastAsia="Times New Roman"/>
          <w:spacing w:val="-3"/>
        </w:rPr>
        <w:t> </w:t>
      </w:r>
      <w:r>
        <w:rPr>
          <w:rFonts w:ascii="Times New Roman" w:eastAsia="Times New Roman"/>
          <w:spacing w:val="-2"/>
        </w:rPr>
        <w:t>&amp;</w:t>
      </w:r>
      <w:r>
        <w:rPr>
          <w:rFonts w:ascii="Times New Roman" w:eastAsia="Times New Roman"/>
          <w:spacing w:val="-9"/>
        </w:rPr>
        <w:t> </w:t>
      </w:r>
      <w:r>
        <w:rPr>
          <w:rFonts w:ascii="Times New Roman" w:eastAsia="Times New Roman"/>
          <w:spacing w:val="-2"/>
        </w:rPr>
        <w:t>Thomsen,</w:t>
      </w:r>
      <w:r>
        <w:rPr>
          <w:rFonts w:ascii="Times New Roman" w:eastAsia="Times New Roman"/>
          <w:spacing w:val="-4"/>
        </w:rPr>
        <w:t> </w:t>
      </w:r>
      <w:r>
        <w:rPr>
          <w:rFonts w:ascii="Times New Roman" w:eastAsia="Times New Roman"/>
          <w:spacing w:val="24"/>
        </w:rPr>
        <w:t>2024</w:t>
      </w:r>
      <w:r>
        <w:rPr>
          <w:spacing w:val="-108"/>
        </w:rPr>
        <w:t>）</w:t>
      </w:r>
      <w:r>
        <w:rPr>
          <w:spacing w:val="-132"/>
        </w:rPr>
        <w:t>。</w:t>
      </w:r>
    </w:p>
    <w:p>
      <w:pPr>
        <w:pStyle w:val="BodyText"/>
        <w:spacing w:line="336" w:lineRule="auto" w:before="27"/>
        <w:ind w:right="683" w:firstLine="479"/>
        <w:jc w:val="left"/>
      </w:pPr>
      <w:r>
        <w:rPr>
          <w:rFonts w:ascii="Microsoft JhengHei" w:eastAsia="Microsoft JhengHei"/>
          <w:b/>
          <w:spacing w:val="-6"/>
        </w:rPr>
        <w:t>量化研究</w:t>
      </w:r>
      <w:r>
        <w:rPr>
          <w:spacing w:val="-6"/>
        </w:rPr>
        <w:t>則以客觀性為特徵，利用數據來檢驗假設、分析變數之間的關係，</w:t>
      </w:r>
      <w:r>
        <w:rPr>
          <w:spacing w:val="-7"/>
        </w:rPr>
        <w:t>並尋找規律性模式。量化研究依賴結構化的工具，如調查問卷和實驗，從而促進</w:t>
      </w:r>
    </w:p>
    <w:p>
      <w:pPr>
        <w:spacing w:line="444" w:lineRule="auto" w:before="111"/>
        <w:ind w:left="2648" w:right="684" w:hanging="1959"/>
        <w:jc w:val="left"/>
        <w:rPr>
          <w:rFonts w:ascii="Microsoft JhengHei" w:eastAsia="Microsoft JhengHei"/>
          <w:b/>
          <w:sz w:val="24"/>
        </w:rPr>
      </w:pPr>
      <w:r>
        <w:rPr>
          <w:rFonts w:ascii="Microsoft JhengHei" w:eastAsia="Microsoft JhengHei"/>
          <w:b/>
          <w:sz w:val="24"/>
        </w:rPr>
        <mc:AlternateContent>
          <mc:Choice Requires="wps">
            <w:drawing>
              <wp:anchor distT="0" distB="0" distL="0" distR="0" allowOverlap="1" layoutInCell="1" locked="0" behindDoc="0" simplePos="0" relativeHeight="15751168">
                <wp:simplePos x="0" y="0"/>
                <wp:positionH relativeFrom="page">
                  <wp:posOffset>971092</wp:posOffset>
                </wp:positionH>
                <wp:positionV relativeFrom="paragraph">
                  <wp:posOffset>827855</wp:posOffset>
                </wp:positionV>
                <wp:extent cx="5548630" cy="2209799"/>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5548630" cy="220979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3260"/>
                              <w:gridCol w:w="3396"/>
                            </w:tblGrid>
                            <w:tr>
                              <w:trPr>
                                <w:trHeight w:val="575" w:hRule="atLeast"/>
                              </w:trPr>
                              <w:tc>
                                <w:tcPr>
                                  <w:tcW w:w="1951" w:type="dxa"/>
                                  <w:shd w:val="clear" w:color="auto" w:fill="D0CECE"/>
                                </w:tcPr>
                                <w:p>
                                  <w:pPr>
                                    <w:pStyle w:val="TableParagraph"/>
                                    <w:spacing w:before="40"/>
                                    <w:ind w:left="9" w:right="2"/>
                                    <w:jc w:val="center"/>
                                    <w:rPr>
                                      <w:rFonts w:ascii="Microsoft JhengHei" w:eastAsia="Microsoft JhengHei"/>
                                      <w:b/>
                                      <w:sz w:val="24"/>
                                    </w:rPr>
                                  </w:pPr>
                                  <w:r>
                                    <w:rPr>
                                      <w:rFonts w:ascii="Microsoft JhengHei" w:eastAsia="Microsoft JhengHei"/>
                                      <w:b/>
                                      <w:spacing w:val="-3"/>
                                      <w:sz w:val="24"/>
                                    </w:rPr>
                                    <w:t>比較項目</w:t>
                                  </w:r>
                                </w:p>
                              </w:tc>
                              <w:tc>
                                <w:tcPr>
                                  <w:tcW w:w="3260" w:type="dxa"/>
                                  <w:shd w:val="clear" w:color="auto" w:fill="D0CECE"/>
                                </w:tcPr>
                                <w:p>
                                  <w:pPr>
                                    <w:pStyle w:val="TableParagraph"/>
                                    <w:spacing w:before="40"/>
                                    <w:ind w:left="10"/>
                                    <w:jc w:val="center"/>
                                    <w:rPr>
                                      <w:rFonts w:ascii="Microsoft JhengHei" w:eastAsia="Microsoft JhengHei"/>
                                      <w:b/>
                                      <w:sz w:val="24"/>
                                    </w:rPr>
                                  </w:pPr>
                                  <w:r>
                                    <w:rPr>
                                      <w:rFonts w:ascii="Microsoft JhengHei" w:eastAsia="Microsoft JhengHei"/>
                                      <w:b/>
                                      <w:spacing w:val="-3"/>
                                      <w:sz w:val="24"/>
                                    </w:rPr>
                                    <w:t>質性研究</w:t>
                                  </w:r>
                                </w:p>
                              </w:tc>
                              <w:tc>
                                <w:tcPr>
                                  <w:tcW w:w="3396" w:type="dxa"/>
                                  <w:shd w:val="clear" w:color="auto" w:fill="D0CECE"/>
                                </w:tcPr>
                                <w:p>
                                  <w:pPr>
                                    <w:pStyle w:val="TableParagraph"/>
                                    <w:spacing w:before="40"/>
                                    <w:ind w:left="7"/>
                                    <w:jc w:val="center"/>
                                    <w:rPr>
                                      <w:rFonts w:ascii="Microsoft JhengHei" w:eastAsia="Microsoft JhengHei"/>
                                      <w:b/>
                                      <w:sz w:val="24"/>
                                    </w:rPr>
                                  </w:pPr>
                                  <w:r>
                                    <w:rPr>
                                      <w:rFonts w:ascii="Microsoft JhengHei" w:eastAsia="Microsoft JhengHei"/>
                                      <w:b/>
                                      <w:spacing w:val="-3"/>
                                      <w:sz w:val="24"/>
                                    </w:rPr>
                                    <w:t>量化研究</w:t>
                                  </w:r>
                                </w:p>
                              </w:tc>
                            </w:tr>
                            <w:tr>
                              <w:trPr>
                                <w:trHeight w:val="474" w:hRule="atLeast"/>
                              </w:trPr>
                              <w:tc>
                                <w:tcPr>
                                  <w:tcW w:w="1951" w:type="dxa"/>
                                </w:tcPr>
                                <w:p>
                                  <w:pPr>
                                    <w:pStyle w:val="TableParagraph"/>
                                    <w:spacing w:line="432" w:lineRule="exact"/>
                                    <w:ind w:left="9" w:right="2"/>
                                    <w:jc w:val="center"/>
                                    <w:rPr>
                                      <w:rFonts w:ascii="Microsoft JhengHei" w:eastAsia="Microsoft JhengHei"/>
                                      <w:b/>
                                      <w:sz w:val="24"/>
                                    </w:rPr>
                                  </w:pPr>
                                  <w:r>
                                    <w:rPr>
                                      <w:rFonts w:ascii="Microsoft JhengHei" w:eastAsia="Microsoft JhengHei"/>
                                      <w:b/>
                                      <w:spacing w:val="-3"/>
                                      <w:sz w:val="24"/>
                                    </w:rPr>
                                    <w:t>理論類型</w:t>
                                  </w:r>
                                </w:p>
                              </w:tc>
                              <w:tc>
                                <w:tcPr>
                                  <w:tcW w:w="3260" w:type="dxa"/>
                                </w:tcPr>
                                <w:p>
                                  <w:pPr>
                                    <w:pStyle w:val="TableParagraph"/>
                                    <w:spacing w:before="69"/>
                                    <w:ind w:left="228"/>
                                    <w:rPr>
                                      <w:sz w:val="24"/>
                                    </w:rPr>
                                  </w:pPr>
                                  <w:r>
                                    <w:rPr>
                                      <w:spacing w:val="-5"/>
                                      <w:sz w:val="24"/>
                                    </w:rPr>
                                    <w:t>命題</w:t>
                                  </w:r>
                                </w:p>
                              </w:tc>
                              <w:tc>
                                <w:tcPr>
                                  <w:tcW w:w="3396" w:type="dxa"/>
                                </w:tcPr>
                                <w:p>
                                  <w:pPr>
                                    <w:pStyle w:val="TableParagraph"/>
                                    <w:spacing w:before="69"/>
                                    <w:ind w:left="228"/>
                                    <w:rPr>
                                      <w:sz w:val="24"/>
                                    </w:rPr>
                                  </w:pPr>
                                  <w:r>
                                    <w:rPr>
                                      <w:spacing w:val="-5"/>
                                      <w:sz w:val="24"/>
                                    </w:rPr>
                                    <w:t>假設</w:t>
                                  </w:r>
                                </w:p>
                              </w:tc>
                            </w:tr>
                            <w:tr>
                              <w:trPr>
                                <w:trHeight w:val="888" w:hRule="atLeast"/>
                              </w:trPr>
                              <w:tc>
                                <w:tcPr>
                                  <w:tcW w:w="1951" w:type="dxa"/>
                                </w:tcPr>
                                <w:p>
                                  <w:pPr>
                                    <w:pStyle w:val="TableParagraph"/>
                                    <w:spacing w:line="432" w:lineRule="exact"/>
                                    <w:ind w:left="9" w:right="2"/>
                                    <w:jc w:val="center"/>
                                    <w:rPr>
                                      <w:rFonts w:ascii="Microsoft JhengHei" w:eastAsia="Microsoft JhengHei"/>
                                      <w:b/>
                                      <w:sz w:val="24"/>
                                    </w:rPr>
                                  </w:pPr>
                                  <w:r>
                                    <w:rPr>
                                      <w:rFonts w:ascii="Microsoft JhengHei" w:eastAsia="Microsoft JhengHei"/>
                                      <w:b/>
                                      <w:spacing w:val="-3"/>
                                      <w:sz w:val="24"/>
                                    </w:rPr>
                                    <w:t>研究目標</w:t>
                                  </w:r>
                                </w:p>
                              </w:tc>
                              <w:tc>
                                <w:tcPr>
                                  <w:tcW w:w="3260" w:type="dxa"/>
                                </w:tcPr>
                                <w:p>
                                  <w:pPr>
                                    <w:pStyle w:val="TableParagraph"/>
                                    <w:spacing w:before="70"/>
                                    <w:ind w:left="228"/>
                                    <w:rPr>
                                      <w:sz w:val="24"/>
                                    </w:rPr>
                                  </w:pPr>
                                  <w:r>
                                    <w:rPr>
                                      <w:spacing w:val="-1"/>
                                      <w:sz w:val="24"/>
                                    </w:rPr>
                                    <w:t>主觀性，探索行為和現象</w:t>
                                  </w:r>
                                </w:p>
                                <w:p>
                                  <w:pPr>
                                    <w:pStyle w:val="TableParagraph"/>
                                    <w:spacing w:before="105"/>
                                    <w:ind w:left="228"/>
                                    <w:rPr>
                                      <w:sz w:val="24"/>
                                    </w:rPr>
                                  </w:pPr>
                                  <w:r>
                                    <w:rPr>
                                      <w:spacing w:val="-2"/>
                                      <w:sz w:val="24"/>
                                    </w:rPr>
                                    <w:t>的背景與深層意義</w:t>
                                  </w:r>
                                </w:p>
                              </w:tc>
                              <w:tc>
                                <w:tcPr>
                                  <w:tcW w:w="3396" w:type="dxa"/>
                                </w:tcPr>
                                <w:p>
                                  <w:pPr>
                                    <w:pStyle w:val="TableParagraph"/>
                                    <w:spacing w:before="70"/>
                                    <w:ind w:left="228"/>
                                    <w:rPr>
                                      <w:sz w:val="24"/>
                                    </w:rPr>
                                  </w:pPr>
                                  <w:r>
                                    <w:rPr>
                                      <w:spacing w:val="-1"/>
                                      <w:sz w:val="24"/>
                                    </w:rPr>
                                    <w:t>客觀性，檢驗假設與建立規</w:t>
                                  </w:r>
                                </w:p>
                                <w:p>
                                  <w:pPr>
                                    <w:pStyle w:val="TableParagraph"/>
                                    <w:spacing w:before="105"/>
                                    <w:ind w:left="228"/>
                                    <w:rPr>
                                      <w:sz w:val="24"/>
                                    </w:rPr>
                                  </w:pPr>
                                  <w:r>
                                    <w:rPr>
                                      <w:spacing w:val="-3"/>
                                      <w:sz w:val="24"/>
                                    </w:rPr>
                                    <w:t>律性模式</w:t>
                                  </w:r>
                                </w:p>
                              </w:tc>
                            </w:tr>
                            <w:tr>
                              <w:trPr>
                                <w:trHeight w:val="472" w:hRule="atLeast"/>
                              </w:trPr>
                              <w:tc>
                                <w:tcPr>
                                  <w:tcW w:w="1951" w:type="dxa"/>
                                </w:tcPr>
                                <w:p>
                                  <w:pPr>
                                    <w:pStyle w:val="TableParagraph"/>
                                    <w:spacing w:line="432" w:lineRule="exact"/>
                                    <w:ind w:left="9"/>
                                    <w:jc w:val="center"/>
                                    <w:rPr>
                                      <w:rFonts w:ascii="Microsoft JhengHei" w:eastAsia="Microsoft JhengHei"/>
                                      <w:b/>
                                      <w:sz w:val="24"/>
                                    </w:rPr>
                                  </w:pPr>
                                  <w:r>
                                    <w:rPr>
                                      <w:rFonts w:ascii="Microsoft JhengHei" w:eastAsia="Microsoft JhengHei"/>
                                      <w:b/>
                                      <w:spacing w:val="-2"/>
                                      <w:sz w:val="24"/>
                                    </w:rPr>
                                    <w:t>資料蒐集方式</w:t>
                                  </w:r>
                                </w:p>
                              </w:tc>
                              <w:tc>
                                <w:tcPr>
                                  <w:tcW w:w="3260" w:type="dxa"/>
                                </w:tcPr>
                                <w:p>
                                  <w:pPr>
                                    <w:pStyle w:val="TableParagraph"/>
                                    <w:spacing w:before="69"/>
                                    <w:ind w:left="228"/>
                                    <w:rPr>
                                      <w:sz w:val="24"/>
                                    </w:rPr>
                                  </w:pPr>
                                  <w:r>
                                    <w:rPr>
                                      <w:spacing w:val="-1"/>
                                      <w:sz w:val="24"/>
                                    </w:rPr>
                                    <w:t>訪談、觀察、個案研究</w:t>
                                  </w:r>
                                </w:p>
                              </w:tc>
                              <w:tc>
                                <w:tcPr>
                                  <w:tcW w:w="3396" w:type="dxa"/>
                                </w:tcPr>
                                <w:p>
                                  <w:pPr>
                                    <w:pStyle w:val="TableParagraph"/>
                                    <w:spacing w:before="69"/>
                                    <w:ind w:left="228"/>
                                    <w:rPr>
                                      <w:sz w:val="24"/>
                                    </w:rPr>
                                  </w:pPr>
                                  <w:r>
                                    <w:rPr>
                                      <w:spacing w:val="-2"/>
                                      <w:sz w:val="24"/>
                                    </w:rPr>
                                    <w:t>問卷調查、實驗</w:t>
                                  </w:r>
                                </w:p>
                              </w:tc>
                            </w:tr>
                            <w:tr>
                              <w:trPr>
                                <w:trHeight w:val="474" w:hRule="atLeast"/>
                              </w:trPr>
                              <w:tc>
                                <w:tcPr>
                                  <w:tcW w:w="1951" w:type="dxa"/>
                                </w:tcPr>
                                <w:p>
                                  <w:pPr>
                                    <w:pStyle w:val="TableParagraph"/>
                                    <w:spacing w:line="434" w:lineRule="exact"/>
                                    <w:ind w:left="9"/>
                                    <w:jc w:val="center"/>
                                    <w:rPr>
                                      <w:rFonts w:ascii="Microsoft JhengHei" w:eastAsia="Microsoft JhengHei"/>
                                      <w:b/>
                                      <w:sz w:val="24"/>
                                    </w:rPr>
                                  </w:pPr>
                                  <w:r>
                                    <w:rPr>
                                      <w:rFonts w:ascii="Microsoft JhengHei" w:eastAsia="Microsoft JhengHei"/>
                                      <w:b/>
                                      <w:spacing w:val="-2"/>
                                      <w:sz w:val="24"/>
                                    </w:rPr>
                                    <w:t>資料分析方法</w:t>
                                  </w:r>
                                </w:p>
                              </w:tc>
                              <w:tc>
                                <w:tcPr>
                                  <w:tcW w:w="3260" w:type="dxa"/>
                                </w:tcPr>
                                <w:p>
                                  <w:pPr>
                                    <w:pStyle w:val="TableParagraph"/>
                                    <w:spacing w:before="72"/>
                                    <w:ind w:left="228"/>
                                    <w:rPr>
                                      <w:sz w:val="24"/>
                                    </w:rPr>
                                  </w:pPr>
                                  <w:r>
                                    <w:rPr>
                                      <w:spacing w:val="-1"/>
                                      <w:sz w:val="24"/>
                                    </w:rPr>
                                    <w:t>解釋性分析，關注模式</w:t>
                                  </w:r>
                                </w:p>
                              </w:tc>
                              <w:tc>
                                <w:tcPr>
                                  <w:tcW w:w="3396" w:type="dxa"/>
                                </w:tcPr>
                                <w:p>
                                  <w:pPr>
                                    <w:pStyle w:val="TableParagraph"/>
                                    <w:spacing w:before="72"/>
                                    <w:ind w:left="228"/>
                                    <w:rPr>
                                      <w:sz w:val="24"/>
                                    </w:rPr>
                                  </w:pPr>
                                  <w:r>
                                    <w:rPr>
                                      <w:spacing w:val="-1"/>
                                      <w:sz w:val="24"/>
                                    </w:rPr>
                                    <w:t>統計分析，提供量化結果</w:t>
                                  </w:r>
                                </w:p>
                              </w:tc>
                            </w:tr>
                            <w:tr>
                              <w:trPr>
                                <w:trHeight w:val="527" w:hRule="atLeast"/>
                              </w:trPr>
                              <w:tc>
                                <w:tcPr>
                                  <w:tcW w:w="1951" w:type="dxa"/>
                                </w:tcPr>
                                <w:p>
                                  <w:pPr>
                                    <w:pStyle w:val="TableParagraph"/>
                                    <w:spacing w:before="16"/>
                                    <w:ind w:left="9"/>
                                    <w:jc w:val="center"/>
                                    <w:rPr>
                                      <w:rFonts w:ascii="Microsoft JhengHei" w:eastAsia="Microsoft JhengHei"/>
                                      <w:b/>
                                      <w:sz w:val="24"/>
                                    </w:rPr>
                                  </w:pPr>
                                  <w:r>
                                    <w:rPr>
                                      <w:rFonts w:ascii="Microsoft JhengHei" w:eastAsia="Microsoft JhengHei"/>
                                      <w:b/>
                                      <w:spacing w:val="-2"/>
                                      <w:sz w:val="24"/>
                                    </w:rPr>
                                    <w:t>結果應用性</w:t>
                                  </w:r>
                                </w:p>
                              </w:tc>
                              <w:tc>
                                <w:tcPr>
                                  <w:tcW w:w="3260" w:type="dxa"/>
                                </w:tcPr>
                                <w:p>
                                  <w:pPr>
                                    <w:pStyle w:val="TableParagraph"/>
                                    <w:spacing w:before="95"/>
                                    <w:ind w:left="228"/>
                                    <w:rPr>
                                      <w:sz w:val="24"/>
                                    </w:rPr>
                                  </w:pPr>
                                  <w:r>
                                    <w:rPr>
                                      <w:spacing w:val="-2"/>
                                      <w:sz w:val="24"/>
                                    </w:rPr>
                                    <w:t>深入理解特定情境</w:t>
                                  </w:r>
                                </w:p>
                              </w:tc>
                              <w:tc>
                                <w:tcPr>
                                  <w:tcW w:w="3396" w:type="dxa"/>
                                </w:tcPr>
                                <w:p>
                                  <w:pPr>
                                    <w:pStyle w:val="TableParagraph"/>
                                    <w:spacing w:before="95"/>
                                    <w:ind w:left="228"/>
                                    <w:rPr>
                                      <w:sz w:val="24"/>
                                    </w:rPr>
                                  </w:pPr>
                                  <w:r>
                                    <w:rPr>
                                      <w:spacing w:val="-1"/>
                                      <w:sz w:val="24"/>
                                    </w:rPr>
                                    <w:t>分析數據中呈現的共性特徵</w:t>
                                  </w: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76.463997pt;margin-top:65.185493pt;width:436.9pt;height:174.0pt;mso-position-horizontal-relative:page;mso-position-vertical-relative:paragraph;z-index:15751168" type="#_x0000_t202" id="docshape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3260"/>
                        <w:gridCol w:w="3396"/>
                      </w:tblGrid>
                      <w:tr>
                        <w:trPr>
                          <w:trHeight w:val="575" w:hRule="atLeast"/>
                        </w:trPr>
                        <w:tc>
                          <w:tcPr>
                            <w:tcW w:w="1951" w:type="dxa"/>
                            <w:shd w:val="clear" w:color="auto" w:fill="D0CECE"/>
                          </w:tcPr>
                          <w:p>
                            <w:pPr>
                              <w:pStyle w:val="TableParagraph"/>
                              <w:spacing w:before="40"/>
                              <w:ind w:left="9" w:right="2"/>
                              <w:jc w:val="center"/>
                              <w:rPr>
                                <w:rFonts w:ascii="Microsoft JhengHei" w:eastAsia="Microsoft JhengHei"/>
                                <w:b/>
                                <w:sz w:val="24"/>
                              </w:rPr>
                            </w:pPr>
                            <w:r>
                              <w:rPr>
                                <w:rFonts w:ascii="Microsoft JhengHei" w:eastAsia="Microsoft JhengHei"/>
                                <w:b/>
                                <w:spacing w:val="-3"/>
                                <w:sz w:val="24"/>
                              </w:rPr>
                              <w:t>比較項目</w:t>
                            </w:r>
                          </w:p>
                        </w:tc>
                        <w:tc>
                          <w:tcPr>
                            <w:tcW w:w="3260" w:type="dxa"/>
                            <w:shd w:val="clear" w:color="auto" w:fill="D0CECE"/>
                          </w:tcPr>
                          <w:p>
                            <w:pPr>
                              <w:pStyle w:val="TableParagraph"/>
                              <w:spacing w:before="40"/>
                              <w:ind w:left="10"/>
                              <w:jc w:val="center"/>
                              <w:rPr>
                                <w:rFonts w:ascii="Microsoft JhengHei" w:eastAsia="Microsoft JhengHei"/>
                                <w:b/>
                                <w:sz w:val="24"/>
                              </w:rPr>
                            </w:pPr>
                            <w:r>
                              <w:rPr>
                                <w:rFonts w:ascii="Microsoft JhengHei" w:eastAsia="Microsoft JhengHei"/>
                                <w:b/>
                                <w:spacing w:val="-3"/>
                                <w:sz w:val="24"/>
                              </w:rPr>
                              <w:t>質性研究</w:t>
                            </w:r>
                          </w:p>
                        </w:tc>
                        <w:tc>
                          <w:tcPr>
                            <w:tcW w:w="3396" w:type="dxa"/>
                            <w:shd w:val="clear" w:color="auto" w:fill="D0CECE"/>
                          </w:tcPr>
                          <w:p>
                            <w:pPr>
                              <w:pStyle w:val="TableParagraph"/>
                              <w:spacing w:before="40"/>
                              <w:ind w:left="7"/>
                              <w:jc w:val="center"/>
                              <w:rPr>
                                <w:rFonts w:ascii="Microsoft JhengHei" w:eastAsia="Microsoft JhengHei"/>
                                <w:b/>
                                <w:sz w:val="24"/>
                              </w:rPr>
                            </w:pPr>
                            <w:r>
                              <w:rPr>
                                <w:rFonts w:ascii="Microsoft JhengHei" w:eastAsia="Microsoft JhengHei"/>
                                <w:b/>
                                <w:spacing w:val="-3"/>
                                <w:sz w:val="24"/>
                              </w:rPr>
                              <w:t>量化研究</w:t>
                            </w:r>
                          </w:p>
                        </w:tc>
                      </w:tr>
                      <w:tr>
                        <w:trPr>
                          <w:trHeight w:val="474" w:hRule="atLeast"/>
                        </w:trPr>
                        <w:tc>
                          <w:tcPr>
                            <w:tcW w:w="1951" w:type="dxa"/>
                          </w:tcPr>
                          <w:p>
                            <w:pPr>
                              <w:pStyle w:val="TableParagraph"/>
                              <w:spacing w:line="432" w:lineRule="exact"/>
                              <w:ind w:left="9" w:right="2"/>
                              <w:jc w:val="center"/>
                              <w:rPr>
                                <w:rFonts w:ascii="Microsoft JhengHei" w:eastAsia="Microsoft JhengHei"/>
                                <w:b/>
                                <w:sz w:val="24"/>
                              </w:rPr>
                            </w:pPr>
                            <w:r>
                              <w:rPr>
                                <w:rFonts w:ascii="Microsoft JhengHei" w:eastAsia="Microsoft JhengHei"/>
                                <w:b/>
                                <w:spacing w:val="-3"/>
                                <w:sz w:val="24"/>
                              </w:rPr>
                              <w:t>理論類型</w:t>
                            </w:r>
                          </w:p>
                        </w:tc>
                        <w:tc>
                          <w:tcPr>
                            <w:tcW w:w="3260" w:type="dxa"/>
                          </w:tcPr>
                          <w:p>
                            <w:pPr>
                              <w:pStyle w:val="TableParagraph"/>
                              <w:spacing w:before="69"/>
                              <w:ind w:left="228"/>
                              <w:rPr>
                                <w:sz w:val="24"/>
                              </w:rPr>
                            </w:pPr>
                            <w:r>
                              <w:rPr>
                                <w:spacing w:val="-5"/>
                                <w:sz w:val="24"/>
                              </w:rPr>
                              <w:t>命題</w:t>
                            </w:r>
                          </w:p>
                        </w:tc>
                        <w:tc>
                          <w:tcPr>
                            <w:tcW w:w="3396" w:type="dxa"/>
                          </w:tcPr>
                          <w:p>
                            <w:pPr>
                              <w:pStyle w:val="TableParagraph"/>
                              <w:spacing w:before="69"/>
                              <w:ind w:left="228"/>
                              <w:rPr>
                                <w:sz w:val="24"/>
                              </w:rPr>
                            </w:pPr>
                            <w:r>
                              <w:rPr>
                                <w:spacing w:val="-5"/>
                                <w:sz w:val="24"/>
                              </w:rPr>
                              <w:t>假設</w:t>
                            </w:r>
                          </w:p>
                        </w:tc>
                      </w:tr>
                      <w:tr>
                        <w:trPr>
                          <w:trHeight w:val="888" w:hRule="atLeast"/>
                        </w:trPr>
                        <w:tc>
                          <w:tcPr>
                            <w:tcW w:w="1951" w:type="dxa"/>
                          </w:tcPr>
                          <w:p>
                            <w:pPr>
                              <w:pStyle w:val="TableParagraph"/>
                              <w:spacing w:line="432" w:lineRule="exact"/>
                              <w:ind w:left="9" w:right="2"/>
                              <w:jc w:val="center"/>
                              <w:rPr>
                                <w:rFonts w:ascii="Microsoft JhengHei" w:eastAsia="Microsoft JhengHei"/>
                                <w:b/>
                                <w:sz w:val="24"/>
                              </w:rPr>
                            </w:pPr>
                            <w:r>
                              <w:rPr>
                                <w:rFonts w:ascii="Microsoft JhengHei" w:eastAsia="Microsoft JhengHei"/>
                                <w:b/>
                                <w:spacing w:val="-3"/>
                                <w:sz w:val="24"/>
                              </w:rPr>
                              <w:t>研究目標</w:t>
                            </w:r>
                          </w:p>
                        </w:tc>
                        <w:tc>
                          <w:tcPr>
                            <w:tcW w:w="3260" w:type="dxa"/>
                          </w:tcPr>
                          <w:p>
                            <w:pPr>
                              <w:pStyle w:val="TableParagraph"/>
                              <w:spacing w:before="70"/>
                              <w:ind w:left="228"/>
                              <w:rPr>
                                <w:sz w:val="24"/>
                              </w:rPr>
                            </w:pPr>
                            <w:r>
                              <w:rPr>
                                <w:spacing w:val="-1"/>
                                <w:sz w:val="24"/>
                              </w:rPr>
                              <w:t>主觀性，探索行為和現象</w:t>
                            </w:r>
                          </w:p>
                          <w:p>
                            <w:pPr>
                              <w:pStyle w:val="TableParagraph"/>
                              <w:spacing w:before="105"/>
                              <w:ind w:left="228"/>
                              <w:rPr>
                                <w:sz w:val="24"/>
                              </w:rPr>
                            </w:pPr>
                            <w:r>
                              <w:rPr>
                                <w:spacing w:val="-2"/>
                                <w:sz w:val="24"/>
                              </w:rPr>
                              <w:t>的背景與深層意義</w:t>
                            </w:r>
                          </w:p>
                        </w:tc>
                        <w:tc>
                          <w:tcPr>
                            <w:tcW w:w="3396" w:type="dxa"/>
                          </w:tcPr>
                          <w:p>
                            <w:pPr>
                              <w:pStyle w:val="TableParagraph"/>
                              <w:spacing w:before="70"/>
                              <w:ind w:left="228"/>
                              <w:rPr>
                                <w:sz w:val="24"/>
                              </w:rPr>
                            </w:pPr>
                            <w:r>
                              <w:rPr>
                                <w:spacing w:val="-1"/>
                                <w:sz w:val="24"/>
                              </w:rPr>
                              <w:t>客觀性，檢驗假設與建立規</w:t>
                            </w:r>
                          </w:p>
                          <w:p>
                            <w:pPr>
                              <w:pStyle w:val="TableParagraph"/>
                              <w:spacing w:before="105"/>
                              <w:ind w:left="228"/>
                              <w:rPr>
                                <w:sz w:val="24"/>
                              </w:rPr>
                            </w:pPr>
                            <w:r>
                              <w:rPr>
                                <w:spacing w:val="-3"/>
                                <w:sz w:val="24"/>
                              </w:rPr>
                              <w:t>律性模式</w:t>
                            </w:r>
                          </w:p>
                        </w:tc>
                      </w:tr>
                      <w:tr>
                        <w:trPr>
                          <w:trHeight w:val="472" w:hRule="atLeast"/>
                        </w:trPr>
                        <w:tc>
                          <w:tcPr>
                            <w:tcW w:w="1951" w:type="dxa"/>
                          </w:tcPr>
                          <w:p>
                            <w:pPr>
                              <w:pStyle w:val="TableParagraph"/>
                              <w:spacing w:line="432" w:lineRule="exact"/>
                              <w:ind w:left="9"/>
                              <w:jc w:val="center"/>
                              <w:rPr>
                                <w:rFonts w:ascii="Microsoft JhengHei" w:eastAsia="Microsoft JhengHei"/>
                                <w:b/>
                                <w:sz w:val="24"/>
                              </w:rPr>
                            </w:pPr>
                            <w:r>
                              <w:rPr>
                                <w:rFonts w:ascii="Microsoft JhengHei" w:eastAsia="Microsoft JhengHei"/>
                                <w:b/>
                                <w:spacing w:val="-2"/>
                                <w:sz w:val="24"/>
                              </w:rPr>
                              <w:t>資料蒐集方式</w:t>
                            </w:r>
                          </w:p>
                        </w:tc>
                        <w:tc>
                          <w:tcPr>
                            <w:tcW w:w="3260" w:type="dxa"/>
                          </w:tcPr>
                          <w:p>
                            <w:pPr>
                              <w:pStyle w:val="TableParagraph"/>
                              <w:spacing w:before="69"/>
                              <w:ind w:left="228"/>
                              <w:rPr>
                                <w:sz w:val="24"/>
                              </w:rPr>
                            </w:pPr>
                            <w:r>
                              <w:rPr>
                                <w:spacing w:val="-1"/>
                                <w:sz w:val="24"/>
                              </w:rPr>
                              <w:t>訪談、觀察、個案研究</w:t>
                            </w:r>
                          </w:p>
                        </w:tc>
                        <w:tc>
                          <w:tcPr>
                            <w:tcW w:w="3396" w:type="dxa"/>
                          </w:tcPr>
                          <w:p>
                            <w:pPr>
                              <w:pStyle w:val="TableParagraph"/>
                              <w:spacing w:before="69"/>
                              <w:ind w:left="228"/>
                              <w:rPr>
                                <w:sz w:val="24"/>
                              </w:rPr>
                            </w:pPr>
                            <w:r>
                              <w:rPr>
                                <w:spacing w:val="-2"/>
                                <w:sz w:val="24"/>
                              </w:rPr>
                              <w:t>問卷調查、實驗</w:t>
                            </w:r>
                          </w:p>
                        </w:tc>
                      </w:tr>
                      <w:tr>
                        <w:trPr>
                          <w:trHeight w:val="474" w:hRule="atLeast"/>
                        </w:trPr>
                        <w:tc>
                          <w:tcPr>
                            <w:tcW w:w="1951" w:type="dxa"/>
                          </w:tcPr>
                          <w:p>
                            <w:pPr>
                              <w:pStyle w:val="TableParagraph"/>
                              <w:spacing w:line="434" w:lineRule="exact"/>
                              <w:ind w:left="9"/>
                              <w:jc w:val="center"/>
                              <w:rPr>
                                <w:rFonts w:ascii="Microsoft JhengHei" w:eastAsia="Microsoft JhengHei"/>
                                <w:b/>
                                <w:sz w:val="24"/>
                              </w:rPr>
                            </w:pPr>
                            <w:r>
                              <w:rPr>
                                <w:rFonts w:ascii="Microsoft JhengHei" w:eastAsia="Microsoft JhengHei"/>
                                <w:b/>
                                <w:spacing w:val="-2"/>
                                <w:sz w:val="24"/>
                              </w:rPr>
                              <w:t>資料分析方法</w:t>
                            </w:r>
                          </w:p>
                        </w:tc>
                        <w:tc>
                          <w:tcPr>
                            <w:tcW w:w="3260" w:type="dxa"/>
                          </w:tcPr>
                          <w:p>
                            <w:pPr>
                              <w:pStyle w:val="TableParagraph"/>
                              <w:spacing w:before="72"/>
                              <w:ind w:left="228"/>
                              <w:rPr>
                                <w:sz w:val="24"/>
                              </w:rPr>
                            </w:pPr>
                            <w:r>
                              <w:rPr>
                                <w:spacing w:val="-1"/>
                                <w:sz w:val="24"/>
                              </w:rPr>
                              <w:t>解釋性分析，關注模式</w:t>
                            </w:r>
                          </w:p>
                        </w:tc>
                        <w:tc>
                          <w:tcPr>
                            <w:tcW w:w="3396" w:type="dxa"/>
                          </w:tcPr>
                          <w:p>
                            <w:pPr>
                              <w:pStyle w:val="TableParagraph"/>
                              <w:spacing w:before="72"/>
                              <w:ind w:left="228"/>
                              <w:rPr>
                                <w:sz w:val="24"/>
                              </w:rPr>
                            </w:pPr>
                            <w:r>
                              <w:rPr>
                                <w:spacing w:val="-1"/>
                                <w:sz w:val="24"/>
                              </w:rPr>
                              <w:t>統計分析，提供量化結果</w:t>
                            </w:r>
                          </w:p>
                        </w:tc>
                      </w:tr>
                      <w:tr>
                        <w:trPr>
                          <w:trHeight w:val="527" w:hRule="atLeast"/>
                        </w:trPr>
                        <w:tc>
                          <w:tcPr>
                            <w:tcW w:w="1951" w:type="dxa"/>
                          </w:tcPr>
                          <w:p>
                            <w:pPr>
                              <w:pStyle w:val="TableParagraph"/>
                              <w:spacing w:before="16"/>
                              <w:ind w:left="9"/>
                              <w:jc w:val="center"/>
                              <w:rPr>
                                <w:rFonts w:ascii="Microsoft JhengHei" w:eastAsia="Microsoft JhengHei"/>
                                <w:b/>
                                <w:sz w:val="24"/>
                              </w:rPr>
                            </w:pPr>
                            <w:r>
                              <w:rPr>
                                <w:rFonts w:ascii="Microsoft JhengHei" w:eastAsia="Microsoft JhengHei"/>
                                <w:b/>
                                <w:spacing w:val="-2"/>
                                <w:sz w:val="24"/>
                              </w:rPr>
                              <w:t>結果應用性</w:t>
                            </w:r>
                          </w:p>
                        </w:tc>
                        <w:tc>
                          <w:tcPr>
                            <w:tcW w:w="3260" w:type="dxa"/>
                          </w:tcPr>
                          <w:p>
                            <w:pPr>
                              <w:pStyle w:val="TableParagraph"/>
                              <w:spacing w:before="95"/>
                              <w:ind w:left="228"/>
                              <w:rPr>
                                <w:sz w:val="24"/>
                              </w:rPr>
                            </w:pPr>
                            <w:r>
                              <w:rPr>
                                <w:spacing w:val="-2"/>
                                <w:sz w:val="24"/>
                              </w:rPr>
                              <w:t>深入理解特定情境</w:t>
                            </w:r>
                          </w:p>
                        </w:tc>
                        <w:tc>
                          <w:tcPr>
                            <w:tcW w:w="3396" w:type="dxa"/>
                          </w:tcPr>
                          <w:p>
                            <w:pPr>
                              <w:pStyle w:val="TableParagraph"/>
                              <w:spacing w:before="95"/>
                              <w:ind w:left="228"/>
                              <w:rPr>
                                <w:sz w:val="24"/>
                              </w:rPr>
                            </w:pPr>
                            <w:r>
                              <w:rPr>
                                <w:spacing w:val="-1"/>
                                <w:sz w:val="24"/>
                              </w:rPr>
                              <w:t>分析數據中呈現的共性特徵</w:t>
                            </w:r>
                          </w:p>
                        </w:tc>
                      </w:tr>
                    </w:tbl>
                    <w:p>
                      <w:pPr>
                        <w:pStyle w:val="BodyText"/>
                        <w:ind w:left="0"/>
                        <w:jc w:val="left"/>
                      </w:pPr>
                    </w:p>
                  </w:txbxContent>
                </v:textbox>
                <w10:wrap type="none"/>
              </v:shape>
            </w:pict>
          </mc:Fallback>
        </mc:AlternateContent>
      </w:r>
      <w:r>
        <w:rPr>
          <w:spacing w:val="-10"/>
          <w:sz w:val="24"/>
        </w:rPr>
        <w:t>數據的系統化收集與統計分析</w:t>
      </w:r>
      <w:r>
        <w:rPr>
          <w:spacing w:val="-4"/>
          <w:sz w:val="24"/>
        </w:rPr>
        <w:t>（</w:t>
      </w:r>
      <w:r>
        <w:rPr>
          <w:rFonts w:ascii="Times New Roman" w:eastAsia="Times New Roman"/>
          <w:spacing w:val="-4"/>
          <w:sz w:val="24"/>
        </w:rPr>
        <w:t>Sordi,</w:t>
      </w:r>
      <w:r>
        <w:rPr>
          <w:rFonts w:ascii="Times New Roman" w:eastAsia="Times New Roman"/>
          <w:spacing w:val="-15"/>
          <w:sz w:val="24"/>
        </w:rPr>
        <w:t> </w:t>
      </w:r>
      <w:r>
        <w:rPr>
          <w:rFonts w:ascii="Times New Roman" w:eastAsia="Times New Roman"/>
          <w:spacing w:val="27"/>
          <w:sz w:val="24"/>
        </w:rPr>
        <w:t>2024</w:t>
      </w:r>
      <w:r>
        <w:rPr>
          <w:spacing w:val="-129"/>
          <w:sz w:val="24"/>
        </w:rPr>
        <w:t>）</w:t>
      </w:r>
      <w:r>
        <w:rPr>
          <w:spacing w:val="-6"/>
          <w:sz w:val="24"/>
        </w:rPr>
        <w:t>。兩者的具體比較如表 </w:t>
      </w:r>
      <w:r>
        <w:rPr>
          <w:rFonts w:ascii="Times New Roman" w:eastAsia="Times New Roman"/>
          <w:spacing w:val="-4"/>
          <w:sz w:val="24"/>
        </w:rPr>
        <w:t>3.1-1</w:t>
      </w:r>
      <w:r>
        <w:rPr>
          <w:rFonts w:ascii="Times New Roman" w:eastAsia="Times New Roman"/>
          <w:spacing w:val="18"/>
          <w:sz w:val="24"/>
        </w:rPr>
        <w:t> </w:t>
      </w:r>
      <w:r>
        <w:rPr>
          <w:spacing w:val="-4"/>
          <w:sz w:val="24"/>
        </w:rPr>
        <w:t>所示：</w:t>
      </w:r>
      <w:bookmarkStart w:name="_bookmark34" w:id="35"/>
      <w:bookmarkEnd w:id="35"/>
      <w:r>
        <w:rPr>
          <w:sz w:val="24"/>
        </w:rPr>
      </w:r>
      <w:r>
        <w:rPr>
          <w:rFonts w:ascii="Microsoft JhengHei" w:eastAsia="Microsoft JhengHei"/>
          <w:b/>
          <w:spacing w:val="20"/>
          <w:sz w:val="24"/>
        </w:rPr>
        <w:t>表 </w:t>
      </w:r>
      <w:r>
        <w:rPr>
          <w:rFonts w:ascii="Times New Roman" w:eastAsia="Times New Roman"/>
          <w:b/>
          <w:sz w:val="24"/>
        </w:rPr>
        <w:t>3.1-1</w:t>
      </w:r>
      <w:r>
        <w:rPr>
          <w:rFonts w:ascii="Times New Roman" w:eastAsia="Times New Roman"/>
          <w:b/>
          <w:spacing w:val="40"/>
          <w:sz w:val="24"/>
        </w:rPr>
        <w:t> </w:t>
      </w:r>
      <w:r>
        <w:rPr>
          <w:rFonts w:ascii="Microsoft JhengHei" w:eastAsia="Microsoft JhengHei"/>
          <w:b/>
          <w:sz w:val="24"/>
        </w:rPr>
        <w:t>量化研究法與質化研究法之差異比較</w:t>
      </w:r>
    </w:p>
    <w:p>
      <w:pPr>
        <w:pStyle w:val="BodyText"/>
        <w:ind w:left="0"/>
        <w:jc w:val="left"/>
        <w:rPr>
          <w:rFonts w:ascii="Microsoft JhengHei"/>
          <w:b/>
        </w:rPr>
      </w:pPr>
    </w:p>
    <w:p>
      <w:pPr>
        <w:pStyle w:val="BodyText"/>
        <w:ind w:left="0"/>
        <w:jc w:val="left"/>
        <w:rPr>
          <w:rFonts w:ascii="Microsoft JhengHei"/>
          <w:b/>
        </w:rPr>
      </w:pPr>
    </w:p>
    <w:p>
      <w:pPr>
        <w:pStyle w:val="BodyText"/>
        <w:ind w:left="0"/>
        <w:jc w:val="left"/>
        <w:rPr>
          <w:rFonts w:ascii="Microsoft JhengHei"/>
          <w:b/>
        </w:rPr>
      </w:pPr>
    </w:p>
    <w:p>
      <w:pPr>
        <w:pStyle w:val="BodyText"/>
        <w:ind w:left="0"/>
        <w:jc w:val="left"/>
        <w:rPr>
          <w:rFonts w:ascii="Microsoft JhengHei"/>
          <w:b/>
        </w:rPr>
      </w:pPr>
    </w:p>
    <w:p>
      <w:pPr>
        <w:pStyle w:val="BodyText"/>
        <w:ind w:left="0"/>
        <w:jc w:val="left"/>
        <w:rPr>
          <w:rFonts w:ascii="Microsoft JhengHei"/>
          <w:b/>
        </w:rPr>
      </w:pPr>
    </w:p>
    <w:p>
      <w:pPr>
        <w:pStyle w:val="BodyText"/>
        <w:ind w:left="0"/>
        <w:jc w:val="left"/>
        <w:rPr>
          <w:rFonts w:ascii="Microsoft JhengHei"/>
          <w:b/>
        </w:rPr>
      </w:pPr>
    </w:p>
    <w:p>
      <w:pPr>
        <w:pStyle w:val="BodyText"/>
        <w:spacing w:before="412"/>
        <w:ind w:left="0"/>
        <w:jc w:val="left"/>
        <w:rPr>
          <w:rFonts w:ascii="Microsoft JhengHei"/>
          <w:b/>
        </w:rPr>
      </w:pPr>
    </w:p>
    <w:p>
      <w:pPr>
        <w:pStyle w:val="BodyText"/>
        <w:ind w:left="482" w:right="482"/>
        <w:jc w:val="center"/>
      </w:pPr>
      <w:r>
        <w:rPr/>
        <w:t>資料來源 </w:t>
      </w:r>
      <w:r>
        <w:rPr>
          <w:rFonts w:ascii="Times New Roman" w:eastAsia="Times New Roman"/>
          <w:spacing w:val="30"/>
        </w:rPr>
        <w:t>: </w:t>
      </w:r>
      <w:r>
        <w:rPr>
          <w:spacing w:val="-3"/>
        </w:rPr>
        <w:t>本研究整</w:t>
      </w:r>
    </w:p>
    <w:p>
      <w:pPr>
        <w:pStyle w:val="BodyText"/>
        <w:spacing w:after="0"/>
        <w:jc w:val="center"/>
        <w:sectPr>
          <w:pgSz w:w="11910" w:h="16840"/>
          <w:pgMar w:header="0" w:footer="1197" w:top="178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35" w:id="36"/>
      <w:bookmarkEnd w:id="36"/>
      <w:r>
        <w:rPr>
          <w:b w:val="0"/>
        </w:rPr>
      </w:r>
      <w:r>
        <w:rPr>
          <w:spacing w:val="-2"/>
        </w:rPr>
        <w:t>質性研究（</w:t>
      </w:r>
      <w:r>
        <w:rPr>
          <w:rFonts w:ascii="Times New Roman" w:eastAsia="Times New Roman"/>
          <w:spacing w:val="-2"/>
        </w:rPr>
        <w:t>Qualitative</w:t>
      </w:r>
      <w:r>
        <w:rPr>
          <w:rFonts w:ascii="Times New Roman" w:eastAsia="Times New Roman"/>
          <w:spacing w:val="4"/>
        </w:rPr>
        <w:t> </w:t>
      </w:r>
      <w:r>
        <w:rPr>
          <w:rFonts w:ascii="Times New Roman" w:eastAsia="Times New Roman"/>
          <w:spacing w:val="-2"/>
        </w:rPr>
        <w:t>Research</w:t>
      </w:r>
      <w:r>
        <w:rPr>
          <w:spacing w:val="-2"/>
        </w:rPr>
        <w:t>）</w:t>
      </w:r>
    </w:p>
    <w:p>
      <w:pPr>
        <w:pStyle w:val="BodyText"/>
        <w:spacing w:line="422" w:lineRule="auto" w:before="312"/>
        <w:ind w:right="683" w:firstLine="479"/>
      </w:pPr>
      <w:r>
        <w:rPr>
          <w:spacing w:val="-6"/>
        </w:rPr>
        <w:t>質性研究，亦稱質性研究或定性研究，是一種廣泛應用於社會科學的研究方</w:t>
      </w:r>
      <w:r>
        <w:rPr>
          <w:spacing w:val="-4"/>
        </w:rPr>
        <w:t>法，致力於從參與者的視角理解社會現象。其核心特點在於注重行為、感知、動</w:t>
      </w:r>
      <w:r>
        <w:rPr>
          <w:spacing w:val="-24"/>
        </w:rPr>
        <w:t>機與行動的整體性理解，</w:t>
      </w:r>
      <w:r>
        <w:rPr>
          <w:spacing w:val="14"/>
        </w:rPr>
        <w:t>（</w:t>
      </w:r>
      <w:r>
        <w:rPr>
          <w:rFonts w:ascii="Times New Roman" w:eastAsia="Times New Roman"/>
          <w:spacing w:val="15"/>
        </w:rPr>
        <w:t>H</w:t>
      </w:r>
      <w:r>
        <w:rPr>
          <w:rFonts w:ascii="Times New Roman" w:eastAsia="Times New Roman"/>
          <w:spacing w:val="13"/>
        </w:rPr>
        <w:t>a</w:t>
      </w:r>
      <w:r>
        <w:rPr>
          <w:rFonts w:ascii="Times New Roman" w:eastAsia="Times New Roman"/>
          <w:spacing w:val="14"/>
        </w:rPr>
        <w:t>ki</w:t>
      </w:r>
      <w:r>
        <w:rPr>
          <w:rFonts w:ascii="Times New Roman" w:eastAsia="Times New Roman"/>
          <w:spacing w:val="-3"/>
        </w:rPr>
        <w:t> </w:t>
      </w:r>
      <w:r>
        <w:rPr>
          <w:rFonts w:ascii="Times New Roman" w:eastAsia="Times New Roman"/>
          <w:spacing w:val="-12"/>
        </w:rPr>
        <w:t>et</w:t>
      </w:r>
      <w:r>
        <w:rPr>
          <w:rFonts w:ascii="Times New Roman" w:eastAsia="Times New Roman"/>
          <w:spacing w:val="-3"/>
        </w:rPr>
        <w:t> </w:t>
      </w:r>
      <w:r>
        <w:rPr>
          <w:rFonts w:ascii="Times New Roman" w:eastAsia="Times New Roman"/>
          <w:spacing w:val="-12"/>
        </w:rPr>
        <w:t>al.,</w:t>
      </w:r>
      <w:r>
        <w:rPr>
          <w:rFonts w:ascii="Times New Roman" w:eastAsia="Times New Roman"/>
          <w:spacing w:val="-3"/>
        </w:rPr>
        <w:t> </w:t>
      </w:r>
      <w:r>
        <w:rPr>
          <w:rFonts w:ascii="Times New Roman" w:eastAsia="Times New Roman"/>
          <w:spacing w:val="19"/>
        </w:rPr>
        <w:t>2024</w:t>
      </w:r>
      <w:r>
        <w:rPr>
          <w:spacing w:val="-137"/>
        </w:rPr>
        <w:t>）</w:t>
      </w:r>
      <w:r>
        <w:rPr>
          <w:spacing w:val="-12"/>
        </w:rPr>
        <w:t>。透過訪談、觀察和個案研究等策略，</w:t>
      </w:r>
      <w:r>
        <w:rPr>
          <w:spacing w:val="-2"/>
        </w:rPr>
        <w:t>研究者得以深入挖掘數據背後的脈絡與意涵。</w:t>
      </w:r>
    </w:p>
    <w:p>
      <w:pPr>
        <w:pStyle w:val="BodyText"/>
        <w:spacing w:line="422" w:lineRule="auto" w:before="103"/>
        <w:ind w:left="569" w:right="626" w:firstLine="479"/>
        <w:jc w:val="left"/>
      </w:pPr>
      <w:r>
        <w:rPr>
          <w:spacing w:val="-2"/>
        </w:rPr>
        <w:t>質性研究以其靈活性、多樣性和開放性著稱。研究過程通常採用敘事設計、開放式訪談或焦點小組等方法，這些方法允許研究者深入參與資料的蒐集與分析</w:t>
      </w:r>
    </w:p>
    <w:p>
      <w:pPr>
        <w:pStyle w:val="BodyText"/>
        <w:spacing w:line="422" w:lineRule="auto"/>
        <w:ind w:left="569" w:right="686"/>
        <w:jc w:val="left"/>
      </w:pPr>
      <w:r>
        <w:rPr>
          <w:spacing w:val="-2"/>
        </w:rPr>
        <w:t>（</w:t>
      </w:r>
      <w:r>
        <w:rPr>
          <w:rFonts w:ascii="Times New Roman" w:eastAsia="Times New Roman"/>
          <w:spacing w:val="-2"/>
        </w:rPr>
        <w:t>Lee</w:t>
      </w:r>
      <w:r>
        <w:rPr>
          <w:rFonts w:ascii="Times New Roman" w:eastAsia="Times New Roman"/>
          <w:spacing w:val="-6"/>
        </w:rPr>
        <w:t> </w:t>
      </w:r>
      <w:r>
        <w:rPr>
          <w:rFonts w:ascii="Times New Roman" w:eastAsia="Times New Roman"/>
          <w:spacing w:val="-2"/>
        </w:rPr>
        <w:t>et</w:t>
      </w:r>
      <w:r>
        <w:rPr>
          <w:rFonts w:ascii="Times New Roman" w:eastAsia="Times New Roman"/>
          <w:spacing w:val="-4"/>
        </w:rPr>
        <w:t> </w:t>
      </w:r>
      <w:r>
        <w:rPr>
          <w:rFonts w:ascii="Times New Roman" w:eastAsia="Times New Roman"/>
          <w:spacing w:val="-2"/>
        </w:rPr>
        <w:t>al.,</w:t>
      </w:r>
      <w:r>
        <w:rPr>
          <w:rFonts w:ascii="Times New Roman" w:eastAsia="Times New Roman"/>
          <w:spacing w:val="-5"/>
        </w:rPr>
        <w:t> </w:t>
      </w:r>
      <w:r>
        <w:rPr>
          <w:rFonts w:ascii="Times New Roman" w:eastAsia="Times New Roman"/>
          <w:spacing w:val="22"/>
        </w:rPr>
        <w:t>2024</w:t>
      </w:r>
      <w:r>
        <w:rPr>
          <w:spacing w:val="-98"/>
        </w:rPr>
        <w:t>）</w:t>
      </w:r>
      <w:r>
        <w:rPr>
          <w:spacing w:val="-2"/>
        </w:rPr>
        <w:t>。這種方法的優勢在於能捕捉多維度的資訊，並對文化和背景</w:t>
      </w:r>
      <w:r>
        <w:rPr>
          <w:spacing w:val="-1"/>
        </w:rPr>
        <w:t>因素具有高度的敏感性。在質性研究的實踐中，常見的方法包括：個案研究法</w:t>
      </w:r>
    </w:p>
    <w:p>
      <w:pPr>
        <w:pStyle w:val="BodyText"/>
        <w:spacing w:line="422" w:lineRule="auto"/>
        <w:ind w:left="569" w:right="684"/>
        <w:jc w:val="left"/>
      </w:pPr>
      <w:r>
        <w:rPr/>
        <w:drawing>
          <wp:anchor distT="0" distB="0" distL="0" distR="0" allowOverlap="1" layoutInCell="1" locked="0" behindDoc="1" simplePos="0" relativeHeight="485793792">
            <wp:simplePos x="0" y="0"/>
            <wp:positionH relativeFrom="page">
              <wp:posOffset>3312414</wp:posOffset>
            </wp:positionH>
            <wp:positionV relativeFrom="paragraph">
              <wp:posOffset>341495</wp:posOffset>
            </wp:positionV>
            <wp:extent cx="929640" cy="978408"/>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6" cstate="print"/>
                    <a:stretch>
                      <a:fillRect/>
                    </a:stretch>
                  </pic:blipFill>
                  <pic:spPr>
                    <a:xfrm>
                      <a:off x="0" y="0"/>
                      <a:ext cx="929640" cy="978408"/>
                    </a:xfrm>
                    <a:prstGeom prst="rect">
                      <a:avLst/>
                    </a:prstGeom>
                  </pic:spPr>
                </pic:pic>
              </a:graphicData>
            </a:graphic>
          </wp:anchor>
        </w:drawing>
      </w:r>
      <w:r>
        <w:rPr>
          <w:spacing w:val="-10"/>
        </w:rPr>
        <w:t>（</w:t>
      </w:r>
      <w:r>
        <w:rPr>
          <w:rFonts w:ascii="Times New Roman" w:eastAsia="Times New Roman"/>
          <w:spacing w:val="-10"/>
        </w:rPr>
        <w:t>Case</w:t>
      </w:r>
      <w:r>
        <w:rPr>
          <w:rFonts w:ascii="Times New Roman" w:eastAsia="Times New Roman"/>
          <w:spacing w:val="-14"/>
        </w:rPr>
        <w:t> </w:t>
      </w:r>
      <w:r>
        <w:rPr>
          <w:rFonts w:ascii="Times New Roman" w:eastAsia="Times New Roman"/>
          <w:spacing w:val="12"/>
        </w:rPr>
        <w:t>Study</w:t>
      </w:r>
      <w:r>
        <w:rPr>
          <w:spacing w:val="-120"/>
        </w:rPr>
        <w:t>）</w:t>
      </w:r>
      <w:r>
        <w:rPr>
          <w:spacing w:val="-10"/>
        </w:rPr>
        <w:t>、紮根理論法（</w:t>
      </w:r>
      <w:r>
        <w:rPr>
          <w:rFonts w:ascii="Times New Roman" w:eastAsia="Times New Roman"/>
          <w:spacing w:val="-10"/>
        </w:rPr>
        <w:t>Grounded</w:t>
      </w:r>
      <w:r>
        <w:rPr>
          <w:rFonts w:ascii="Times New Roman" w:eastAsia="Times New Roman"/>
          <w:spacing w:val="-18"/>
        </w:rPr>
        <w:t> </w:t>
      </w:r>
      <w:r>
        <w:rPr>
          <w:rFonts w:ascii="Times New Roman" w:eastAsia="Times New Roman"/>
          <w:spacing w:val="8"/>
        </w:rPr>
        <w:t>Th</w:t>
      </w:r>
      <w:r>
        <w:rPr>
          <w:rFonts w:ascii="Times New Roman" w:eastAsia="Times New Roman"/>
          <w:spacing w:val="6"/>
        </w:rPr>
        <w:t>e</w:t>
      </w:r>
      <w:r>
        <w:rPr>
          <w:rFonts w:ascii="Times New Roman" w:eastAsia="Times New Roman"/>
          <w:spacing w:val="10"/>
        </w:rPr>
        <w:t>o</w:t>
      </w:r>
      <w:r>
        <w:rPr>
          <w:rFonts w:ascii="Times New Roman" w:eastAsia="Times New Roman"/>
          <w:spacing w:val="8"/>
        </w:rPr>
        <w:t>r</w:t>
      </w:r>
      <w:r>
        <w:rPr>
          <w:rFonts w:ascii="Times New Roman" w:eastAsia="Times New Roman"/>
          <w:spacing w:val="10"/>
        </w:rPr>
        <w:t>y</w:t>
      </w:r>
      <w:r>
        <w:rPr>
          <w:spacing w:val="-124"/>
        </w:rPr>
        <w:t>）</w:t>
      </w:r>
      <w:r>
        <w:rPr>
          <w:spacing w:val="-10"/>
        </w:rPr>
        <w:t>、田野調查法（</w:t>
      </w:r>
      <w:r>
        <w:rPr>
          <w:rFonts w:ascii="Times New Roman" w:eastAsia="Times New Roman"/>
          <w:spacing w:val="-10"/>
        </w:rPr>
        <w:t>Field</w:t>
      </w:r>
      <w:r>
        <w:rPr>
          <w:rFonts w:ascii="Times New Roman" w:eastAsia="Times New Roman"/>
          <w:spacing w:val="-20"/>
        </w:rPr>
        <w:t> </w:t>
      </w:r>
      <w:r>
        <w:rPr>
          <w:rFonts w:ascii="Times New Roman" w:eastAsia="Times New Roman"/>
          <w:spacing w:val="-1"/>
        </w:rPr>
        <w:t>W</w:t>
      </w:r>
      <w:r>
        <w:rPr>
          <w:rFonts w:ascii="Times New Roman" w:eastAsia="Times New Roman"/>
          <w:spacing w:val="20"/>
        </w:rPr>
        <w:t>ork</w:t>
      </w:r>
      <w:r>
        <w:rPr>
          <w:spacing w:val="-112"/>
        </w:rPr>
        <w:t>）</w:t>
      </w:r>
      <w:r>
        <w:rPr>
          <w:spacing w:val="-10"/>
        </w:rPr>
        <w:t>、論述</w:t>
      </w:r>
      <w:r>
        <w:rPr>
          <w:spacing w:val="-2"/>
        </w:rPr>
        <w:t>分析法（</w:t>
      </w:r>
      <w:r>
        <w:rPr>
          <w:rFonts w:ascii="Times New Roman" w:eastAsia="Times New Roman"/>
          <w:spacing w:val="-2"/>
        </w:rPr>
        <w:t>Discourse</w:t>
      </w:r>
      <w:r>
        <w:rPr>
          <w:rFonts w:ascii="Times New Roman" w:eastAsia="Times New Roman"/>
          <w:spacing w:val="-8"/>
        </w:rPr>
        <w:t> </w:t>
      </w:r>
      <w:r>
        <w:rPr>
          <w:rFonts w:ascii="Times New Roman" w:eastAsia="Times New Roman"/>
          <w:spacing w:val="11"/>
        </w:rPr>
        <w:t>An</w:t>
      </w:r>
      <w:r>
        <w:rPr>
          <w:rFonts w:ascii="Times New Roman" w:eastAsia="Times New Roman"/>
          <w:spacing w:val="9"/>
        </w:rPr>
        <w:t>a</w:t>
      </w:r>
      <w:r>
        <w:rPr>
          <w:rFonts w:ascii="Times New Roman" w:eastAsia="Times New Roman"/>
          <w:spacing w:val="13"/>
        </w:rPr>
        <w:t>l</w:t>
      </w:r>
      <w:r>
        <w:rPr>
          <w:rFonts w:ascii="Times New Roman" w:eastAsia="Times New Roman"/>
          <w:spacing w:val="10"/>
        </w:rPr>
        <w:t>ysi</w:t>
      </w:r>
      <w:r>
        <w:rPr>
          <w:rFonts w:ascii="Times New Roman" w:eastAsia="Times New Roman"/>
          <w:spacing w:val="12"/>
        </w:rPr>
        <w:t>s</w:t>
      </w:r>
      <w:r>
        <w:rPr>
          <w:spacing w:val="-109"/>
        </w:rPr>
        <w:t>）</w:t>
      </w:r>
      <w:r>
        <w:rPr>
          <w:spacing w:val="-2"/>
        </w:rPr>
        <w:t>、歷史研究法（</w:t>
      </w:r>
      <w:r>
        <w:rPr>
          <w:rFonts w:ascii="Times New Roman" w:eastAsia="Times New Roman"/>
          <w:spacing w:val="-2"/>
        </w:rPr>
        <w:t>Historic </w:t>
      </w:r>
      <w:r>
        <w:rPr>
          <w:rFonts w:ascii="Times New Roman" w:eastAsia="Times New Roman"/>
          <w:spacing w:val="11"/>
        </w:rPr>
        <w:t>R</w:t>
      </w:r>
      <w:r>
        <w:rPr>
          <w:rFonts w:ascii="Times New Roman" w:eastAsia="Times New Roman"/>
          <w:spacing w:val="10"/>
        </w:rPr>
        <w:t>e</w:t>
      </w:r>
      <w:r>
        <w:rPr>
          <w:rFonts w:ascii="Times New Roman" w:eastAsia="Times New Roman"/>
          <w:spacing w:val="11"/>
        </w:rPr>
        <w:t>s</w:t>
      </w:r>
      <w:r>
        <w:rPr>
          <w:rFonts w:ascii="Times New Roman" w:eastAsia="Times New Roman"/>
          <w:spacing w:val="10"/>
        </w:rPr>
        <w:t>ea</w:t>
      </w:r>
      <w:r>
        <w:rPr>
          <w:rFonts w:ascii="Times New Roman" w:eastAsia="Times New Roman"/>
          <w:spacing w:val="12"/>
        </w:rPr>
        <w:t>r</w:t>
      </w:r>
      <w:r>
        <w:rPr>
          <w:rFonts w:ascii="Times New Roman" w:eastAsia="Times New Roman"/>
          <w:spacing w:val="10"/>
        </w:rPr>
        <w:t>c</w:t>
      </w:r>
      <w:r>
        <w:rPr>
          <w:rFonts w:ascii="Times New Roman" w:eastAsia="Times New Roman"/>
          <w:spacing w:val="11"/>
        </w:rPr>
        <w:t>h</w:t>
      </w:r>
      <w:r>
        <w:rPr>
          <w:spacing w:val="-109"/>
        </w:rPr>
        <w:t>）</w:t>
      </w:r>
      <w:r>
        <w:rPr>
          <w:spacing w:val="-120"/>
        </w:rPr>
        <w:t>。</w:t>
      </w:r>
    </w:p>
    <w:p>
      <w:pPr>
        <w:pStyle w:val="BodyText"/>
        <w:spacing w:line="422" w:lineRule="auto" w:before="102"/>
        <w:ind w:right="683" w:firstLine="479"/>
      </w:pPr>
      <w:r>
        <w:rPr>
          <w:spacing w:val="-10"/>
        </w:rPr>
        <w:t>根據 </w:t>
      </w:r>
      <w:r>
        <w:rPr>
          <w:rFonts w:ascii="Times New Roman" w:eastAsia="Times New Roman"/>
        </w:rPr>
        <w:t>Haki</w:t>
      </w:r>
      <w:r>
        <w:rPr>
          <w:rFonts w:ascii="Times New Roman" w:eastAsia="Times New Roman"/>
          <w:spacing w:val="-15"/>
        </w:rPr>
        <w:t> </w:t>
      </w:r>
      <w:r>
        <w:rPr>
          <w:rFonts w:ascii="Times New Roman" w:eastAsia="Times New Roman"/>
        </w:rPr>
        <w:t>et</w:t>
      </w:r>
      <w:r>
        <w:rPr>
          <w:rFonts w:ascii="Times New Roman" w:eastAsia="Times New Roman"/>
          <w:spacing w:val="-15"/>
        </w:rPr>
        <w:t> </w:t>
      </w:r>
      <w:r>
        <w:rPr>
          <w:rFonts w:ascii="Times New Roman" w:eastAsia="Times New Roman"/>
        </w:rPr>
        <w:t>al.</w:t>
      </w:r>
      <w:r>
        <w:rPr/>
        <w:t>（</w:t>
      </w:r>
      <w:r>
        <w:rPr>
          <w:rFonts w:ascii="Times New Roman" w:eastAsia="Times New Roman"/>
        </w:rPr>
        <w:t>2024</w:t>
      </w:r>
      <w:r>
        <w:rPr/>
        <w:t>）的研究，質性研究適用於探索多樣性與文化敏感性</w:t>
      </w:r>
      <w:r>
        <w:rPr>
          <w:spacing w:val="-4"/>
        </w:rPr>
        <w:t>的議題，並能通過對行為與經驗的深入分析提供更豐富的見解。陳向明（</w:t>
      </w:r>
      <w:r>
        <w:rPr>
          <w:rFonts w:ascii="Times New Roman" w:eastAsia="Times New Roman"/>
          <w:spacing w:val="-4"/>
        </w:rPr>
        <w:t>2002</w:t>
      </w:r>
      <w:r>
        <w:rPr>
          <w:spacing w:val="-4"/>
        </w:rPr>
        <w:t>）認為，質性研究將研究者自身視為主要研究工具，通過參與觀察與受訪者互動，</w:t>
      </w:r>
      <w:r>
        <w:rPr>
          <w:spacing w:val="-2"/>
        </w:rPr>
        <w:t>研究者能夠構建對行為與意義的詮釋性理解。這種互動性與靈活性使質性研究能夠在自然情境中揭示隱藏的社會脈絡。</w:t>
      </w:r>
    </w:p>
    <w:p>
      <w:pPr>
        <w:pStyle w:val="BodyText"/>
        <w:spacing w:line="422" w:lineRule="auto" w:before="102"/>
        <w:ind w:right="470" w:firstLine="479"/>
        <w:jc w:val="left"/>
      </w:pPr>
      <w:r>
        <w:rPr/>
        <w:t>此外，</w:t>
      </w:r>
      <w:r>
        <w:rPr>
          <w:rFonts w:ascii="Times New Roman" w:eastAsia="Times New Roman"/>
        </w:rPr>
        <w:t>Strauss</w:t>
      </w:r>
      <w:r>
        <w:rPr>
          <w:rFonts w:ascii="Times New Roman" w:eastAsia="Times New Roman"/>
          <w:spacing w:val="40"/>
        </w:rPr>
        <w:t> </w:t>
      </w:r>
      <w:r>
        <w:rPr/>
        <w:t>和 </w:t>
      </w:r>
      <w:r>
        <w:rPr>
          <w:rFonts w:ascii="Times New Roman" w:eastAsia="Times New Roman"/>
        </w:rPr>
        <w:t>Corbin</w:t>
      </w:r>
      <w:r>
        <w:rPr/>
        <w:t>（</w:t>
      </w:r>
      <w:r>
        <w:rPr>
          <w:rFonts w:ascii="Times New Roman" w:eastAsia="Times New Roman"/>
        </w:rPr>
        <w:t>1990</w:t>
      </w:r>
      <w:r>
        <w:rPr/>
        <w:t>）強調，質性研究通過多元化的資料蒐集與</w:t>
      </w:r>
      <w:r>
        <w:rPr>
          <w:spacing w:val="-6"/>
        </w:rPr>
        <w:t>交叉分析，可有效提升研究的信度與效度。本研究採用質性研究中的個案研究法，</w:t>
      </w:r>
      <w:r>
        <w:rPr>
          <w:spacing w:val="-2"/>
        </w:rPr>
        <w:t>旨在探討個案公司如何運用跨界管理策略，整合內外部資源應對挑戰，並最終實現數位化轉型與組織結構的優化。研究過程中，透過訪談與觀察蒐集資料，並運用歸納分析技術，提取主題與模式，以揭示企業在動態市場環境中的應對策略與發展路徑。</w:t>
      </w:r>
    </w:p>
    <w:p>
      <w:pPr>
        <w:pStyle w:val="BodyText"/>
        <w:spacing w:after="0" w:line="422" w:lineRule="auto"/>
        <w:jc w:val="left"/>
        <w:sectPr>
          <w:pgSz w:w="11910" w:h="16840"/>
          <w:pgMar w:header="0" w:footer="1197" w:top="178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36" w:id="37"/>
      <w:bookmarkEnd w:id="37"/>
      <w:r>
        <w:rPr>
          <w:b w:val="0"/>
        </w:rPr>
      </w:r>
      <w:r>
        <w:rPr/>
        <w:t>個案研究（</w:t>
      </w:r>
      <w:r>
        <w:rPr>
          <w:rFonts w:ascii="Times New Roman" w:eastAsia="Times New Roman"/>
        </w:rPr>
        <w:t>Case</w:t>
      </w:r>
      <w:r>
        <w:rPr>
          <w:rFonts w:ascii="Times New Roman" w:eastAsia="Times New Roman"/>
          <w:spacing w:val="-17"/>
        </w:rPr>
        <w:t> </w:t>
      </w:r>
      <w:r>
        <w:rPr>
          <w:rFonts w:ascii="Times New Roman" w:eastAsia="Times New Roman"/>
          <w:spacing w:val="-2"/>
        </w:rPr>
        <w:t>Study</w:t>
      </w:r>
      <w:r>
        <w:rPr>
          <w:spacing w:val="-2"/>
        </w:rPr>
        <w:t>）</w:t>
      </w:r>
    </w:p>
    <w:p>
      <w:pPr>
        <w:pStyle w:val="BodyText"/>
        <w:spacing w:line="422" w:lineRule="auto" w:before="312"/>
        <w:ind w:right="683" w:firstLine="479"/>
      </w:pPr>
      <w:r>
        <w:rPr>
          <w:spacing w:val="-2"/>
        </w:rPr>
        <w:t>個案研究（</w:t>
      </w:r>
      <w:r>
        <w:rPr>
          <w:rFonts w:ascii="Times New Roman" w:eastAsia="Times New Roman"/>
          <w:spacing w:val="-2"/>
        </w:rPr>
        <w:t>Case</w:t>
      </w:r>
      <w:r>
        <w:rPr>
          <w:rFonts w:ascii="Times New Roman" w:eastAsia="Times New Roman"/>
          <w:spacing w:val="-7"/>
        </w:rPr>
        <w:t> </w:t>
      </w:r>
      <w:r>
        <w:rPr>
          <w:rFonts w:ascii="Times New Roman" w:eastAsia="Times New Roman"/>
          <w:spacing w:val="-2"/>
        </w:rPr>
        <w:t>Study</w:t>
      </w:r>
      <w:r>
        <w:rPr>
          <w:spacing w:val="-2"/>
        </w:rPr>
        <w:t>）是質化研究中的重要方法，能深入探討特定現象或</w:t>
      </w:r>
      <w:r>
        <w:rPr>
          <w:spacing w:val="-4"/>
        </w:rPr>
        <w:t>脈絡，尤其適用於揭示複雜動態、獨特背景或新興現象的研究（</w:t>
      </w:r>
      <w:r>
        <w:rPr>
          <w:rFonts w:ascii="Times New Roman" w:eastAsia="Times New Roman"/>
          <w:spacing w:val="-4"/>
        </w:rPr>
        <w:t>Yin,</w:t>
      </w:r>
      <w:r>
        <w:rPr>
          <w:rFonts w:ascii="Times New Roman" w:eastAsia="Times New Roman"/>
          <w:spacing w:val="-11"/>
        </w:rPr>
        <w:t> </w:t>
      </w:r>
      <w:r>
        <w:rPr>
          <w:rFonts w:ascii="Times New Roman" w:eastAsia="Times New Roman"/>
          <w:spacing w:val="20"/>
        </w:rPr>
        <w:t>2018</w:t>
      </w:r>
      <w:r>
        <w:rPr>
          <w:spacing w:val="-100"/>
        </w:rPr>
        <w:t>）</w:t>
      </w:r>
      <w:r>
        <w:rPr>
          <w:spacing w:val="-4"/>
        </w:rPr>
        <w:t>。個案研究以其細緻的分析能力提供豐富洞察，適合解答多樣化的研究問題。根據研</w:t>
      </w:r>
      <w:r>
        <w:rPr>
          <w:spacing w:val="-8"/>
        </w:rPr>
        <w:t>究目標和問題，</w:t>
      </w:r>
      <w:r>
        <w:rPr>
          <w:rFonts w:ascii="Times New Roman" w:eastAsia="Times New Roman"/>
          <w:spacing w:val="-8"/>
        </w:rPr>
        <w:t>Yin</w:t>
      </w:r>
      <w:r>
        <w:rPr>
          <w:spacing w:val="-8"/>
        </w:rPr>
        <w:t>（</w:t>
      </w:r>
      <w:r>
        <w:rPr>
          <w:rFonts w:ascii="Times New Roman" w:eastAsia="Times New Roman"/>
          <w:spacing w:val="-8"/>
        </w:rPr>
        <w:t>2009</w:t>
      </w:r>
      <w:r>
        <w:rPr>
          <w:spacing w:val="-8"/>
        </w:rPr>
        <w:t>）</w:t>
      </w:r>
      <w:r>
        <w:rPr>
          <w:spacing w:val="-9"/>
        </w:rPr>
        <w:t>將個案研究分為描述性、解釋性和探索性三種類型：</w:t>
      </w:r>
    </w:p>
    <w:p>
      <w:pPr>
        <w:pStyle w:val="ListParagraph"/>
        <w:numPr>
          <w:ilvl w:val="2"/>
          <w:numId w:val="12"/>
        </w:numPr>
        <w:tabs>
          <w:tab w:pos="1528" w:val="left" w:leader="none"/>
        </w:tabs>
        <w:spacing w:line="336" w:lineRule="auto" w:before="24" w:after="0"/>
        <w:ind w:left="1528" w:right="685" w:hanging="480"/>
        <w:jc w:val="left"/>
        <w:rPr>
          <w:rFonts w:ascii="Times New Roman" w:eastAsia="Times New Roman"/>
          <w:b/>
          <w:sz w:val="24"/>
        </w:rPr>
      </w:pPr>
      <w:r>
        <w:rPr>
          <w:rFonts w:ascii="Microsoft JhengHei" w:eastAsia="Microsoft JhengHei"/>
          <w:b/>
          <w:spacing w:val="-6"/>
          <w:sz w:val="24"/>
        </w:rPr>
        <w:t>描述性案例研究：</w:t>
      </w:r>
      <w:r>
        <w:rPr>
          <w:spacing w:val="-12"/>
          <w:sz w:val="24"/>
        </w:rPr>
        <w:t>著重於詳述現象及其背景，旨在回答「發生了什麼？」</w:t>
      </w:r>
      <w:r>
        <w:rPr>
          <w:spacing w:val="-2"/>
          <w:sz w:val="24"/>
        </w:rPr>
        <w:t>的問題，例如描述某特定市場的發展過程。</w:t>
      </w:r>
    </w:p>
    <w:p>
      <w:pPr>
        <w:pStyle w:val="ListParagraph"/>
        <w:numPr>
          <w:ilvl w:val="2"/>
          <w:numId w:val="12"/>
        </w:numPr>
        <w:tabs>
          <w:tab w:pos="1528" w:val="left" w:leader="none"/>
        </w:tabs>
        <w:spacing w:line="336" w:lineRule="auto" w:before="140" w:after="0"/>
        <w:ind w:left="1528" w:right="685" w:hanging="480"/>
        <w:jc w:val="left"/>
        <w:rPr>
          <w:rFonts w:ascii="Times New Roman" w:eastAsia="Times New Roman"/>
          <w:b/>
          <w:sz w:val="24"/>
        </w:rPr>
      </w:pPr>
      <w:r>
        <w:rPr>
          <w:rFonts w:ascii="Microsoft JhengHei" w:eastAsia="Microsoft JhengHei"/>
          <w:b/>
          <w:spacing w:val="-6"/>
          <w:sz w:val="24"/>
        </w:rPr>
        <w:t>解釋性案例研究</w:t>
      </w:r>
      <w:r>
        <w:rPr>
          <w:spacing w:val="-13"/>
          <w:sz w:val="24"/>
        </w:rPr>
        <w:t>：聚焦於探索因果關係，回答「某事如何或為何發生？」</w:t>
      </w:r>
      <w:r>
        <w:rPr>
          <w:spacing w:val="-2"/>
          <w:sz w:val="24"/>
        </w:rPr>
        <w:t>的問題，常用於分析政策對行為的影響等研究。</w:t>
      </w:r>
    </w:p>
    <w:p>
      <w:pPr>
        <w:pStyle w:val="ListParagraph"/>
        <w:numPr>
          <w:ilvl w:val="2"/>
          <w:numId w:val="12"/>
        </w:numPr>
        <w:tabs>
          <w:tab w:pos="1528" w:val="left" w:leader="none"/>
        </w:tabs>
        <w:spacing w:line="336" w:lineRule="auto" w:before="140" w:after="0"/>
        <w:ind w:left="1528" w:right="685" w:hanging="480"/>
        <w:jc w:val="left"/>
        <w:rPr>
          <w:rFonts w:ascii="Times New Roman" w:eastAsia="Times New Roman"/>
          <w:b/>
          <w:sz w:val="24"/>
        </w:rPr>
      </w:pPr>
      <w:r>
        <w:rPr>
          <w:rFonts w:ascii="Times New Roman" w:eastAsia="Times New Roman"/>
          <w:b/>
          <w:sz w:val="24"/>
        </w:rPr>
        <w:drawing>
          <wp:anchor distT="0" distB="0" distL="0" distR="0" allowOverlap="1" layoutInCell="1" locked="0" behindDoc="1" simplePos="0" relativeHeight="485794304">
            <wp:simplePos x="0" y="0"/>
            <wp:positionH relativeFrom="page">
              <wp:posOffset>3312414</wp:posOffset>
            </wp:positionH>
            <wp:positionV relativeFrom="paragraph">
              <wp:posOffset>345991</wp:posOffset>
            </wp:positionV>
            <wp:extent cx="929640" cy="978408"/>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eastAsia="Microsoft JhengHei"/>
          <w:b/>
          <w:spacing w:val="-2"/>
          <w:sz w:val="24"/>
        </w:rPr>
        <w:t>探索性案例研究：</w:t>
      </w:r>
      <w:r>
        <w:rPr>
          <w:spacing w:val="-2"/>
          <w:sz w:val="24"/>
        </w:rPr>
        <w:t>用於提出研究問題或發展理論框架，特別適合知識基礎有限或研究初期的情境。</w:t>
      </w:r>
    </w:p>
    <w:p>
      <w:pPr>
        <w:pStyle w:val="BodyText"/>
        <w:spacing w:line="422" w:lineRule="auto" w:before="219"/>
        <w:ind w:right="683" w:firstLine="479"/>
      </w:pPr>
      <w:r>
        <w:rPr>
          <w:spacing w:val="-6"/>
        </w:rPr>
        <w:t>根據個案數量的不同，個案研究可分為單一個案研究與多重個案研究。單一</w:t>
      </w:r>
      <w:r>
        <w:rPr>
          <w:spacing w:val="-4"/>
        </w:rPr>
        <w:t>個案研究集中於單一個體、組織或現象，適合研究具有關鍵性、獨特性或極端特</w:t>
      </w:r>
      <w:r>
        <w:rPr>
          <w:spacing w:val="-2"/>
        </w:rPr>
        <w:t>徵的案例（</w:t>
      </w:r>
      <w:r>
        <w:rPr>
          <w:rFonts w:ascii="Times New Roman" w:eastAsia="Times New Roman"/>
          <w:spacing w:val="-2"/>
        </w:rPr>
        <w:t>Siggelkow</w:t>
      </w:r>
      <w:r>
        <w:rPr>
          <w:rFonts w:ascii="Times New Roman" w:eastAsia="Times New Roman"/>
          <w:spacing w:val="-8"/>
        </w:rPr>
        <w:t>, </w:t>
      </w:r>
      <w:r>
        <w:rPr>
          <w:rFonts w:ascii="Times New Roman" w:eastAsia="Times New Roman"/>
          <w:spacing w:val="21"/>
        </w:rPr>
        <w:t>200</w:t>
      </w:r>
      <w:r>
        <w:rPr>
          <w:rFonts w:ascii="Times New Roman" w:eastAsia="Times New Roman"/>
          <w:spacing w:val="22"/>
        </w:rPr>
        <w:t>7</w:t>
      </w:r>
      <w:r>
        <w:rPr>
          <w:spacing w:val="-99"/>
        </w:rPr>
        <w:t>）</w:t>
      </w:r>
      <w:r>
        <w:rPr>
          <w:spacing w:val="-2"/>
        </w:rPr>
        <w:t>。透過深入分析，單一個案研究不僅能精細描述現</w:t>
      </w:r>
      <w:r>
        <w:rPr>
          <w:spacing w:val="-4"/>
        </w:rPr>
        <w:t>象，還能驗證或挑戰既有理論，揭示隨時間推移的動態過程。與之相比，多重個案研究，以一致的研究設計和分析方法，比較個案間的差異，從多元證據中提取</w:t>
      </w:r>
      <w:r>
        <w:rPr/>
        <w:t>理論，進一步提升研究結論的廣泛性與說服力（</w:t>
      </w:r>
      <w:r>
        <w:rPr>
          <w:rFonts w:ascii="Times New Roman" w:eastAsia="Times New Roman"/>
        </w:rPr>
        <w:t>Eisenhardt, </w:t>
      </w:r>
      <w:r>
        <w:rPr>
          <w:rFonts w:ascii="Times New Roman" w:eastAsia="Times New Roman"/>
          <w:spacing w:val="24"/>
        </w:rPr>
        <w:t>198</w:t>
      </w:r>
      <w:r>
        <w:rPr>
          <w:rFonts w:ascii="Times New Roman" w:eastAsia="Times New Roman"/>
          <w:spacing w:val="23"/>
        </w:rPr>
        <w:t>9</w:t>
      </w:r>
      <w:r>
        <w:rPr>
          <w:spacing w:val="-96"/>
        </w:rPr>
        <w:t>）</w:t>
      </w:r>
      <w:r>
        <w:rPr>
          <w:spacing w:val="-120"/>
        </w:rPr>
        <w:t>。</w:t>
      </w:r>
    </w:p>
    <w:p>
      <w:pPr>
        <w:pStyle w:val="BodyText"/>
        <w:spacing w:line="422" w:lineRule="auto" w:before="101"/>
        <w:ind w:right="683" w:firstLine="479"/>
      </w:pPr>
      <w:r>
        <w:rPr>
          <w:spacing w:val="-6"/>
        </w:rPr>
        <w:t>綜合上述，本研究聚焦於照護科技公司如何有效管理與分配資源，以商業運</w:t>
      </w:r>
      <w:r>
        <w:rPr>
          <w:spacing w:val="-8"/>
        </w:rPr>
        <w:t>營的發展。為此，本研究採用「單一個案研究法」，選擇台灣照護科技公司作為</w:t>
      </w:r>
      <w:r>
        <w:rPr>
          <w:spacing w:val="-4"/>
        </w:rPr>
        <w:t>研究對象。該個案公司的選擇基於其關鍵性與獨特性。關鍵性在於，台灣市場的</w:t>
      </w:r>
      <w:r>
        <w:rPr/>
        <w:t>限制條件使該公司成為檢驗理論的核心案例；而獨特性則反映在資源稀缺的環</w:t>
      </w:r>
      <w:r>
        <w:rPr>
          <w:spacing w:val="-4"/>
        </w:rPr>
        <w:t>境下，該公司展現出獨特的創新策略和資源配置模式。這些特徵不僅具有高度研</w:t>
      </w:r>
      <w:r>
        <w:rPr>
          <w:spacing w:val="-2"/>
        </w:rPr>
        <w:t>究價值，也為揭示在其他市場中難以觀察的現象提供了重要契機。</w:t>
      </w:r>
    </w:p>
    <w:p>
      <w:pPr>
        <w:pStyle w:val="BodyText"/>
        <w:spacing w:after="0" w:line="422" w:lineRule="auto"/>
        <w:sectPr>
          <w:pgSz w:w="11910" w:h="16840"/>
          <w:pgMar w:header="0" w:footer="1197" w:top="1780" w:bottom="1380" w:left="1133" w:right="1133"/>
        </w:sectPr>
      </w:pPr>
    </w:p>
    <w:p>
      <w:pPr>
        <w:pStyle w:val="Heading2"/>
        <w:spacing w:line="492" w:lineRule="exact"/>
        <w:ind w:left="568"/>
        <w:rPr>
          <w:position w:val="1"/>
        </w:rPr>
      </w:pPr>
      <w:r>
        <w:rPr>
          <w:b w:val="0"/>
        </w:rPr>
        <w:drawing>
          <wp:inline distT="0" distB="0" distL="0" distR="0">
            <wp:extent cx="393953" cy="145542"/>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65" cstate="print"/>
                    <a:stretch>
                      <a:fillRect/>
                    </a:stretch>
                  </pic:blipFill>
                  <pic:spPr>
                    <a:xfrm>
                      <a:off x="0" y="0"/>
                      <a:ext cx="393953"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37" w:id="38"/>
      <w:bookmarkEnd w:id="38"/>
      <w:r>
        <w:rPr>
          <w:rFonts w:ascii="Times New Roman" w:eastAsia="Times New Roman"/>
          <w:b w:val="0"/>
          <w:spacing w:val="-12"/>
          <w:position w:val="1"/>
          <w:sz w:val="20"/>
        </w:rPr>
      </w:r>
      <w:r>
        <w:rPr>
          <w:spacing w:val="-4"/>
          <w:position w:val="1"/>
        </w:rPr>
        <w:t>單一個案研究的設計與步驟</w:t>
      </w:r>
    </w:p>
    <w:p>
      <w:pPr>
        <w:pStyle w:val="Heading4"/>
        <w:spacing w:before="307"/>
      </w:pPr>
      <w:r>
        <w:rPr>
          <w:spacing w:val="-3"/>
        </w:rPr>
        <w:t>設計原則</w:t>
      </w:r>
    </w:p>
    <w:p>
      <w:pPr>
        <w:pStyle w:val="BodyText"/>
        <w:spacing w:line="422" w:lineRule="auto" w:before="358"/>
        <w:ind w:right="689" w:firstLine="479"/>
        <w:jc w:val="left"/>
      </w:pPr>
      <w:r>
        <w:rPr>
          <w:spacing w:val="-2"/>
        </w:rPr>
        <w:t>單一個案研究的設計應聚焦於明確的研究問題，並以理論框架指導資料蒐</w:t>
      </w:r>
      <w:r>
        <w:rPr>
          <w:spacing w:val="-1"/>
        </w:rPr>
        <w:t>集與分析。案例的選擇應具有理論或實務意義，確保其能充分回答研究問題</w:t>
      </w:r>
    </w:p>
    <w:p>
      <w:pPr>
        <w:pStyle w:val="BodyText"/>
        <w:spacing w:line="422" w:lineRule="auto"/>
        <w:ind w:right="685"/>
        <w:jc w:val="left"/>
      </w:pPr>
      <w:r>
        <w:rPr>
          <w:spacing w:val="-2"/>
        </w:rPr>
        <w:t>（</w:t>
      </w:r>
      <w:r>
        <w:rPr>
          <w:rFonts w:ascii="Times New Roman" w:eastAsia="Times New Roman"/>
          <w:spacing w:val="-2"/>
        </w:rPr>
        <w:t>Eisenhardt</w:t>
      </w:r>
      <w:r>
        <w:rPr>
          <w:rFonts w:ascii="Times New Roman" w:eastAsia="Times New Roman"/>
          <w:spacing w:val="-7"/>
        </w:rPr>
        <w:t> </w:t>
      </w:r>
      <w:r>
        <w:rPr>
          <w:rFonts w:ascii="Times New Roman" w:eastAsia="Times New Roman"/>
          <w:spacing w:val="-2"/>
        </w:rPr>
        <w:t>&amp;</w:t>
      </w:r>
      <w:r>
        <w:rPr>
          <w:rFonts w:ascii="Times New Roman" w:eastAsia="Times New Roman"/>
          <w:spacing w:val="-6"/>
        </w:rPr>
        <w:t> </w:t>
      </w:r>
      <w:r>
        <w:rPr>
          <w:rFonts w:ascii="Times New Roman" w:eastAsia="Times New Roman"/>
          <w:spacing w:val="-2"/>
        </w:rPr>
        <w:t>Graebner</w:t>
      </w:r>
      <w:r>
        <w:rPr>
          <w:rFonts w:ascii="Times New Roman" w:eastAsia="Times New Roman"/>
          <w:spacing w:val="-5"/>
        </w:rPr>
        <w:t>, </w:t>
      </w:r>
      <w:r>
        <w:rPr>
          <w:rFonts w:ascii="Times New Roman" w:eastAsia="Times New Roman"/>
          <w:spacing w:val="21"/>
        </w:rPr>
        <w:t>200</w:t>
      </w:r>
      <w:r>
        <w:rPr>
          <w:rFonts w:ascii="Times New Roman" w:eastAsia="Times New Roman"/>
          <w:spacing w:val="22"/>
        </w:rPr>
        <w:t>7</w:t>
      </w:r>
      <w:r>
        <w:rPr>
          <w:spacing w:val="-99"/>
        </w:rPr>
        <w:t>）</w:t>
      </w:r>
      <w:r>
        <w:rPr>
          <w:spacing w:val="-2"/>
        </w:rPr>
        <w:t>。此外，研究者應以系統性方法收集資料，並通過適當的分析工具提取關鍵洞見。</w:t>
      </w:r>
    </w:p>
    <w:p>
      <w:pPr>
        <w:pStyle w:val="Heading4"/>
        <w:spacing w:before="96"/>
      </w:pPr>
      <w:r>
        <w:rPr>
          <w:spacing w:val="-3"/>
        </w:rPr>
        <w:t>研究步驟</w:t>
      </w:r>
    </w:p>
    <w:p>
      <w:pPr>
        <w:pStyle w:val="BodyText"/>
        <w:spacing w:before="358"/>
        <w:ind w:left="1168"/>
        <w:jc w:val="left"/>
      </w:pPr>
      <w:r>
        <w:rPr>
          <w:spacing w:val="-1"/>
        </w:rPr>
        <w:t>單一個案研究的具體步驟如下：</w:t>
      </w:r>
    </w:p>
    <w:p>
      <w:pPr>
        <w:pStyle w:val="ListParagraph"/>
        <w:numPr>
          <w:ilvl w:val="0"/>
          <w:numId w:val="13"/>
        </w:numPr>
        <w:tabs>
          <w:tab w:pos="1408" w:val="left" w:leader="none"/>
        </w:tabs>
        <w:spacing w:line="336" w:lineRule="auto" w:before="262" w:after="0"/>
        <w:ind w:left="1408" w:right="685" w:hanging="360"/>
        <w:jc w:val="left"/>
        <w:rPr>
          <w:sz w:val="24"/>
        </w:rPr>
      </w:pPr>
      <w:r>
        <w:rPr>
          <w:sz w:val="24"/>
        </w:rPr>
        <w:drawing>
          <wp:anchor distT="0" distB="0" distL="0" distR="0" allowOverlap="1" layoutInCell="1" locked="0" behindDoc="1" simplePos="0" relativeHeight="485794816">
            <wp:simplePos x="0" y="0"/>
            <wp:positionH relativeFrom="page">
              <wp:posOffset>3312414</wp:posOffset>
            </wp:positionH>
            <wp:positionV relativeFrom="paragraph">
              <wp:posOffset>468903</wp:posOffset>
            </wp:positionV>
            <wp:extent cx="929640" cy="978408"/>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6" cstate="print"/>
                    <a:stretch>
                      <a:fillRect/>
                    </a:stretch>
                  </pic:blipFill>
                  <pic:spPr>
                    <a:xfrm>
                      <a:off x="0" y="0"/>
                      <a:ext cx="929640" cy="978408"/>
                    </a:xfrm>
                    <a:prstGeom prst="rect">
                      <a:avLst/>
                    </a:prstGeom>
                  </pic:spPr>
                </pic:pic>
              </a:graphicData>
            </a:graphic>
          </wp:anchor>
        </w:drawing>
      </w:r>
      <w:r>
        <w:rPr>
          <w:rFonts w:ascii="Microsoft JhengHei" w:eastAsia="Microsoft JhengHei"/>
          <w:b/>
          <w:spacing w:val="-6"/>
          <w:sz w:val="24"/>
        </w:rPr>
        <w:t>確認研究問題與範疇：</w:t>
      </w:r>
      <w:r>
        <w:rPr>
          <w:spacing w:val="-6"/>
          <w:sz w:val="24"/>
        </w:rPr>
        <w:t>明確研究背景與目標，選擇具有代表性或典範意義</w:t>
      </w:r>
      <w:r>
        <w:rPr>
          <w:sz w:val="24"/>
        </w:rPr>
        <w:t>的案例，並構建與研究問題相關的理論框架（</w:t>
      </w:r>
      <w:r>
        <w:rPr>
          <w:rFonts w:ascii="Times New Roman" w:eastAsia="Times New Roman"/>
          <w:sz w:val="24"/>
        </w:rPr>
        <w:t>Yin, </w:t>
      </w:r>
      <w:r>
        <w:rPr>
          <w:rFonts w:ascii="Times New Roman" w:eastAsia="Times New Roman"/>
          <w:spacing w:val="24"/>
          <w:sz w:val="24"/>
        </w:rPr>
        <w:t>2018</w:t>
      </w:r>
      <w:r>
        <w:rPr>
          <w:spacing w:val="-96"/>
          <w:sz w:val="24"/>
        </w:rPr>
        <w:t>）</w:t>
      </w:r>
      <w:r>
        <w:rPr>
          <w:spacing w:val="-120"/>
          <w:sz w:val="24"/>
        </w:rPr>
        <w:t>。</w:t>
      </w:r>
    </w:p>
    <w:p>
      <w:pPr>
        <w:pStyle w:val="ListParagraph"/>
        <w:numPr>
          <w:ilvl w:val="0"/>
          <w:numId w:val="13"/>
        </w:numPr>
        <w:tabs>
          <w:tab w:pos="1408" w:val="left" w:leader="none"/>
        </w:tabs>
        <w:spacing w:line="336" w:lineRule="auto" w:before="139" w:after="0"/>
        <w:ind w:left="1408" w:right="685" w:hanging="360"/>
        <w:jc w:val="left"/>
        <w:rPr>
          <w:sz w:val="24"/>
        </w:rPr>
      </w:pPr>
      <w:r>
        <w:rPr>
          <w:rFonts w:ascii="Microsoft JhengHei" w:eastAsia="Microsoft JhengHei"/>
          <w:b/>
          <w:spacing w:val="-6"/>
          <w:sz w:val="24"/>
        </w:rPr>
        <w:t>多重資料蒐集：</w:t>
      </w:r>
      <w:r>
        <w:rPr>
          <w:spacing w:val="-6"/>
          <w:sz w:val="24"/>
        </w:rPr>
        <w:t>通過訪談、觀察、文件分析等多樣化方法蒐集資料，確保</w:t>
      </w:r>
      <w:r>
        <w:rPr>
          <w:sz w:val="24"/>
        </w:rPr>
        <w:t>研究的深度與廣度（</w:t>
      </w:r>
      <w:r>
        <w:rPr>
          <w:rFonts w:ascii="Times New Roman" w:eastAsia="Times New Roman"/>
          <w:sz w:val="24"/>
        </w:rPr>
        <w:t>Eisenhardt, </w:t>
      </w:r>
      <w:r>
        <w:rPr>
          <w:rFonts w:ascii="Times New Roman" w:eastAsia="Times New Roman"/>
          <w:spacing w:val="24"/>
          <w:sz w:val="24"/>
        </w:rPr>
        <w:t>1989</w:t>
      </w:r>
      <w:r>
        <w:rPr>
          <w:spacing w:val="-96"/>
          <w:sz w:val="24"/>
        </w:rPr>
        <w:t>）</w:t>
      </w:r>
      <w:r>
        <w:rPr>
          <w:spacing w:val="-120"/>
          <w:sz w:val="24"/>
        </w:rPr>
        <w:t>。</w:t>
      </w:r>
    </w:p>
    <w:p>
      <w:pPr>
        <w:pStyle w:val="ListParagraph"/>
        <w:numPr>
          <w:ilvl w:val="0"/>
          <w:numId w:val="13"/>
        </w:numPr>
        <w:tabs>
          <w:tab w:pos="1408" w:val="left" w:leader="none"/>
        </w:tabs>
        <w:spacing w:line="336" w:lineRule="auto" w:before="140" w:after="0"/>
        <w:ind w:left="1408" w:right="470" w:hanging="360"/>
        <w:jc w:val="left"/>
        <w:rPr>
          <w:sz w:val="24"/>
        </w:rPr>
      </w:pPr>
      <w:r>
        <w:rPr>
          <w:rFonts w:ascii="Microsoft JhengHei" w:eastAsia="Microsoft JhengHei"/>
          <w:b/>
          <w:spacing w:val="-6"/>
          <w:sz w:val="24"/>
        </w:rPr>
        <w:t>資料分析：</w:t>
      </w:r>
      <w:r>
        <w:rPr>
          <w:spacing w:val="-6"/>
          <w:sz w:val="24"/>
        </w:rPr>
        <w:t>運用歸納法與理論驅動分析法，提取資料中的模式與關鍵結論，</w:t>
      </w:r>
      <w:r>
        <w:rPr>
          <w:sz w:val="24"/>
        </w:rPr>
        <w:t>並結合理論解釋研究現象（</w:t>
      </w:r>
      <w:r>
        <w:rPr>
          <w:rFonts w:ascii="Times New Roman" w:eastAsia="Times New Roman"/>
          <w:sz w:val="24"/>
        </w:rPr>
        <w:t>Strauss &amp; Corbin, </w:t>
      </w:r>
      <w:r>
        <w:rPr>
          <w:rFonts w:ascii="Times New Roman" w:eastAsia="Times New Roman"/>
          <w:spacing w:val="24"/>
          <w:sz w:val="24"/>
        </w:rPr>
        <w:t>1990</w:t>
      </w:r>
      <w:r>
        <w:rPr>
          <w:spacing w:val="-96"/>
          <w:sz w:val="24"/>
        </w:rPr>
        <w:t>）</w:t>
      </w:r>
      <w:r>
        <w:rPr>
          <w:spacing w:val="-120"/>
          <w:sz w:val="24"/>
        </w:rPr>
        <w:t>。</w:t>
      </w:r>
    </w:p>
    <w:p>
      <w:pPr>
        <w:pStyle w:val="ListParagraph"/>
        <w:numPr>
          <w:ilvl w:val="0"/>
          <w:numId w:val="13"/>
        </w:numPr>
        <w:tabs>
          <w:tab w:pos="1408" w:val="left" w:leader="none"/>
        </w:tabs>
        <w:spacing w:line="336" w:lineRule="auto" w:before="140" w:after="0"/>
        <w:ind w:left="1408" w:right="685" w:hanging="360"/>
        <w:jc w:val="left"/>
        <w:rPr>
          <w:sz w:val="24"/>
        </w:rPr>
      </w:pPr>
      <w:r>
        <w:rPr>
          <w:rFonts w:ascii="Microsoft JhengHei" w:eastAsia="Microsoft JhengHei"/>
          <w:b/>
          <w:spacing w:val="-6"/>
          <w:sz w:val="24"/>
        </w:rPr>
        <w:t>研究報告撰寫：</w:t>
      </w:r>
      <w:r>
        <w:rPr>
          <w:spacing w:val="-6"/>
          <w:sz w:val="24"/>
        </w:rPr>
        <w:t>強調案例對理論與實務的貢獻，並清楚呈現研究過程與結</w:t>
      </w:r>
      <w:r>
        <w:rPr>
          <w:sz w:val="24"/>
        </w:rPr>
        <w:t>論（</w:t>
      </w:r>
      <w:r>
        <w:rPr>
          <w:rFonts w:ascii="Times New Roman" w:eastAsia="Times New Roman"/>
          <w:sz w:val="24"/>
        </w:rPr>
        <w:t>Yin, </w:t>
      </w:r>
      <w:r>
        <w:rPr>
          <w:rFonts w:ascii="Times New Roman" w:eastAsia="Times New Roman"/>
          <w:spacing w:val="23"/>
          <w:sz w:val="24"/>
        </w:rPr>
        <w:t>201</w:t>
      </w:r>
      <w:r>
        <w:rPr>
          <w:rFonts w:ascii="Times New Roman" w:eastAsia="Times New Roman"/>
          <w:spacing w:val="24"/>
          <w:sz w:val="24"/>
        </w:rPr>
        <w:t>8</w:t>
      </w:r>
      <w:r>
        <w:rPr>
          <w:spacing w:val="-97"/>
          <w:sz w:val="24"/>
        </w:rPr>
        <w:t>）</w:t>
      </w:r>
      <w:r>
        <w:rPr>
          <w:spacing w:val="-120"/>
          <w:sz w:val="24"/>
        </w:rPr>
        <w:t>。</w:t>
      </w:r>
    </w:p>
    <w:p>
      <w:pPr>
        <w:pStyle w:val="ListParagraph"/>
        <w:spacing w:after="0" w:line="336" w:lineRule="auto"/>
        <w:jc w:val="left"/>
        <w:rPr>
          <w:sz w:val="24"/>
        </w:rPr>
        <w:sectPr>
          <w:pgSz w:w="11910" w:h="16840"/>
          <w:pgMar w:header="0" w:footer="1197" w:top="188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38" w:id="39"/>
      <w:bookmarkEnd w:id="39"/>
      <w:r>
        <w:rPr>
          <w:b w:val="0"/>
        </w:rPr>
      </w:r>
      <w:r>
        <w:rPr>
          <w:spacing w:val="-4"/>
        </w:rPr>
        <w:t>研究架構</w:t>
      </w:r>
    </w:p>
    <w:p>
      <w:pPr>
        <w:pStyle w:val="BodyText"/>
        <w:spacing w:line="422" w:lineRule="auto" w:before="384"/>
        <w:ind w:right="681" w:firstLine="479"/>
      </w:pPr>
      <w:r>
        <w:rPr>
          <w:spacing w:val="-2"/>
        </w:rPr>
        <w:t>本研究探討照護科技企業如何藉由整合現有資源，尋找潛在機會並彌補資</w:t>
      </w:r>
      <w:r>
        <w:rPr>
          <w:spacing w:val="-4"/>
        </w:rPr>
        <w:t>源不足，以逐步建構更廣泛且深入的產品與服務生態系統。研究以競爭環境為驅動因素，全面檢視照護科技企業內部資源的效能，並制定其拓展策略。在確認拓</w:t>
      </w:r>
      <w:r>
        <w:rPr>
          <w:spacing w:val="-23"/>
        </w:rPr>
        <w:t>展目標後，企業透過跨界管理手段，從市場、知識與技術三個層面探索外部資源，</w:t>
      </w:r>
      <w:r>
        <w:rPr>
          <w:spacing w:val="-2"/>
        </w:rPr>
        <w:t>並針對識別出的關鍵資源進行有效整合。整合過程注重內外部資源的協調與互</w:t>
      </w:r>
      <w:r>
        <w:rPr>
          <w:spacing w:val="-4"/>
        </w:rPr>
        <w:t>補，將外部資源有機地融入企業既有的服務生態體系。此動態整合不僅拓展了產品與服務的廣度、深度與地理覆蓋範圍，更促進了企業競爭優勢的形成，並通過</w:t>
      </w:r>
      <w:r>
        <w:rPr>
          <w:spacing w:val="-2"/>
        </w:rPr>
        <w:t>循環強化與拓展，構建持續增長的動態優勢。</w:t>
      </w:r>
    </w:p>
    <w:p>
      <w:pPr>
        <w:pStyle w:val="BodyText"/>
        <w:spacing w:line="422" w:lineRule="auto" w:before="171"/>
        <w:ind w:right="682" w:firstLine="479"/>
      </w:pPr>
      <w:r>
        <w:rPr/>
        <w:drawing>
          <wp:anchor distT="0" distB="0" distL="0" distR="0" allowOverlap="1" layoutInCell="1" locked="0" behindDoc="1" simplePos="0" relativeHeight="485795840">
            <wp:simplePos x="0" y="0"/>
            <wp:positionH relativeFrom="page">
              <wp:posOffset>3312414</wp:posOffset>
            </wp:positionH>
            <wp:positionV relativeFrom="paragraph">
              <wp:posOffset>361180</wp:posOffset>
            </wp:positionV>
            <wp:extent cx="929640" cy="978408"/>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6" cstate="print"/>
                    <a:stretch>
                      <a:fillRect/>
                    </a:stretch>
                  </pic:blipFill>
                  <pic:spPr>
                    <a:xfrm>
                      <a:off x="0" y="0"/>
                      <a:ext cx="929640" cy="978408"/>
                    </a:xfrm>
                    <a:prstGeom prst="rect">
                      <a:avLst/>
                    </a:prstGeom>
                  </pic:spPr>
                </pic:pic>
              </a:graphicData>
            </a:graphic>
          </wp:anchor>
        </w:drawing>
      </w:r>
      <w:r>
        <w:rPr>
          <w:spacing w:val="-4"/>
        </w:rPr>
        <w:t>綜合上述之理論，本研究架構如圖 </w:t>
      </w:r>
      <w:r>
        <w:rPr>
          <w:rFonts w:ascii="Times New Roman" w:eastAsia="Times New Roman"/>
          <w:spacing w:val="-2"/>
        </w:rPr>
        <w:t>3.4-1</w:t>
      </w:r>
      <w:r>
        <w:rPr>
          <w:rFonts w:ascii="Times New Roman" w:eastAsia="Times New Roman"/>
          <w:spacing w:val="-13"/>
        </w:rPr>
        <w:t> </w:t>
      </w:r>
      <w:r>
        <w:rPr>
          <w:spacing w:val="-2"/>
        </w:rPr>
        <w:t>所示，為照護科技企業在市場有限的環境中如何拓展其服務生態系統提供重要的理論支撐與實務指引：</w:t>
      </w:r>
    </w:p>
    <w:p>
      <w:pPr>
        <w:pStyle w:val="BodyText"/>
        <w:spacing w:before="6"/>
        <w:ind w:left="0"/>
        <w:jc w:val="left"/>
        <w:rPr>
          <w:sz w:val="12"/>
        </w:rPr>
      </w:pPr>
      <w:r>
        <w:rPr>
          <w:sz w:val="12"/>
        </w:rPr>
        <w:drawing>
          <wp:anchor distT="0" distB="0" distL="0" distR="0" allowOverlap="1" layoutInCell="1" locked="0" behindDoc="1" simplePos="0" relativeHeight="487612416">
            <wp:simplePos x="0" y="0"/>
            <wp:positionH relativeFrom="page">
              <wp:posOffset>1211580</wp:posOffset>
            </wp:positionH>
            <wp:positionV relativeFrom="paragraph">
              <wp:posOffset>116959</wp:posOffset>
            </wp:positionV>
            <wp:extent cx="5365680" cy="3047047"/>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66" cstate="print"/>
                    <a:stretch>
                      <a:fillRect/>
                    </a:stretch>
                  </pic:blipFill>
                  <pic:spPr>
                    <a:xfrm>
                      <a:off x="0" y="0"/>
                      <a:ext cx="5365680" cy="3047047"/>
                    </a:xfrm>
                    <a:prstGeom prst="rect">
                      <a:avLst/>
                    </a:prstGeom>
                  </pic:spPr>
                </pic:pic>
              </a:graphicData>
            </a:graphic>
          </wp:anchor>
        </w:drawing>
      </w:r>
    </w:p>
    <w:p>
      <w:pPr>
        <w:spacing w:line="396" w:lineRule="auto" w:before="58"/>
        <w:ind w:left="3559" w:right="3678" w:firstLine="122"/>
        <w:jc w:val="center"/>
        <w:rPr>
          <w:sz w:val="24"/>
        </w:rPr>
      </w:pPr>
      <w:bookmarkStart w:name="_bookmark39" w:id="40"/>
      <w:bookmarkEnd w:id="40"/>
      <w:r>
        <w:rPr/>
      </w:r>
      <w:r>
        <w:rPr>
          <w:rFonts w:ascii="Microsoft JhengHei" w:eastAsia="Microsoft JhengHei"/>
          <w:b/>
          <w:spacing w:val="20"/>
          <w:sz w:val="24"/>
        </w:rPr>
        <w:t>圖 </w:t>
      </w:r>
      <w:r>
        <w:rPr>
          <w:rFonts w:ascii="Times New Roman" w:eastAsia="Times New Roman"/>
          <w:b/>
          <w:sz w:val="24"/>
        </w:rPr>
        <w:t>3.4-1</w:t>
      </w:r>
      <w:r>
        <w:rPr>
          <w:rFonts w:ascii="Times New Roman" w:eastAsia="Times New Roman"/>
          <w:b/>
          <w:spacing w:val="40"/>
          <w:sz w:val="24"/>
        </w:rPr>
        <w:t> </w:t>
      </w:r>
      <w:r>
        <w:rPr>
          <w:rFonts w:ascii="Microsoft JhengHei" w:eastAsia="Microsoft JhengHei"/>
          <w:b/>
          <w:sz w:val="24"/>
        </w:rPr>
        <w:t>研究架構圖</w:t>
      </w:r>
      <w:r>
        <w:rPr>
          <w:spacing w:val="-1"/>
          <w:sz w:val="24"/>
        </w:rPr>
        <w:t>資料來源：本研究整理</w:t>
      </w:r>
    </w:p>
    <w:p>
      <w:pPr>
        <w:spacing w:after="0" w:line="396" w:lineRule="auto"/>
        <w:jc w:val="center"/>
        <w:rPr>
          <w:sz w:val="24"/>
        </w:rPr>
        <w:sectPr>
          <w:pgSz w:w="11910" w:h="16840"/>
          <w:pgMar w:header="0" w:footer="1197" w:top="1780" w:bottom="1380" w:left="1133" w:right="1133"/>
        </w:sectPr>
      </w:pPr>
    </w:p>
    <w:p>
      <w:pPr>
        <w:pStyle w:val="BodyText"/>
        <w:spacing w:line="389" w:lineRule="exact"/>
        <w:ind w:left="1168"/>
      </w:pPr>
      <w:r>
        <w:rPr>
          <w:rFonts w:ascii="Microsoft JhengHei" w:eastAsia="Microsoft JhengHei"/>
          <w:b/>
          <w:spacing w:val="8"/>
        </w:rPr>
        <w:t>競爭環境 </w:t>
      </w:r>
      <w:r>
        <w:rPr>
          <w:spacing w:val="-1"/>
        </w:rPr>
        <w:t>指組織所處的外部條件，包括市場趨勢、顧客需求、競爭對手行</w:t>
      </w:r>
    </w:p>
    <w:p>
      <w:pPr>
        <w:pStyle w:val="BodyText"/>
        <w:spacing w:line="422" w:lineRule="auto" w:before="178"/>
        <w:ind w:right="683"/>
      </w:pPr>
      <w:r>
        <w:rPr>
          <w:spacing w:val="-4"/>
        </w:rPr>
        <w:t>為、供應鏈關係及替代品威脅等，這些因素決定了企業的競爭能。企業透過分析競爭環境，能辨識市場機會與挑戰，進而動態調整資源配置與策略制定，提升市</w:t>
      </w:r>
      <w:r>
        <w:rPr>
          <w:spacing w:val="-2"/>
        </w:rPr>
        <w:t>場競爭力。</w:t>
      </w:r>
    </w:p>
    <w:p>
      <w:pPr>
        <w:pStyle w:val="BodyText"/>
        <w:spacing w:line="336" w:lineRule="auto" w:before="25"/>
        <w:ind w:right="685" w:firstLine="479"/>
      </w:pPr>
      <w:r>
        <w:rPr>
          <w:rFonts w:ascii="Microsoft JhengHei" w:eastAsia="Microsoft JhengHei"/>
          <w:b/>
          <w:spacing w:val="8"/>
        </w:rPr>
        <w:t>組織策略 </w:t>
      </w:r>
      <w:r>
        <w:rPr>
          <w:spacing w:val="-10"/>
        </w:rPr>
        <w:t>是 </w:t>
      </w:r>
      <w:r>
        <w:rPr>
          <w:rFonts w:ascii="Times New Roman" w:eastAsia="Times New Roman"/>
        </w:rPr>
        <w:t>SaaS </w:t>
      </w:r>
      <w:r>
        <w:rPr/>
        <w:t>企業在競爭環境中制定的行動計畫，聚焦於內外部資源</w:t>
      </w:r>
      <w:r>
        <w:rPr>
          <w:spacing w:val="-7"/>
        </w:rPr>
        <w:t>的高效整合，滿足多樣化市場需求，並透過外部反饋不斷迭代，實現業務增長與</w:t>
      </w:r>
    </w:p>
    <w:p>
      <w:pPr>
        <w:pStyle w:val="BodyText"/>
        <w:spacing w:line="422" w:lineRule="auto" w:before="111"/>
        <w:ind w:right="683"/>
      </w:pPr>
      <w:r>
        <w:rPr>
          <w:spacing w:val="-4"/>
        </w:rPr>
        <w:t>持續競爭優勢。這種策略既能快速響應市場變化，也能支持企業在動態環境中的</w:t>
      </w:r>
      <w:r>
        <w:rPr/>
        <w:t>長期發展（</w:t>
      </w:r>
      <w:r>
        <w:rPr>
          <w:rFonts w:ascii="Times New Roman" w:eastAsia="Times New Roman"/>
        </w:rPr>
        <w:t>Oliveira et al., </w:t>
      </w:r>
      <w:r>
        <w:rPr>
          <w:rFonts w:ascii="Times New Roman" w:eastAsia="Times New Roman"/>
          <w:spacing w:val="24"/>
        </w:rPr>
        <w:t>2019</w:t>
      </w:r>
      <w:r>
        <w:rPr>
          <w:spacing w:val="-96"/>
        </w:rPr>
        <w:t>）</w:t>
      </w:r>
      <w:r>
        <w:rPr/>
        <w:t>。</w:t>
      </w:r>
    </w:p>
    <w:p>
      <w:pPr>
        <w:spacing w:before="27"/>
        <w:ind w:left="689" w:right="0" w:firstLine="479"/>
        <w:jc w:val="both"/>
        <w:rPr>
          <w:sz w:val="24"/>
        </w:rPr>
      </w:pPr>
      <w:r>
        <w:rPr>
          <w:rFonts w:ascii="Microsoft JhengHei" w:eastAsia="Microsoft JhengHei"/>
          <w:b/>
          <w:spacing w:val="6"/>
          <w:sz w:val="24"/>
        </w:rPr>
        <w:t>市場跨界探索 </w:t>
      </w:r>
      <w:r>
        <w:rPr>
          <w:spacing w:val="-1"/>
          <w:sz w:val="24"/>
        </w:rPr>
        <w:t>是企業分析市場需求、競爭格局與利害關係人網路以尋找未</w:t>
      </w:r>
    </w:p>
    <w:p>
      <w:pPr>
        <w:pStyle w:val="BodyText"/>
        <w:spacing w:before="178"/>
        <w:rPr>
          <w:rFonts w:ascii="Times New Roman" w:eastAsia="Times New Roman"/>
        </w:rPr>
      </w:pPr>
      <w:r>
        <w:rPr/>
        <w:t>滿足需求的過程，其邊界形成包含買賣行為、國家政策、時間空間等</w:t>
      </w:r>
      <w:r>
        <w:rPr>
          <w:spacing w:val="-2"/>
        </w:rPr>
        <w:t>（</w:t>
      </w:r>
      <w:r>
        <w:rPr>
          <w:rFonts w:ascii="Times New Roman" w:eastAsia="Times New Roman"/>
          <w:spacing w:val="-2"/>
        </w:rPr>
        <w:t>Ahrne,</w:t>
      </w:r>
    </w:p>
    <w:p>
      <w:pPr>
        <w:pStyle w:val="BodyText"/>
        <w:spacing w:before="232"/>
      </w:pPr>
      <w:r>
        <w:rPr/>
        <w:drawing>
          <wp:anchor distT="0" distB="0" distL="0" distR="0" allowOverlap="1" layoutInCell="1" locked="0" behindDoc="1" simplePos="0" relativeHeight="485796352">
            <wp:simplePos x="0" y="0"/>
            <wp:positionH relativeFrom="page">
              <wp:posOffset>3312414</wp:posOffset>
            </wp:positionH>
            <wp:positionV relativeFrom="paragraph">
              <wp:posOffset>262701</wp:posOffset>
            </wp:positionV>
            <wp:extent cx="929640" cy="978408"/>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hAnsi="Times New Roman" w:eastAsia="Times New Roman"/>
        </w:rPr>
        <w:t>Aspers</w:t>
      </w:r>
      <w:r>
        <w:rPr>
          <w:rFonts w:ascii="Times New Roman" w:hAnsi="Times New Roman" w:eastAsia="Times New Roman"/>
          <w:spacing w:val="-17"/>
        </w:rPr>
        <w:t> </w:t>
      </w:r>
      <w:r>
        <w:rPr>
          <w:rFonts w:ascii="Times New Roman" w:hAnsi="Times New Roman" w:eastAsia="Times New Roman"/>
        </w:rPr>
        <w:t>&amp;</w:t>
      </w:r>
      <w:r>
        <w:rPr>
          <w:rFonts w:ascii="Times New Roman" w:hAnsi="Times New Roman" w:eastAsia="Times New Roman"/>
          <w:spacing w:val="-13"/>
        </w:rPr>
        <w:t> </w:t>
      </w:r>
      <w:r>
        <w:rPr>
          <w:rFonts w:ascii="Times New Roman" w:hAnsi="Times New Roman" w:eastAsia="Times New Roman"/>
        </w:rPr>
        <w:t>Brunsson,</w:t>
      </w:r>
      <w:r>
        <w:rPr>
          <w:rFonts w:ascii="Times New Roman" w:hAnsi="Times New Roman" w:eastAsia="Times New Roman"/>
          <w:spacing w:val="-14"/>
        </w:rPr>
        <w:t> </w:t>
      </w:r>
      <w:r>
        <w:rPr>
          <w:rFonts w:ascii="Times New Roman" w:hAnsi="Times New Roman" w:eastAsia="Times New Roman"/>
        </w:rPr>
        <w:t>2015;</w:t>
      </w:r>
      <w:r>
        <w:rPr>
          <w:rFonts w:ascii="Times New Roman" w:hAnsi="Times New Roman" w:eastAsia="Times New Roman"/>
          <w:spacing w:val="-13"/>
        </w:rPr>
        <w:t> </w:t>
      </w:r>
      <w:r>
        <w:rPr>
          <w:rFonts w:ascii="Times New Roman" w:hAnsi="Times New Roman" w:eastAsia="Times New Roman"/>
        </w:rPr>
        <w:t>Doganova</w:t>
      </w:r>
      <w:r>
        <w:rPr>
          <w:rFonts w:ascii="Times New Roman" w:hAnsi="Times New Roman" w:eastAsia="Times New Roman"/>
          <w:spacing w:val="-15"/>
        </w:rPr>
        <w:t> </w:t>
      </w:r>
      <w:r>
        <w:rPr>
          <w:rFonts w:ascii="Times New Roman" w:hAnsi="Times New Roman" w:eastAsia="Times New Roman"/>
        </w:rPr>
        <w:t>&amp;</w:t>
      </w:r>
      <w:r>
        <w:rPr>
          <w:rFonts w:ascii="Times New Roman" w:hAnsi="Times New Roman" w:eastAsia="Times New Roman"/>
          <w:spacing w:val="-13"/>
        </w:rPr>
        <w:t> </w:t>
      </w:r>
      <w:r>
        <w:rPr>
          <w:rFonts w:ascii="Times New Roman" w:hAnsi="Times New Roman" w:eastAsia="Times New Roman"/>
        </w:rPr>
        <w:t>Laurent,</w:t>
      </w:r>
      <w:r>
        <w:rPr>
          <w:rFonts w:ascii="Times New Roman" w:hAnsi="Times New Roman" w:eastAsia="Times New Roman"/>
          <w:spacing w:val="-12"/>
        </w:rPr>
        <w:t> </w:t>
      </w:r>
      <w:r>
        <w:rPr>
          <w:rFonts w:ascii="Times New Roman" w:hAnsi="Times New Roman" w:eastAsia="Times New Roman"/>
        </w:rPr>
        <w:t>2019;</w:t>
      </w:r>
      <w:r>
        <w:rPr>
          <w:rFonts w:ascii="Times New Roman" w:hAnsi="Times New Roman" w:eastAsia="Times New Roman"/>
          <w:spacing w:val="-14"/>
        </w:rPr>
        <w:t> </w:t>
      </w:r>
      <w:r>
        <w:rPr>
          <w:rFonts w:ascii="Times New Roman" w:hAnsi="Times New Roman" w:eastAsia="Times New Roman"/>
        </w:rPr>
        <w:t>Jutterström,</w:t>
      </w:r>
      <w:r>
        <w:rPr>
          <w:rFonts w:ascii="Times New Roman" w:hAnsi="Times New Roman" w:eastAsia="Times New Roman"/>
          <w:spacing w:val="-13"/>
        </w:rPr>
        <w:t> </w:t>
      </w:r>
      <w:r>
        <w:rPr>
          <w:rFonts w:ascii="Times New Roman" w:hAnsi="Times New Roman" w:eastAsia="Times New Roman"/>
          <w:spacing w:val="23"/>
        </w:rPr>
        <w:t>202</w:t>
      </w:r>
      <w:r>
        <w:rPr>
          <w:rFonts w:ascii="Times New Roman" w:hAnsi="Times New Roman" w:eastAsia="Times New Roman"/>
          <w:spacing w:val="24"/>
        </w:rPr>
        <w:t>3</w:t>
      </w:r>
      <w:r>
        <w:rPr>
          <w:spacing w:val="-97"/>
        </w:rPr>
        <w:t>）</w:t>
      </w:r>
      <w:r>
        <w:rPr>
          <w:spacing w:val="-10"/>
        </w:rPr>
        <w:t>。</w:t>
      </w:r>
    </w:p>
    <w:p>
      <w:pPr>
        <w:pStyle w:val="BodyText"/>
        <w:spacing w:line="540" w:lineRule="exact" w:before="149"/>
        <w:ind w:right="626" w:firstLine="479"/>
      </w:pPr>
      <w:r>
        <w:rPr>
          <w:rFonts w:ascii="Microsoft JhengHei" w:hAnsi="Microsoft JhengHei" w:eastAsia="Microsoft JhengHei"/>
          <w:b/>
        </w:rPr>
        <w:t>市場跨界資源行動</w:t>
      </w:r>
      <w:r>
        <w:rPr>
          <w:rFonts w:ascii="Microsoft JhengHei" w:hAnsi="Microsoft JhengHei" w:eastAsia="Microsoft JhengHei"/>
          <w:b/>
          <w:spacing w:val="80"/>
          <w:w w:val="150"/>
        </w:rPr>
        <w:t> </w:t>
      </w:r>
      <w:r>
        <w:rPr/>
        <w:t>則關注如何運用內部資源之競爭力開發新功能已拓展</w:t>
      </w:r>
      <w:r>
        <w:rPr>
          <w:spacing w:val="-2"/>
        </w:rPr>
        <w:t>新市場或新客群（</w:t>
      </w:r>
      <w:r>
        <w:rPr>
          <w:rFonts w:ascii="Times New Roman" w:hAnsi="Times New Roman" w:eastAsia="Times New Roman"/>
          <w:spacing w:val="-2"/>
        </w:rPr>
        <w:t>Jutterström,</w:t>
      </w:r>
      <w:r>
        <w:rPr>
          <w:rFonts w:ascii="Times New Roman" w:hAnsi="Times New Roman" w:eastAsia="Times New Roman"/>
          <w:spacing w:val="-13"/>
        </w:rPr>
        <w:t> </w:t>
      </w:r>
      <w:r>
        <w:rPr>
          <w:rFonts w:ascii="Times New Roman" w:hAnsi="Times New Roman" w:eastAsia="Times New Roman"/>
          <w:spacing w:val="22"/>
        </w:rPr>
        <w:t>2023</w:t>
      </w:r>
      <w:r>
        <w:rPr>
          <w:spacing w:val="-98"/>
        </w:rPr>
        <w:t>）</w:t>
      </w:r>
      <w:r>
        <w:rPr>
          <w:spacing w:val="-2"/>
        </w:rPr>
        <w:t>。這一過程不僅能幫助企業突破市場限制，還能增強市場影響力，實現價值創造與競爭優勢的持續增長。</w:t>
      </w:r>
    </w:p>
    <w:p>
      <w:pPr>
        <w:pStyle w:val="BodyText"/>
        <w:spacing w:line="540" w:lineRule="exact" w:before="108"/>
        <w:ind w:right="619" w:firstLine="479"/>
      </w:pPr>
      <w:r>
        <w:rPr>
          <w:rFonts w:ascii="Microsoft JhengHei" w:eastAsia="Microsoft JhengHei"/>
          <w:b/>
        </w:rPr>
        <w:t>知識跨界探索 </w:t>
      </w:r>
      <w:r>
        <w:rPr/>
        <w:t>是企業識別內部知識不足並積極尋求外部知識來源的行為，其邊界形成的原因包括資訊孤島、專業知識差距以及文化障礙等（</w:t>
      </w:r>
      <w:r>
        <w:rPr>
          <w:rFonts w:ascii="Times New Roman" w:eastAsia="Times New Roman"/>
        </w:rPr>
        <w:t>Jing &amp; Yang, 2010; Burbach et al., 2023; Carlile &amp; Dionne, </w:t>
      </w:r>
      <w:r>
        <w:rPr>
          <w:rFonts w:ascii="Times New Roman" w:eastAsia="Times New Roman"/>
          <w:spacing w:val="23"/>
        </w:rPr>
        <w:t>202</w:t>
      </w:r>
      <w:r>
        <w:rPr>
          <w:rFonts w:ascii="Times New Roman" w:eastAsia="Times New Roman"/>
          <w:spacing w:val="24"/>
        </w:rPr>
        <w:t>4</w:t>
      </w:r>
      <w:r>
        <w:rPr>
          <w:spacing w:val="-97"/>
        </w:rPr>
        <w:t>）</w:t>
      </w:r>
      <w:r>
        <w:rPr/>
        <w:t>。</w:t>
      </w:r>
    </w:p>
    <w:p>
      <w:pPr>
        <w:pStyle w:val="BodyText"/>
        <w:spacing w:line="336" w:lineRule="auto" w:before="221"/>
        <w:ind w:right="449" w:firstLine="479"/>
      </w:pPr>
      <w:r>
        <w:rPr>
          <w:rFonts w:ascii="Microsoft JhengHei" w:eastAsia="Microsoft JhengHei"/>
          <w:b/>
        </w:rPr>
        <w:t>知識跨界資源行動 </w:t>
      </w:r>
      <w:r>
        <w:rPr/>
        <w:t>則著重於整合外部知識資源以促進創新。透過這些行動，企業能提共享見解與最佳實踐來促進創新（</w:t>
      </w:r>
      <w:r>
        <w:rPr>
          <w:rFonts w:ascii="Times New Roman" w:eastAsia="Times New Roman"/>
        </w:rPr>
        <w:t>Hong &amp; Sternthal, </w:t>
      </w:r>
      <w:r>
        <w:rPr>
          <w:rFonts w:ascii="Times New Roman" w:eastAsia="Times New Roman"/>
          <w:spacing w:val="20"/>
        </w:rPr>
        <w:t>201</w:t>
      </w:r>
      <w:r>
        <w:rPr>
          <w:rFonts w:ascii="Times New Roman" w:eastAsia="Times New Roman"/>
          <w:spacing w:val="21"/>
        </w:rPr>
        <w:t>0</w:t>
      </w:r>
      <w:r>
        <w:rPr>
          <w:spacing w:val="-100"/>
        </w:rPr>
        <w:t>）</w:t>
      </w:r>
      <w:r>
        <w:rPr>
          <w:spacing w:val="2"/>
        </w:rPr>
        <w:t>，快速適應</w:t>
      </w:r>
    </w:p>
    <w:p>
      <w:pPr>
        <w:pStyle w:val="BodyText"/>
        <w:spacing w:before="111"/>
        <w:jc w:val="left"/>
      </w:pPr>
      <w:r>
        <w:rPr>
          <w:spacing w:val="-1"/>
        </w:rPr>
        <w:t>新趨勢或是新市場，並在行業中保持競爭力。</w:t>
      </w:r>
    </w:p>
    <w:p>
      <w:pPr>
        <w:pStyle w:val="BodyText"/>
        <w:spacing w:line="540" w:lineRule="exact" w:before="149"/>
        <w:ind w:right="683" w:firstLine="479"/>
      </w:pPr>
      <w:r>
        <w:rPr>
          <w:rFonts w:ascii="Microsoft JhengHei" w:eastAsia="Microsoft JhengHei"/>
          <w:b/>
        </w:rPr>
        <w:t>技術跨界探索 </w:t>
      </w:r>
      <w:r>
        <w:rPr/>
        <w:t>是指企業識別技術創新或升級需求，以支持業務發展。技術</w:t>
      </w:r>
      <w:r>
        <w:rPr>
          <w:spacing w:val="-4"/>
        </w:rPr>
        <w:t>邊界的形成方式包括基礎設施兼容的物理邊界、組織溝通與協作的概念邊界，以</w:t>
      </w:r>
      <w:r>
        <w:rPr>
          <w:spacing w:val="-2"/>
        </w:rPr>
        <w:t>及文化差異與利益衝突的社會邊界。</w:t>
      </w:r>
    </w:p>
    <w:p>
      <w:pPr>
        <w:pStyle w:val="BodyText"/>
        <w:spacing w:after="0" w:line="540" w:lineRule="exact"/>
        <w:sectPr>
          <w:pgSz w:w="11910" w:h="16840"/>
          <w:pgMar w:header="0" w:footer="1197" w:top="1760" w:bottom="1380" w:left="1133" w:right="1133"/>
        </w:sectPr>
      </w:pPr>
    </w:p>
    <w:p>
      <w:pPr>
        <w:spacing w:line="389" w:lineRule="exact" w:before="0"/>
        <w:ind w:left="1168" w:right="0" w:firstLine="0"/>
        <w:jc w:val="both"/>
        <w:rPr>
          <w:sz w:val="24"/>
        </w:rPr>
      </w:pPr>
      <w:r>
        <w:rPr>
          <w:rFonts w:ascii="Microsoft JhengHei" w:eastAsia="Microsoft JhengHei"/>
          <w:b/>
          <w:spacing w:val="6"/>
          <w:sz w:val="24"/>
        </w:rPr>
        <w:t>跨界資源行動 </w:t>
      </w:r>
      <w:r>
        <w:rPr>
          <w:spacing w:val="-1"/>
          <w:sz w:val="24"/>
        </w:rPr>
        <w:t>聚焦於跨越技術邊界，與外部技術資源合作來促進創新，幫</w:t>
      </w:r>
    </w:p>
    <w:p>
      <w:pPr>
        <w:pStyle w:val="BodyText"/>
        <w:spacing w:line="422" w:lineRule="auto" w:before="178"/>
        <w:ind w:right="683"/>
      </w:pPr>
      <w:r>
        <w:rPr>
          <w:spacing w:val="-2"/>
        </w:rPr>
        <w:t>助企業突破技術限制（</w:t>
      </w:r>
      <w:r>
        <w:rPr>
          <w:rFonts w:ascii="Times New Roman" w:eastAsia="Times New Roman"/>
          <w:spacing w:val="-2"/>
        </w:rPr>
        <w:t>Wilhelm</w:t>
      </w:r>
      <w:r>
        <w:rPr>
          <w:rFonts w:ascii="Times New Roman" w:eastAsia="Times New Roman"/>
          <w:spacing w:val="-4"/>
        </w:rPr>
        <w:t> </w:t>
      </w:r>
      <w:r>
        <w:rPr>
          <w:rFonts w:ascii="Times New Roman" w:eastAsia="Times New Roman"/>
          <w:spacing w:val="-2"/>
        </w:rPr>
        <w:t>&amp;</w:t>
      </w:r>
      <w:r>
        <w:rPr>
          <w:rFonts w:ascii="Times New Roman" w:eastAsia="Times New Roman"/>
          <w:spacing w:val="-4"/>
        </w:rPr>
        <w:t> </w:t>
      </w:r>
      <w:r>
        <w:rPr>
          <w:rFonts w:ascii="Times New Roman" w:eastAsia="Times New Roman"/>
          <w:spacing w:val="-2"/>
        </w:rPr>
        <w:t>Dolfsma</w:t>
      </w:r>
      <w:r>
        <w:rPr>
          <w:rFonts w:ascii="Times New Roman" w:eastAsia="Times New Roman"/>
          <w:spacing w:val="-4"/>
        </w:rPr>
        <w:t>, </w:t>
      </w:r>
      <w:r>
        <w:rPr>
          <w:rFonts w:ascii="Times New Roman" w:eastAsia="Times New Roman"/>
          <w:spacing w:val="21"/>
        </w:rPr>
        <w:t>2</w:t>
      </w:r>
      <w:r>
        <w:rPr>
          <w:rFonts w:ascii="Times New Roman" w:eastAsia="Times New Roman"/>
          <w:spacing w:val="23"/>
        </w:rPr>
        <w:t>0</w:t>
      </w:r>
      <w:r>
        <w:rPr>
          <w:rFonts w:ascii="Times New Roman" w:eastAsia="Times New Roman"/>
          <w:spacing w:val="21"/>
        </w:rPr>
        <w:t>1</w:t>
      </w:r>
      <w:r>
        <w:rPr>
          <w:rFonts w:ascii="Times New Roman" w:eastAsia="Times New Roman"/>
          <w:spacing w:val="22"/>
        </w:rPr>
        <w:t>8</w:t>
      </w:r>
      <w:r>
        <w:rPr>
          <w:spacing w:val="-99"/>
        </w:rPr>
        <w:t>）</w:t>
      </w:r>
      <w:r>
        <w:rPr>
          <w:spacing w:val="-2"/>
        </w:rPr>
        <w:t>。通過優化產品性能與運營效</w:t>
      </w:r>
      <w:r>
        <w:rPr>
          <w:spacing w:val="-4"/>
        </w:rPr>
        <w:t>率，企業最終將這些技術創新內化為組織資產，並憑藉先進技術形成持久的競爭</w:t>
      </w:r>
      <w:r>
        <w:rPr>
          <w:spacing w:val="-6"/>
        </w:rPr>
        <w:t>力。</w:t>
      </w:r>
    </w:p>
    <w:p>
      <w:pPr>
        <w:pStyle w:val="BodyText"/>
        <w:spacing w:line="336" w:lineRule="auto" w:before="25"/>
        <w:ind w:right="684" w:firstLine="479"/>
        <w:rPr>
          <w:rFonts w:ascii="Times New Roman" w:eastAsia="Times New Roman"/>
        </w:rPr>
      </w:pPr>
      <w:r>
        <w:rPr>
          <w:rFonts w:ascii="Microsoft JhengHei" w:eastAsia="Microsoft JhengHei"/>
          <w:b/>
        </w:rPr>
        <w:t>服務生態系的動態拓展 </w:t>
      </w:r>
      <w:r>
        <w:rPr/>
        <w:t>是企業藉由探索市場、知識與技術邊界並採取資源</w:t>
      </w:r>
      <w:r>
        <w:rPr>
          <w:spacing w:val="-2"/>
        </w:rPr>
        <w:t>行動，與顧客、廠商等利害關係人等行為者共同構成的動態調整的網路（</w:t>
      </w:r>
      <w:r>
        <w:rPr>
          <w:rFonts w:ascii="Times New Roman" w:eastAsia="Times New Roman"/>
          <w:spacing w:val="-2"/>
        </w:rPr>
        <w:t>Lusch</w:t>
      </w:r>
    </w:p>
    <w:p>
      <w:pPr>
        <w:pStyle w:val="BodyText"/>
        <w:spacing w:line="422" w:lineRule="auto" w:before="111"/>
        <w:ind w:right="686"/>
      </w:pPr>
      <w:r>
        <w:rPr/>
        <w:drawing>
          <wp:anchor distT="0" distB="0" distL="0" distR="0" allowOverlap="1" layoutInCell="1" locked="0" behindDoc="1" simplePos="0" relativeHeight="485796864">
            <wp:simplePos x="0" y="0"/>
            <wp:positionH relativeFrom="page">
              <wp:posOffset>3312414</wp:posOffset>
            </wp:positionH>
            <wp:positionV relativeFrom="paragraph">
              <wp:posOffset>1626190</wp:posOffset>
            </wp:positionV>
            <wp:extent cx="929640" cy="978408"/>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eastAsia="Times New Roman"/>
          <w:spacing w:val="-4"/>
        </w:rPr>
        <w:t>&amp;</w:t>
      </w:r>
      <w:r>
        <w:rPr>
          <w:rFonts w:ascii="Times New Roman" w:eastAsia="Times New Roman"/>
          <w:spacing w:val="-11"/>
        </w:rPr>
        <w:t> </w:t>
      </w:r>
      <w:r>
        <w:rPr>
          <w:rFonts w:ascii="Times New Roman" w:eastAsia="Times New Roman"/>
          <w:spacing w:val="-4"/>
        </w:rPr>
        <w:t>Vargo,</w:t>
      </w:r>
      <w:r>
        <w:rPr>
          <w:rFonts w:ascii="Times New Roman" w:eastAsia="Times New Roman"/>
          <w:spacing w:val="-8"/>
        </w:rPr>
        <w:t> </w:t>
      </w:r>
      <w:r>
        <w:rPr>
          <w:rFonts w:ascii="Times New Roman" w:eastAsia="Times New Roman"/>
          <w:spacing w:val="16"/>
        </w:rPr>
        <w:t>2014</w:t>
      </w:r>
      <w:r>
        <w:rPr>
          <w:spacing w:val="-104"/>
        </w:rPr>
        <w:t>）</w:t>
      </w:r>
      <w:r>
        <w:rPr>
          <w:spacing w:val="-4"/>
        </w:rPr>
        <w:t>，不斷拓展服務生態系統的廣度與深度，實現價值的持續創造與</w:t>
      </w:r>
      <w:r>
        <w:rPr/>
        <w:t>整體協同效益的提升（</w:t>
      </w:r>
      <w:r>
        <w:rPr>
          <w:rFonts w:ascii="Times New Roman" w:eastAsia="Times New Roman"/>
        </w:rPr>
        <w:t>Adner, 2017; Benlian et al., </w:t>
      </w:r>
      <w:r>
        <w:rPr>
          <w:rFonts w:ascii="Times New Roman" w:eastAsia="Times New Roman"/>
          <w:spacing w:val="26"/>
        </w:rPr>
        <w:t>20</w:t>
      </w:r>
      <w:r>
        <w:rPr>
          <w:rFonts w:ascii="Times New Roman" w:eastAsia="Times New Roman"/>
          <w:spacing w:val="16"/>
        </w:rPr>
        <w:t>1</w:t>
      </w:r>
      <w:r>
        <w:rPr>
          <w:rFonts w:ascii="Times New Roman" w:eastAsia="Times New Roman"/>
          <w:spacing w:val="26"/>
        </w:rPr>
        <w:t>1</w:t>
      </w:r>
      <w:r>
        <w:rPr>
          <w:spacing w:val="-94"/>
        </w:rPr>
        <w:t>）</w:t>
      </w:r>
      <w:r>
        <w:rPr/>
        <w:t>。</w:t>
      </w:r>
    </w:p>
    <w:p>
      <w:pPr>
        <w:pStyle w:val="BodyText"/>
        <w:spacing w:after="0" w:line="422" w:lineRule="auto"/>
        <w:sectPr>
          <w:pgSz w:w="11910" w:h="16840"/>
          <w:pgMar w:header="0" w:footer="1197" w:top="176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40" w:id="41"/>
      <w:bookmarkEnd w:id="41"/>
      <w:r>
        <w:rPr>
          <w:b w:val="0"/>
        </w:rPr>
      </w:r>
      <w:r>
        <w:rPr>
          <w:spacing w:val="-4"/>
        </w:rPr>
        <w:t>研究觀察重點</w:t>
      </w:r>
    </w:p>
    <w:p>
      <w:pPr>
        <w:pStyle w:val="BodyText"/>
        <w:spacing w:line="422" w:lineRule="auto" w:before="312"/>
        <w:ind w:right="683" w:firstLine="479"/>
      </w:pPr>
      <w:r>
        <w:rPr>
          <w:spacing w:val="-6"/>
        </w:rPr>
        <w:t>本研究以諾亞克科技為研究對象，觀察其在不同階段市場拓展中的實踐。首</w:t>
      </w:r>
      <w:r>
        <w:rPr>
          <w:spacing w:val="-4"/>
        </w:rPr>
        <w:t>先，企業透過感知外部競爭環境，評估市場需求與挑戰；接著，分析內部資源的</w:t>
      </w:r>
      <w:r>
        <w:rPr>
          <w:spacing w:val="-12"/>
        </w:rPr>
        <w:t>優勢與不足，識別關鍵資源缺口；隨後，以跨界管理為手段，積極尋求合作夥伴，</w:t>
      </w:r>
      <w:r>
        <w:rPr>
          <w:spacing w:val="-4"/>
        </w:rPr>
        <w:t>引入所需的關鍵資源；最終，通過資源整合與協同運作，構建具備動態識別能力</w:t>
      </w:r>
      <w:r>
        <w:rPr>
          <w:spacing w:val="-2"/>
        </w:rPr>
        <w:t>的服務生態系統，達成持續價值創造並提升市場競爭力的目標。</w:t>
      </w:r>
    </w:p>
    <w:p>
      <w:pPr>
        <w:pStyle w:val="BodyText"/>
        <w:spacing w:before="103"/>
        <w:ind w:left="1168"/>
      </w:pPr>
      <w:r>
        <w:rPr>
          <w:spacing w:val="-9"/>
        </w:rPr>
        <w:t>觀察重點如表 </w:t>
      </w:r>
      <w:r>
        <w:rPr>
          <w:rFonts w:ascii="Times New Roman" w:eastAsia="Times New Roman"/>
        </w:rPr>
        <w:t>3-5.1</w:t>
      </w:r>
      <w:r>
        <w:rPr>
          <w:rFonts w:ascii="Times New Roman" w:eastAsia="Times New Roman"/>
          <w:spacing w:val="59"/>
        </w:rPr>
        <w:t> </w:t>
      </w:r>
      <w:r>
        <w:rPr>
          <w:spacing w:val="-4"/>
        </w:rPr>
        <w:t>所示：</w:t>
      </w:r>
    </w:p>
    <w:p>
      <w:pPr>
        <w:pStyle w:val="Heading4"/>
        <w:spacing w:before="261"/>
        <w:ind w:left="597" w:right="118"/>
        <w:jc w:val="center"/>
      </w:pPr>
      <w:bookmarkStart w:name="_bookmark41" w:id="42"/>
      <w:bookmarkEnd w:id="42"/>
      <w:r>
        <w:rPr>
          <w:b w:val="0"/>
        </w:rPr>
      </w:r>
      <w:r>
        <w:rPr>
          <w:spacing w:val="31"/>
        </w:rPr>
        <w:t>表 </w:t>
      </w:r>
      <w:r>
        <w:rPr>
          <w:rFonts w:ascii="Times New Roman" w:eastAsia="Times New Roman"/>
        </w:rPr>
        <w:t>3.5-1</w:t>
      </w:r>
      <w:r>
        <w:rPr>
          <w:rFonts w:ascii="Times New Roman" w:eastAsia="Times New Roman"/>
          <w:spacing w:val="61"/>
        </w:rPr>
        <w:t> </w:t>
      </w:r>
      <w:r>
        <w:rPr>
          <w:spacing w:val="-1"/>
        </w:rPr>
        <w:t>理論模型與研究觀察重點</w:t>
      </w:r>
    </w:p>
    <w:p>
      <w:pPr>
        <w:pStyle w:val="BodyText"/>
        <w:spacing w:before="17"/>
        <w:ind w:left="0"/>
        <w:jc w:val="left"/>
        <w:rPr>
          <w:rFonts w:ascii="Microsoft JhengHei"/>
          <w:b/>
          <w:sz w:val="9"/>
        </w:r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630"/>
        <w:gridCol w:w="6380"/>
      </w:tblGrid>
      <w:tr>
        <w:trPr>
          <w:trHeight w:val="719" w:hRule="atLeast"/>
        </w:trPr>
        <w:tc>
          <w:tcPr>
            <w:tcW w:w="2400" w:type="dxa"/>
            <w:gridSpan w:val="2"/>
            <w:shd w:val="clear" w:color="auto" w:fill="D0CECE"/>
          </w:tcPr>
          <w:p>
            <w:pPr>
              <w:pStyle w:val="TableParagraph"/>
              <w:spacing w:before="112"/>
              <w:ind w:left="19"/>
              <w:jc w:val="center"/>
              <w:rPr>
                <w:rFonts w:ascii="Microsoft JhengHei" w:eastAsia="Microsoft JhengHei"/>
                <w:b/>
                <w:sz w:val="24"/>
              </w:rPr>
            </w:pPr>
            <w:r>
              <w:rPr>
                <w:rFonts w:ascii="Microsoft JhengHei" w:eastAsia="Microsoft JhengHei"/>
                <w:b/>
                <w:spacing w:val="-5"/>
                <w:sz w:val="24"/>
              </w:rPr>
              <w:t>理論</w:t>
            </w:r>
          </w:p>
        </w:tc>
        <w:tc>
          <w:tcPr>
            <w:tcW w:w="6380" w:type="dxa"/>
            <w:shd w:val="clear" w:color="auto" w:fill="D0CECE"/>
          </w:tcPr>
          <w:p>
            <w:pPr>
              <w:pStyle w:val="TableParagraph"/>
              <w:spacing w:before="112"/>
              <w:ind w:left="20"/>
              <w:jc w:val="center"/>
              <w:rPr>
                <w:rFonts w:ascii="Microsoft JhengHei" w:eastAsia="Microsoft JhengHei"/>
                <w:b/>
                <w:sz w:val="24"/>
              </w:rPr>
            </w:pPr>
            <w:r>
              <w:rPr>
                <w:rFonts w:ascii="Microsoft JhengHei" w:eastAsia="Microsoft JhengHei"/>
                <w:b/>
                <w:spacing w:val="-3"/>
                <w:sz w:val="24"/>
              </w:rPr>
              <w:t>觀察重點</w:t>
            </w:r>
          </w:p>
        </w:tc>
      </w:tr>
      <w:tr>
        <w:trPr>
          <w:trHeight w:val="1979" w:hRule="atLeast"/>
        </w:trPr>
        <w:tc>
          <w:tcPr>
            <w:tcW w:w="2400" w:type="dxa"/>
            <w:gridSpan w:val="2"/>
          </w:tcPr>
          <w:p>
            <w:pPr>
              <w:pStyle w:val="TableParagraph"/>
              <w:spacing w:before="302"/>
              <w:rPr>
                <w:rFonts w:ascii="Microsoft JhengHei"/>
                <w:b/>
                <w:sz w:val="24"/>
              </w:rPr>
            </w:pPr>
          </w:p>
          <w:p>
            <w:pPr>
              <w:pStyle w:val="TableParagraph"/>
              <w:ind w:left="719"/>
              <w:rPr>
                <w:rFonts w:ascii="Microsoft JhengHei" w:eastAsia="Microsoft JhengHei"/>
                <w:b/>
                <w:sz w:val="24"/>
              </w:rPr>
            </w:pPr>
            <w:r>
              <w:rPr>
                <w:rFonts w:ascii="Microsoft JhengHei" w:eastAsia="Microsoft JhengHei"/>
                <w:b/>
                <w:spacing w:val="-3"/>
                <w:sz w:val="24"/>
              </w:rPr>
              <w:t>競爭環境</w:t>
            </w:r>
          </w:p>
        </w:tc>
        <w:tc>
          <w:tcPr>
            <w:tcW w:w="6380" w:type="dxa"/>
          </w:tcPr>
          <w:p>
            <w:pPr>
              <w:pStyle w:val="TableParagraph"/>
              <w:spacing w:line="422" w:lineRule="auto" w:before="283"/>
              <w:ind w:left="264" w:right="182"/>
              <w:jc w:val="both"/>
              <w:rPr>
                <w:sz w:val="24"/>
              </w:rPr>
            </w:pPr>
            <w:r>
              <w:rPr>
                <w:sz w:val="24"/>
              </w:rPr>
              <mc:AlternateContent>
                <mc:Choice Requires="wps">
                  <w:drawing>
                    <wp:anchor distT="0" distB="0" distL="0" distR="0" allowOverlap="1" layoutInCell="1" locked="0" behindDoc="1" simplePos="0" relativeHeight="485797376">
                      <wp:simplePos x="0" y="0"/>
                      <wp:positionH relativeFrom="column">
                        <wp:posOffset>701167</wp:posOffset>
                      </wp:positionH>
                      <wp:positionV relativeFrom="paragraph">
                        <wp:posOffset>133349</wp:posOffset>
                      </wp:positionV>
                      <wp:extent cx="929640" cy="97853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929640" cy="978535"/>
                                <a:chExt cx="929640" cy="978535"/>
                              </a:xfrm>
                            </wpg:grpSpPr>
                            <pic:pic>
                              <pic:nvPicPr>
                                <pic:cNvPr id="114" name="Image 114"/>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55.210007pt;margin-top:10.499979pt;width:73.2pt;height:77.05pt;mso-position-horizontal-relative:column;mso-position-vertical-relative:paragraph;z-index:-17519104" id="docshapegroup10" coordorigin="1104,210" coordsize="1464,1541">
                      <v:shape style="position:absolute;left:1104;top:210;width:1464;height:1541" type="#_x0000_t75" id="docshape11" stroked="false">
                        <v:imagedata r:id="rId6" o:title=""/>
                      </v:shape>
                      <w10:wrap type="none"/>
                    </v:group>
                  </w:pict>
                </mc:Fallback>
              </mc:AlternateContent>
            </w:r>
            <w:r>
              <w:rPr>
                <w:spacing w:val="-2"/>
                <w:sz w:val="24"/>
              </w:rPr>
              <w:t>觀察組織所處的外部環境中，各種影響組織競爭能力的</w:t>
            </w:r>
            <w:r>
              <w:rPr>
                <w:spacing w:val="-4"/>
                <w:sz w:val="24"/>
              </w:rPr>
              <w:t>因素和條件，通常包括競爭對手、市場趨勢、顧客需求、</w:t>
            </w:r>
            <w:r>
              <w:rPr>
                <w:spacing w:val="-2"/>
                <w:sz w:val="24"/>
              </w:rPr>
              <w:t>替代品威脅、供應鏈關係等？</w:t>
            </w:r>
          </w:p>
        </w:tc>
      </w:tr>
      <w:tr>
        <w:trPr>
          <w:trHeight w:val="1981" w:hRule="atLeast"/>
        </w:trPr>
        <w:tc>
          <w:tcPr>
            <w:tcW w:w="2400" w:type="dxa"/>
            <w:gridSpan w:val="2"/>
          </w:tcPr>
          <w:p>
            <w:pPr>
              <w:pStyle w:val="TableParagraph"/>
              <w:spacing w:before="304"/>
              <w:rPr>
                <w:rFonts w:ascii="Microsoft JhengHei"/>
                <w:b/>
                <w:sz w:val="24"/>
              </w:rPr>
            </w:pPr>
          </w:p>
          <w:p>
            <w:pPr>
              <w:pStyle w:val="TableParagraph"/>
              <w:ind w:left="719"/>
              <w:rPr>
                <w:rFonts w:ascii="Microsoft JhengHei" w:eastAsia="Microsoft JhengHei"/>
                <w:b/>
                <w:sz w:val="24"/>
              </w:rPr>
            </w:pPr>
            <w:r>
              <w:rPr>
                <w:rFonts w:ascii="Microsoft JhengHei" w:eastAsia="Microsoft JhengHei"/>
                <w:b/>
                <w:spacing w:val="-3"/>
                <w:sz w:val="24"/>
              </w:rPr>
              <w:t>組織策略</w:t>
            </w:r>
          </w:p>
        </w:tc>
        <w:tc>
          <w:tcPr>
            <w:tcW w:w="6380" w:type="dxa"/>
          </w:tcPr>
          <w:p>
            <w:pPr>
              <w:pStyle w:val="TableParagraph"/>
              <w:spacing w:line="422" w:lineRule="auto" w:before="285"/>
              <w:ind w:left="264" w:right="213"/>
              <w:jc w:val="both"/>
              <w:rPr>
                <w:sz w:val="24"/>
              </w:rPr>
            </w:pPr>
            <w:r>
              <w:rPr>
                <w:spacing w:val="-11"/>
                <w:sz w:val="24"/>
              </w:rPr>
              <w:t>觀察 </w:t>
            </w:r>
            <w:r>
              <w:rPr>
                <w:rFonts w:ascii="Times New Roman" w:eastAsia="Times New Roman"/>
                <w:spacing w:val="-2"/>
                <w:sz w:val="24"/>
              </w:rPr>
              <w:t>SaaS</w:t>
            </w:r>
            <w:r>
              <w:rPr>
                <w:rFonts w:ascii="Times New Roman" w:eastAsia="Times New Roman"/>
                <w:spacing w:val="-13"/>
                <w:sz w:val="24"/>
              </w:rPr>
              <w:t> </w:t>
            </w:r>
            <w:r>
              <w:rPr>
                <w:spacing w:val="-2"/>
                <w:sz w:val="24"/>
              </w:rPr>
              <w:t>組織如何根據競爭環境制定可行的戰略目標，</w:t>
            </w:r>
            <w:r>
              <w:rPr>
                <w:spacing w:val="-2"/>
                <w:sz w:val="24"/>
              </w:rPr>
              <w:t>幫助組織在動態的環境中作出應對，以實現持續的競爭優勢並支持其業務發展？</w:t>
            </w:r>
          </w:p>
        </w:tc>
      </w:tr>
      <w:tr>
        <w:trPr>
          <w:trHeight w:val="1547" w:hRule="atLeast"/>
        </w:trPr>
        <w:tc>
          <w:tcPr>
            <w:tcW w:w="770" w:type="dxa"/>
            <w:vMerge w:val="restart"/>
          </w:tcPr>
          <w:p>
            <w:pPr>
              <w:pStyle w:val="TableParagraph"/>
              <w:spacing w:before="59"/>
              <w:rPr>
                <w:rFonts w:ascii="Microsoft JhengHei"/>
                <w:b/>
                <w:sz w:val="24"/>
              </w:rPr>
            </w:pPr>
          </w:p>
          <w:p>
            <w:pPr>
              <w:pStyle w:val="TableParagraph"/>
              <w:spacing w:line="292" w:lineRule="auto" w:before="1"/>
              <w:ind w:left="263" w:right="244"/>
              <w:jc w:val="both"/>
              <w:rPr>
                <w:rFonts w:ascii="Microsoft JhengHei" w:eastAsia="Microsoft JhengHei"/>
                <w:b/>
                <w:sz w:val="24"/>
              </w:rPr>
            </w:pPr>
            <w:r>
              <w:rPr>
                <w:rFonts w:ascii="Microsoft JhengHei" w:eastAsia="Microsoft JhengHei"/>
                <w:b/>
                <w:spacing w:val="-10"/>
                <w:sz w:val="24"/>
              </w:rPr>
              <w:t>市場邊界</w:t>
            </w:r>
          </w:p>
        </w:tc>
        <w:tc>
          <w:tcPr>
            <w:tcW w:w="1630" w:type="dxa"/>
          </w:tcPr>
          <w:p>
            <w:pPr>
              <w:pStyle w:val="TableParagraph"/>
              <w:spacing w:line="352" w:lineRule="auto" w:before="203"/>
              <w:ind w:left="573" w:right="554"/>
              <w:jc w:val="center"/>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380" w:type="dxa"/>
          </w:tcPr>
          <w:p>
            <w:pPr>
              <w:pStyle w:val="TableParagraph"/>
              <w:spacing w:line="422" w:lineRule="auto" w:before="338"/>
              <w:ind w:left="264" w:right="238"/>
              <w:rPr>
                <w:sz w:val="24"/>
              </w:rPr>
            </w:pPr>
            <w:r>
              <w:rPr>
                <w:spacing w:val="-2"/>
                <w:sz w:val="24"/>
              </w:rPr>
              <w:t>觀察組織如何尋找市場擴展的機會，並探索潛在市場的需求與未被滿足的區域？</w:t>
            </w:r>
          </w:p>
        </w:tc>
      </w:tr>
      <w:tr>
        <w:trPr>
          <w:trHeight w:val="1549" w:hRule="atLeast"/>
        </w:trPr>
        <w:tc>
          <w:tcPr>
            <w:tcW w:w="770" w:type="dxa"/>
            <w:vMerge/>
            <w:tcBorders>
              <w:top w:val="nil"/>
            </w:tcBorders>
          </w:tcPr>
          <w:p>
            <w:pPr>
              <w:rPr>
                <w:sz w:val="2"/>
                <w:szCs w:val="2"/>
              </w:rPr>
            </w:pPr>
          </w:p>
        </w:tc>
        <w:tc>
          <w:tcPr>
            <w:tcW w:w="1630" w:type="dxa"/>
          </w:tcPr>
          <w:p>
            <w:pPr>
              <w:pStyle w:val="TableParagraph"/>
              <w:spacing w:line="352" w:lineRule="auto" w:before="203"/>
              <w:ind w:left="333" w:right="314" w:firstLine="24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z w:val="24"/>
              </w:rPr>
              <w:t> </w:t>
            </w:r>
            <w:r>
              <w:rPr>
                <w:rFonts w:ascii="Microsoft JhengHei" w:eastAsia="Microsoft JhengHei"/>
                <w:b/>
                <w:spacing w:val="-4"/>
                <w:sz w:val="24"/>
              </w:rPr>
              <w:t>資源行動</w:t>
            </w:r>
          </w:p>
        </w:tc>
        <w:tc>
          <w:tcPr>
            <w:tcW w:w="6380" w:type="dxa"/>
          </w:tcPr>
          <w:p>
            <w:pPr>
              <w:pStyle w:val="TableParagraph"/>
              <w:spacing w:line="422" w:lineRule="auto" w:before="338"/>
              <w:ind w:left="264" w:right="238"/>
              <w:rPr>
                <w:sz w:val="24"/>
              </w:rPr>
            </w:pPr>
            <w:r>
              <w:rPr>
                <w:spacing w:val="-2"/>
                <w:sz w:val="24"/>
              </w:rPr>
              <w:t>觀察組織如何利用現有資源進行市場邊界的擴展，並開發新的客群或市場區域，藉此增加市場影響力？</w:t>
            </w:r>
          </w:p>
        </w:tc>
      </w:tr>
    </w:tbl>
    <w:p>
      <w:pPr>
        <w:pStyle w:val="TableParagraph"/>
        <w:spacing w:after="0" w:line="422" w:lineRule="auto"/>
        <w:rPr>
          <w:sz w:val="24"/>
        </w:rPr>
        <w:sectPr>
          <w:pgSz w:w="11910" w:h="16840"/>
          <w:pgMar w:header="0" w:footer="1197" w:top="1780" w:bottom="1380" w:left="1133" w:right="1133"/>
        </w:sect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630"/>
        <w:gridCol w:w="6380"/>
      </w:tblGrid>
      <w:tr>
        <w:trPr>
          <w:trHeight w:val="1547" w:hRule="atLeast"/>
        </w:trPr>
        <w:tc>
          <w:tcPr>
            <w:tcW w:w="770" w:type="dxa"/>
            <w:vMerge w:val="restart"/>
          </w:tcPr>
          <w:p>
            <w:pPr>
              <w:pStyle w:val="TableParagraph"/>
              <w:spacing w:before="59"/>
              <w:rPr>
                <w:rFonts w:ascii="Microsoft JhengHei"/>
                <w:b/>
                <w:sz w:val="24"/>
              </w:rPr>
            </w:pPr>
          </w:p>
          <w:p>
            <w:pPr>
              <w:pStyle w:val="TableParagraph"/>
              <w:spacing w:line="292" w:lineRule="auto" w:before="1"/>
              <w:ind w:left="263" w:right="244"/>
              <w:jc w:val="both"/>
              <w:rPr>
                <w:rFonts w:ascii="Microsoft JhengHei" w:eastAsia="Microsoft JhengHei"/>
                <w:b/>
                <w:sz w:val="24"/>
              </w:rPr>
            </w:pPr>
            <w:r>
              <w:rPr>
                <w:rFonts w:ascii="Microsoft JhengHei" w:eastAsia="Microsoft JhengHei"/>
                <w:b/>
                <w:spacing w:val="-10"/>
                <w:sz w:val="24"/>
              </w:rPr>
              <w:t>知識邊界</w:t>
            </w:r>
          </w:p>
        </w:tc>
        <w:tc>
          <w:tcPr>
            <w:tcW w:w="1630" w:type="dxa"/>
          </w:tcPr>
          <w:p>
            <w:pPr>
              <w:pStyle w:val="TableParagraph"/>
              <w:spacing w:line="352" w:lineRule="auto" w:before="203"/>
              <w:ind w:left="573" w:right="554"/>
              <w:jc w:val="center"/>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380" w:type="dxa"/>
          </w:tcPr>
          <w:p>
            <w:pPr>
              <w:pStyle w:val="TableParagraph"/>
              <w:spacing w:line="422" w:lineRule="auto" w:before="338"/>
              <w:ind w:left="264" w:right="238"/>
              <w:rPr>
                <w:sz w:val="24"/>
              </w:rPr>
            </w:pPr>
            <w:r>
              <w:rPr>
                <w:spacing w:val="-2"/>
                <w:sz w:val="24"/>
              </w:rPr>
              <w:t>觀察組織如何辨識自身在知識上的不足，並探索外部知識來源以補足這些缺口？</w:t>
            </w:r>
          </w:p>
        </w:tc>
      </w:tr>
      <w:tr>
        <w:trPr>
          <w:trHeight w:val="1547" w:hRule="atLeast"/>
        </w:trPr>
        <w:tc>
          <w:tcPr>
            <w:tcW w:w="770" w:type="dxa"/>
            <w:vMerge/>
            <w:tcBorders>
              <w:top w:val="nil"/>
            </w:tcBorders>
          </w:tcPr>
          <w:p>
            <w:pPr>
              <w:rPr>
                <w:sz w:val="2"/>
                <w:szCs w:val="2"/>
              </w:rPr>
            </w:pPr>
          </w:p>
        </w:tc>
        <w:tc>
          <w:tcPr>
            <w:tcW w:w="1630" w:type="dxa"/>
          </w:tcPr>
          <w:p>
            <w:pPr>
              <w:pStyle w:val="TableParagraph"/>
              <w:spacing w:line="352" w:lineRule="auto" w:before="203"/>
              <w:ind w:left="333" w:right="314" w:firstLine="24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z w:val="24"/>
              </w:rPr>
              <w:t> </w:t>
            </w:r>
            <w:r>
              <w:rPr>
                <w:rFonts w:ascii="Microsoft JhengHei" w:eastAsia="Microsoft JhengHei"/>
                <w:b/>
                <w:spacing w:val="-4"/>
                <w:sz w:val="24"/>
              </w:rPr>
              <w:t>資源行動</w:t>
            </w:r>
          </w:p>
        </w:tc>
        <w:tc>
          <w:tcPr>
            <w:tcW w:w="6380" w:type="dxa"/>
          </w:tcPr>
          <w:p>
            <w:pPr>
              <w:pStyle w:val="TableParagraph"/>
              <w:spacing w:line="422" w:lineRule="auto" w:before="338"/>
              <w:ind w:left="264" w:right="245"/>
              <w:rPr>
                <w:sz w:val="24"/>
              </w:rPr>
            </w:pPr>
            <w:r>
              <w:rPr>
                <w:spacing w:val="-8"/>
                <w:sz w:val="24"/>
              </w:rPr>
              <w:t>觀察組織如何通過利害關係人，獲取所需的知識資源，以</w:t>
            </w:r>
            <w:r>
              <w:rPr>
                <w:spacing w:val="-2"/>
                <w:sz w:val="24"/>
              </w:rPr>
              <w:t>強化其在行業中的競爭力？</w:t>
            </w:r>
          </w:p>
        </w:tc>
      </w:tr>
      <w:tr>
        <w:trPr>
          <w:trHeight w:val="1550" w:hRule="atLeast"/>
        </w:trPr>
        <w:tc>
          <w:tcPr>
            <w:tcW w:w="770" w:type="dxa"/>
            <w:vMerge w:val="restart"/>
          </w:tcPr>
          <w:p>
            <w:pPr>
              <w:pStyle w:val="TableParagraph"/>
              <w:spacing w:line="292" w:lineRule="auto" w:before="206"/>
              <w:ind w:left="263" w:right="244"/>
              <w:jc w:val="both"/>
              <w:rPr>
                <w:rFonts w:ascii="Microsoft JhengHei" w:eastAsia="Microsoft JhengHei"/>
                <w:b/>
                <w:sz w:val="24"/>
              </w:rPr>
            </w:pPr>
            <w:r>
              <w:rPr>
                <w:rFonts w:ascii="Microsoft JhengHei" w:eastAsia="Microsoft JhengHei"/>
                <w:b/>
                <w:spacing w:val="-10"/>
                <w:sz w:val="24"/>
              </w:rPr>
              <w:t>技術邊界</w:t>
            </w:r>
          </w:p>
        </w:tc>
        <w:tc>
          <w:tcPr>
            <w:tcW w:w="1630" w:type="dxa"/>
          </w:tcPr>
          <w:p>
            <w:pPr>
              <w:pStyle w:val="TableParagraph"/>
              <w:spacing w:line="352" w:lineRule="auto" w:before="206"/>
              <w:ind w:left="573" w:right="554"/>
              <w:jc w:val="center"/>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380" w:type="dxa"/>
          </w:tcPr>
          <w:p>
            <w:pPr>
              <w:pStyle w:val="TableParagraph"/>
              <w:spacing w:line="422" w:lineRule="auto" w:before="285"/>
              <w:ind w:left="264" w:right="238"/>
              <w:rPr>
                <w:sz w:val="24"/>
              </w:rPr>
            </w:pPr>
            <w:r>
              <w:rPr>
                <w:spacing w:val="-2"/>
                <w:sz w:val="24"/>
              </w:rPr>
              <w:t>觀察組織如何識別需要技術創新或升級的領域，以便更好地支持業務發展和市場需求？</w:t>
            </w:r>
          </w:p>
        </w:tc>
      </w:tr>
      <w:tr>
        <w:trPr>
          <w:trHeight w:val="1547" w:hRule="atLeast"/>
        </w:trPr>
        <w:tc>
          <w:tcPr>
            <w:tcW w:w="770" w:type="dxa"/>
            <w:vMerge/>
            <w:tcBorders>
              <w:top w:val="nil"/>
            </w:tcBorders>
          </w:tcPr>
          <w:p>
            <w:pPr>
              <w:rPr>
                <w:sz w:val="2"/>
                <w:szCs w:val="2"/>
              </w:rPr>
            </w:pPr>
          </w:p>
        </w:tc>
        <w:tc>
          <w:tcPr>
            <w:tcW w:w="1630" w:type="dxa"/>
          </w:tcPr>
          <w:p>
            <w:pPr>
              <w:pStyle w:val="TableParagraph"/>
              <w:spacing w:line="352" w:lineRule="auto" w:before="203"/>
              <w:ind w:left="333" w:right="314" w:firstLine="24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z w:val="24"/>
              </w:rPr>
              <w:t> </w:t>
            </w:r>
            <w:r>
              <w:rPr>
                <w:rFonts w:ascii="Microsoft JhengHei" w:eastAsia="Microsoft JhengHei"/>
                <w:b/>
                <w:spacing w:val="-4"/>
                <w:sz w:val="24"/>
              </w:rPr>
              <w:t>資源行動</w:t>
            </w:r>
          </w:p>
        </w:tc>
        <w:tc>
          <w:tcPr>
            <w:tcW w:w="6380" w:type="dxa"/>
          </w:tcPr>
          <w:p>
            <w:pPr>
              <w:pStyle w:val="TableParagraph"/>
              <w:spacing w:line="422" w:lineRule="auto" w:before="282"/>
              <w:ind w:left="264" w:right="238"/>
              <w:rPr>
                <w:sz w:val="24"/>
              </w:rPr>
            </w:pPr>
            <w:r>
              <w:rPr>
                <w:spacing w:val="-2"/>
                <w:sz w:val="24"/>
              </w:rPr>
              <w:t>觀察組織如何整合內外部技術資源，通過技術開發與應用來突破技術邊界，提升運營效率與產品創新能力？</w:t>
            </w:r>
          </w:p>
        </w:tc>
      </w:tr>
      <w:tr>
        <w:trPr>
          <w:trHeight w:val="1981" w:hRule="atLeast"/>
        </w:trPr>
        <w:tc>
          <w:tcPr>
            <w:tcW w:w="2400" w:type="dxa"/>
            <w:gridSpan w:val="2"/>
          </w:tcPr>
          <w:p>
            <w:pPr>
              <w:pStyle w:val="TableParagraph"/>
              <w:spacing w:line="352" w:lineRule="auto" w:before="419"/>
              <w:ind w:left="719" w:right="458" w:hanging="243"/>
              <w:rPr>
                <w:rFonts w:ascii="Microsoft JhengHei" w:eastAsia="Microsoft JhengHei"/>
                <w:b/>
                <w:sz w:val="24"/>
              </w:rPr>
            </w:pPr>
            <w:r>
              <w:rPr>
                <w:rFonts w:ascii="Microsoft JhengHei" w:eastAsia="Microsoft JhengHei"/>
                <w:b/>
                <w:spacing w:val="-2"/>
                <w:sz w:val="24"/>
              </w:rPr>
              <w:t>服務生態系的</w:t>
            </w:r>
            <w:r>
              <w:rPr>
                <w:rFonts w:ascii="Microsoft JhengHei" w:eastAsia="Microsoft JhengHei"/>
                <w:b/>
                <w:spacing w:val="-4"/>
                <w:sz w:val="24"/>
              </w:rPr>
              <w:t>動態拓展</w:t>
            </w:r>
          </w:p>
        </w:tc>
        <w:tc>
          <w:tcPr>
            <w:tcW w:w="6380" w:type="dxa"/>
          </w:tcPr>
          <w:p>
            <w:pPr>
              <w:pStyle w:val="TableParagraph"/>
              <w:spacing w:line="422" w:lineRule="auto" w:before="283"/>
              <w:ind w:left="264" w:right="238"/>
              <w:jc w:val="both"/>
              <w:rPr>
                <w:sz w:val="24"/>
              </w:rPr>
            </w:pPr>
            <w:r>
              <w:rPr>
                <w:sz w:val="24"/>
              </w:rPr>
              <mc:AlternateContent>
                <mc:Choice Requires="wps">
                  <w:drawing>
                    <wp:anchor distT="0" distB="0" distL="0" distR="0" allowOverlap="1" layoutInCell="1" locked="0" behindDoc="1" simplePos="0" relativeHeight="485797888">
                      <wp:simplePos x="0" y="0"/>
                      <wp:positionH relativeFrom="column">
                        <wp:posOffset>701167</wp:posOffset>
                      </wp:positionH>
                      <wp:positionV relativeFrom="paragraph">
                        <wp:posOffset>-247650</wp:posOffset>
                      </wp:positionV>
                      <wp:extent cx="929640" cy="978535"/>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929640" cy="978535"/>
                                <a:chExt cx="929640" cy="978535"/>
                              </a:xfrm>
                            </wpg:grpSpPr>
                            <pic:pic>
                              <pic:nvPicPr>
                                <pic:cNvPr id="116" name="Image 116"/>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55.210007pt;margin-top:-19.500021pt;width:73.2pt;height:77.05pt;mso-position-horizontal-relative:column;mso-position-vertical-relative:paragraph;z-index:-17518592" id="docshapegroup12" coordorigin="1104,-390" coordsize="1464,1541">
                      <v:shape style="position:absolute;left:1104;top:-390;width:1464;height:1541" type="#_x0000_t75" id="docshape13" stroked="false">
                        <v:imagedata r:id="rId6" o:title=""/>
                      </v:shape>
                      <w10:wrap type="none"/>
                    </v:group>
                  </w:pict>
                </mc:Fallback>
              </mc:AlternateContent>
            </w:r>
            <w:r>
              <w:rPr>
                <w:spacing w:val="-2"/>
                <w:sz w:val="24"/>
              </w:rPr>
              <w:t>觀察組織如何通過市場、知識與技術邊界的探索與資源</w:t>
            </w:r>
            <w:r>
              <w:rPr>
                <w:spacing w:val="-8"/>
                <w:sz w:val="24"/>
              </w:rPr>
              <w:t>行動，動態地拓展其服務生態系統，實現服務價值的持續</w:t>
            </w:r>
            <w:r>
              <w:rPr>
                <w:spacing w:val="-2"/>
                <w:sz w:val="24"/>
              </w:rPr>
              <w:t>創造與增長，並提升整個生態系統的協同效益。</w:t>
            </w:r>
          </w:p>
        </w:tc>
      </w:tr>
    </w:tbl>
    <w:p>
      <w:pPr>
        <w:pStyle w:val="BodyText"/>
        <w:spacing w:before="236"/>
        <w:ind w:left="597" w:right="118"/>
        <w:jc w:val="center"/>
      </w:pPr>
      <w:r>
        <w:rPr>
          <w:spacing w:val="-1"/>
        </w:rPr>
        <w:t>資料來源：本研究整理</w:t>
      </w:r>
    </w:p>
    <w:p>
      <w:pPr>
        <w:pStyle w:val="BodyText"/>
        <w:spacing w:after="0"/>
        <w:jc w:val="center"/>
        <w:sectPr>
          <w:type w:val="continuous"/>
          <w:pgSz w:w="11910" w:h="16840"/>
          <w:pgMar w:header="0" w:footer="1197" w:top="166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42" w:id="43"/>
      <w:bookmarkEnd w:id="43"/>
      <w:r>
        <w:rPr>
          <w:b w:val="0"/>
        </w:rPr>
      </w:r>
      <w:r>
        <w:rPr>
          <w:spacing w:val="-4"/>
        </w:rPr>
        <w:t>研究對象</w:t>
      </w:r>
    </w:p>
    <w:p>
      <w:pPr>
        <w:pStyle w:val="BodyText"/>
        <w:spacing w:line="364" w:lineRule="auto" w:before="221"/>
        <w:ind w:left="569" w:right="681" w:firstLine="479"/>
      </w:pPr>
      <w:r>
        <w:rPr>
          <w:spacing w:val="-6"/>
        </w:rPr>
        <w:t>本研究以 </w:t>
      </w:r>
      <w:r>
        <w:rPr>
          <w:rFonts w:ascii="Times New Roman" w:eastAsia="Times New Roman"/>
        </w:rPr>
        <w:t>LaPangu</w:t>
      </w:r>
      <w:r>
        <w:rPr>
          <w:rFonts w:ascii="Times New Roman" w:eastAsia="Times New Roman"/>
          <w:spacing w:val="-15"/>
        </w:rPr>
        <w:t> </w:t>
      </w:r>
      <w:r>
        <w:rPr/>
        <w:t>盤古銀髮、</w:t>
      </w:r>
      <w:r>
        <w:rPr>
          <w:rFonts w:ascii="Times New Roman" w:eastAsia="Times New Roman"/>
        </w:rPr>
        <w:t>U-ARK</w:t>
      </w:r>
      <w:r>
        <w:rPr>
          <w:rFonts w:ascii="Times New Roman" w:eastAsia="Times New Roman"/>
          <w:spacing w:val="-15"/>
        </w:rPr>
        <w:t> </w:t>
      </w:r>
      <w:r>
        <w:rPr/>
        <w:t>諾亞克科技、</w:t>
      </w:r>
      <w:r>
        <w:rPr>
          <w:rFonts w:ascii="Times New Roman" w:eastAsia="Times New Roman"/>
        </w:rPr>
        <w:t>Jubo</w:t>
      </w:r>
      <w:r>
        <w:rPr>
          <w:rFonts w:ascii="Times New Roman" w:eastAsia="Times New Roman"/>
          <w:spacing w:val="-15"/>
        </w:rPr>
        <w:t> </w:t>
      </w:r>
      <w:r>
        <w:rPr/>
        <w:t>智齡科技、</w:t>
      </w:r>
      <w:r>
        <w:rPr>
          <w:rFonts w:ascii="Times New Roman" w:eastAsia="Times New Roman"/>
        </w:rPr>
        <w:t>WaCare</w:t>
      </w:r>
      <w:r>
        <w:rPr>
          <w:spacing w:val="-2"/>
        </w:rPr>
        <w:t>吉樂健康作為先期研究之訪談公司，用以了解智慧照護科技的發展現況。</w:t>
      </w:r>
    </w:p>
    <w:p>
      <w:pPr>
        <w:pStyle w:val="BodyText"/>
        <w:spacing w:line="422" w:lineRule="auto" w:before="164"/>
        <w:ind w:right="683" w:firstLine="479"/>
      </w:pPr>
      <w:r>
        <w:rPr>
          <w:spacing w:val="-2"/>
        </w:rPr>
        <w:t>最終確定以諾亞克科技為個案研究對象，聚焦於其策略制定過程以及跨界</w:t>
      </w:r>
      <w:r>
        <w:rPr>
          <w:spacing w:val="-4"/>
        </w:rPr>
        <w:t>資源的識別與管理模式，並結合研究架構對各步驟進行分析與歸納。研究過程中共進行兩次深入訪談。在每場訪談開始前，均徵得受訪者的同意，以錄音和筆記的形式完整記錄訪談內容。訪談結束後，對錄音資料進行整理與分析，確保資料</w:t>
      </w:r>
      <w:r>
        <w:rPr>
          <w:spacing w:val="-2"/>
        </w:rPr>
        <w:t>的完整性與準確性。受訪對象如下：</w:t>
      </w:r>
    </w:p>
    <w:p>
      <w:pPr>
        <w:pStyle w:val="Heading4"/>
        <w:spacing w:before="96"/>
        <w:ind w:left="599" w:right="118"/>
        <w:jc w:val="center"/>
      </w:pPr>
      <w:bookmarkStart w:name="_bookmark43" w:id="44"/>
      <w:bookmarkEnd w:id="44"/>
      <w:r>
        <w:rPr>
          <w:b w:val="0"/>
        </w:rPr>
      </w:r>
      <w:r>
        <w:rPr>
          <w:spacing w:val="30"/>
        </w:rPr>
        <w:t>表 </w:t>
      </w:r>
      <w:r>
        <w:rPr>
          <w:rFonts w:ascii="Times New Roman" w:eastAsia="Times New Roman"/>
        </w:rPr>
        <w:t>3.6-1</w:t>
      </w:r>
      <w:r>
        <w:rPr>
          <w:rFonts w:ascii="Times New Roman" w:eastAsia="Times New Roman"/>
          <w:spacing w:val="60"/>
        </w:rPr>
        <w:t> </w:t>
      </w:r>
      <w:r>
        <w:rPr>
          <w:spacing w:val="-2"/>
        </w:rPr>
        <w:t>受訪對象表</w:t>
      </w:r>
    </w:p>
    <w:p>
      <w:pPr>
        <w:pStyle w:val="BodyText"/>
        <w:spacing w:before="17"/>
        <w:ind w:left="0"/>
        <w:jc w:val="left"/>
        <w:rPr>
          <w:rFonts w:ascii="Microsoft JhengHei"/>
          <w:b/>
          <w:sz w:val="9"/>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3262"/>
        <w:gridCol w:w="2835"/>
      </w:tblGrid>
      <w:tr>
        <w:trPr>
          <w:trHeight w:val="575" w:hRule="atLeast"/>
        </w:trPr>
        <w:tc>
          <w:tcPr>
            <w:tcW w:w="2547" w:type="dxa"/>
            <w:shd w:val="clear" w:color="auto" w:fill="E7E6E6"/>
          </w:tcPr>
          <w:p>
            <w:pPr>
              <w:pStyle w:val="TableParagraph"/>
              <w:spacing w:before="120"/>
              <w:ind w:left="791"/>
              <w:rPr>
                <w:sz w:val="24"/>
              </w:rPr>
            </w:pPr>
            <w:r>
              <w:rPr>
                <w:spacing w:val="-3"/>
                <w:sz w:val="24"/>
              </w:rPr>
              <w:t>個案公司</w:t>
            </w:r>
          </w:p>
        </w:tc>
        <w:tc>
          <w:tcPr>
            <w:tcW w:w="3262" w:type="dxa"/>
            <w:shd w:val="clear" w:color="auto" w:fill="E7E6E6"/>
          </w:tcPr>
          <w:p>
            <w:pPr>
              <w:pStyle w:val="TableParagraph"/>
              <w:spacing w:before="120"/>
              <w:ind w:left="6"/>
              <w:jc w:val="center"/>
              <w:rPr>
                <w:sz w:val="24"/>
              </w:rPr>
            </w:pPr>
            <w:r>
              <w:rPr>
                <w:sz w:val="24"/>
              </w:rPr>
              <mc:AlternateContent>
                <mc:Choice Requires="wps">
                  <w:drawing>
                    <wp:anchor distT="0" distB="0" distL="0" distR="0" allowOverlap="1" layoutInCell="1" locked="0" behindDoc="1" simplePos="0" relativeHeight="485798400">
                      <wp:simplePos x="0" y="0"/>
                      <wp:positionH relativeFrom="column">
                        <wp:posOffset>611250</wp:posOffset>
                      </wp:positionH>
                      <wp:positionV relativeFrom="paragraph">
                        <wp:posOffset>334644</wp:posOffset>
                      </wp:positionV>
                      <wp:extent cx="929640" cy="978535"/>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929640" cy="978535"/>
                                <a:chExt cx="929640" cy="978535"/>
                              </a:xfrm>
                            </wpg:grpSpPr>
                            <pic:pic>
                              <pic:nvPicPr>
                                <pic:cNvPr id="118" name="Image 118"/>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48.129993pt;margin-top:26.349979pt;width:73.2pt;height:77.05pt;mso-position-horizontal-relative:column;mso-position-vertical-relative:paragraph;z-index:-17518080" id="docshapegroup14" coordorigin="963,527" coordsize="1464,1541">
                      <v:shape style="position:absolute;left:962;top:527;width:1464;height:1541" type="#_x0000_t75" id="docshape15" stroked="false">
                        <v:imagedata r:id="rId6" o:title=""/>
                      </v:shape>
                      <w10:wrap type="none"/>
                    </v:group>
                  </w:pict>
                </mc:Fallback>
              </mc:AlternateContent>
            </w:r>
            <w:r>
              <w:rPr>
                <w:spacing w:val="-3"/>
                <w:sz w:val="24"/>
              </w:rPr>
              <w:t>受訪對象</w:t>
            </w:r>
          </w:p>
        </w:tc>
        <w:tc>
          <w:tcPr>
            <w:tcW w:w="2835" w:type="dxa"/>
            <w:shd w:val="clear" w:color="auto" w:fill="E7E6E6"/>
          </w:tcPr>
          <w:p>
            <w:pPr>
              <w:pStyle w:val="TableParagraph"/>
              <w:spacing w:before="120"/>
              <w:ind w:left="4" w:right="3"/>
              <w:jc w:val="center"/>
              <w:rPr>
                <w:sz w:val="24"/>
              </w:rPr>
            </w:pPr>
            <w:r>
              <w:rPr>
                <w:spacing w:val="-3"/>
                <w:sz w:val="24"/>
              </w:rPr>
              <w:t>受訪日期</w:t>
            </w:r>
          </w:p>
        </w:tc>
      </w:tr>
      <w:tr>
        <w:trPr>
          <w:trHeight w:val="1195" w:hRule="atLeast"/>
        </w:trPr>
        <w:tc>
          <w:tcPr>
            <w:tcW w:w="2547" w:type="dxa"/>
          </w:tcPr>
          <w:p>
            <w:pPr>
              <w:pStyle w:val="TableParagraph"/>
              <w:spacing w:before="227"/>
              <w:ind w:left="846"/>
              <w:rPr>
                <w:rFonts w:ascii="Times New Roman"/>
                <w:sz w:val="24"/>
              </w:rPr>
            </w:pPr>
            <w:r>
              <w:rPr>
                <w:rFonts w:ascii="Times New Roman"/>
                <w:spacing w:val="-2"/>
                <w:sz w:val="24"/>
              </w:rPr>
              <w:t>LaPangu</w:t>
            </w:r>
          </w:p>
          <w:p>
            <w:pPr>
              <w:pStyle w:val="TableParagraph"/>
              <w:spacing w:before="161"/>
              <w:ind w:left="791"/>
              <w:rPr>
                <w:sz w:val="24"/>
              </w:rPr>
            </w:pPr>
            <w:r>
              <w:rPr>
                <w:spacing w:val="-3"/>
                <w:sz w:val="24"/>
              </w:rPr>
              <w:t>盤古銀髮</w:t>
            </w:r>
          </w:p>
        </w:tc>
        <w:tc>
          <w:tcPr>
            <w:tcW w:w="3262" w:type="dxa"/>
            <w:shd w:val="clear" w:color="auto" w:fill="FFFFFF"/>
          </w:tcPr>
          <w:p>
            <w:pPr>
              <w:pStyle w:val="TableParagraph"/>
              <w:spacing w:before="429"/>
              <w:ind w:left="6"/>
              <w:jc w:val="center"/>
              <w:rPr>
                <w:sz w:val="24"/>
              </w:rPr>
            </w:pPr>
            <w:r>
              <w:rPr>
                <w:sz w:val="24"/>
              </w:rPr>
              <mc:AlternateContent>
                <mc:Choice Requires="wps">
                  <w:drawing>
                    <wp:anchor distT="0" distB="0" distL="0" distR="0" allowOverlap="1" layoutInCell="1" locked="0" behindDoc="1" simplePos="0" relativeHeight="485798912">
                      <wp:simplePos x="0" y="0"/>
                      <wp:positionH relativeFrom="column">
                        <wp:posOffset>3047</wp:posOffset>
                      </wp:positionH>
                      <wp:positionV relativeFrom="paragraph">
                        <wp:posOffset>-431</wp:posOffset>
                      </wp:positionV>
                      <wp:extent cx="2063750" cy="75946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2063750" cy="759460"/>
                                <a:chExt cx="2063750" cy="759460"/>
                              </a:xfrm>
                            </wpg:grpSpPr>
                            <wps:wsp>
                              <wps:cNvPr id="120" name="Graphic 120"/>
                              <wps:cNvSpPr/>
                              <wps:spPr>
                                <a:xfrm>
                                  <a:off x="0" y="0"/>
                                  <a:ext cx="2063750" cy="759460"/>
                                </a:xfrm>
                                <a:custGeom>
                                  <a:avLst/>
                                  <a:gdLst/>
                                  <a:ahLst/>
                                  <a:cxnLst/>
                                  <a:rect l="l" t="t" r="r" b="b"/>
                                  <a:pathLst>
                                    <a:path w="2063750" h="759460">
                                      <a:moveTo>
                                        <a:pt x="2063750" y="0"/>
                                      </a:moveTo>
                                      <a:lnTo>
                                        <a:pt x="0" y="0"/>
                                      </a:lnTo>
                                      <a:lnTo>
                                        <a:pt x="0" y="759256"/>
                                      </a:lnTo>
                                      <a:lnTo>
                                        <a:pt x="2063750" y="759256"/>
                                      </a:lnTo>
                                      <a:lnTo>
                                        <a:pt x="206375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39995pt;margin-top:-.033994pt;width:162.5pt;height:59.8pt;mso-position-horizontal-relative:column;mso-position-vertical-relative:paragraph;z-index:-17517568" id="docshapegroup16" coordorigin="5,-1" coordsize="3250,1196">
                      <v:rect style="position:absolute;left:4;top:-1;width:3250;height:1196" id="docshape17" filled="true" fillcolor="#ffffff" stroked="false">
                        <v:fill type="solid"/>
                      </v:rect>
                      <w10:wrap type="none"/>
                    </v:group>
                  </w:pict>
                </mc:Fallback>
              </mc:AlternateContent>
            </w:r>
            <w:r>
              <w:rPr>
                <w:spacing w:val="-2"/>
                <w:sz w:val="24"/>
              </w:rPr>
              <w:t>曾筱芸 營運長</w:t>
            </w:r>
          </w:p>
        </w:tc>
        <w:tc>
          <w:tcPr>
            <w:tcW w:w="2835" w:type="dxa"/>
          </w:tcPr>
          <w:p>
            <w:pPr>
              <w:pStyle w:val="TableParagraph"/>
              <w:spacing w:before="429"/>
              <w:ind w:left="4"/>
              <w:jc w:val="center"/>
              <w:rPr>
                <w:sz w:val="24"/>
              </w:rPr>
            </w:pPr>
            <w:r>
              <w:rPr>
                <w:rFonts w:ascii="Times New Roman" w:eastAsia="Times New Roman"/>
                <w:sz w:val="24"/>
              </w:rPr>
              <w:t>2023 </w:t>
            </w:r>
            <w:r>
              <w:rPr>
                <w:spacing w:val="-30"/>
                <w:sz w:val="24"/>
              </w:rPr>
              <w:t>年 </w:t>
            </w:r>
            <w:r>
              <w:rPr>
                <w:rFonts w:ascii="Times New Roman" w:eastAsia="Times New Roman"/>
                <w:sz w:val="24"/>
              </w:rPr>
              <w:t>12 </w:t>
            </w:r>
            <w:r>
              <w:rPr>
                <w:spacing w:val="-30"/>
                <w:sz w:val="24"/>
              </w:rPr>
              <w:t>月 </w:t>
            </w:r>
            <w:r>
              <w:rPr>
                <w:rFonts w:ascii="Times New Roman" w:eastAsia="Times New Roman"/>
                <w:sz w:val="24"/>
              </w:rPr>
              <w:t>14 </w:t>
            </w:r>
            <w:r>
              <w:rPr>
                <w:spacing w:val="-10"/>
                <w:sz w:val="24"/>
              </w:rPr>
              <w:t>日</w:t>
            </w:r>
          </w:p>
        </w:tc>
      </w:tr>
      <w:tr>
        <w:trPr>
          <w:trHeight w:val="875" w:hRule="atLeast"/>
        </w:trPr>
        <w:tc>
          <w:tcPr>
            <w:tcW w:w="2547" w:type="dxa"/>
            <w:vMerge w:val="restart"/>
          </w:tcPr>
          <w:p>
            <w:pPr>
              <w:pStyle w:val="TableParagraph"/>
              <w:spacing w:before="152"/>
              <w:rPr>
                <w:rFonts w:ascii="Microsoft JhengHei"/>
                <w:b/>
                <w:sz w:val="24"/>
              </w:rPr>
            </w:pPr>
          </w:p>
          <w:p>
            <w:pPr>
              <w:pStyle w:val="TableParagraph"/>
              <w:spacing w:before="1"/>
              <w:ind w:left="117" w:right="111"/>
              <w:jc w:val="center"/>
              <w:rPr>
                <w:rFonts w:ascii="Times New Roman"/>
                <w:sz w:val="24"/>
              </w:rPr>
            </w:pPr>
            <w:r>
              <w:rPr>
                <w:rFonts w:ascii="Times New Roman"/>
                <w:spacing w:val="-2"/>
                <w:sz w:val="24"/>
              </w:rPr>
              <w:t>U-</w:t>
            </w:r>
            <w:r>
              <w:rPr>
                <w:rFonts w:ascii="Times New Roman"/>
                <w:spacing w:val="-5"/>
                <w:sz w:val="24"/>
              </w:rPr>
              <w:t>ARK</w:t>
            </w:r>
          </w:p>
          <w:p>
            <w:pPr>
              <w:pStyle w:val="TableParagraph"/>
              <w:spacing w:before="161"/>
              <w:ind w:left="117" w:right="111"/>
              <w:jc w:val="center"/>
              <w:rPr>
                <w:sz w:val="24"/>
              </w:rPr>
            </w:pPr>
            <w:r>
              <w:rPr>
                <w:spacing w:val="-2"/>
                <w:sz w:val="24"/>
              </w:rPr>
              <w:t>諾亞克科技</w:t>
            </w:r>
          </w:p>
        </w:tc>
        <w:tc>
          <w:tcPr>
            <w:tcW w:w="3262" w:type="dxa"/>
          </w:tcPr>
          <w:p>
            <w:pPr>
              <w:pStyle w:val="TableParagraph"/>
              <w:spacing w:before="271"/>
              <w:ind w:left="6"/>
              <w:jc w:val="center"/>
              <w:rPr>
                <w:sz w:val="24"/>
              </w:rPr>
            </w:pPr>
            <w:r>
              <w:rPr>
                <w:spacing w:val="-2"/>
                <w:sz w:val="24"/>
              </w:rPr>
              <w:t>林恩宇 研發副總</w:t>
            </w:r>
          </w:p>
        </w:tc>
        <w:tc>
          <w:tcPr>
            <w:tcW w:w="2835" w:type="dxa"/>
          </w:tcPr>
          <w:p>
            <w:pPr>
              <w:pStyle w:val="TableParagraph"/>
              <w:spacing w:before="271"/>
              <w:ind w:left="4"/>
              <w:jc w:val="center"/>
              <w:rPr>
                <w:sz w:val="24"/>
              </w:rPr>
            </w:pPr>
            <w:r>
              <w:rPr>
                <w:rFonts w:ascii="Times New Roman" w:eastAsia="Times New Roman"/>
                <w:sz w:val="24"/>
              </w:rPr>
              <w:t>2022 </w:t>
            </w:r>
            <w:r>
              <w:rPr>
                <w:spacing w:val="-30"/>
                <w:sz w:val="24"/>
              </w:rPr>
              <w:t>年 </w:t>
            </w:r>
            <w:r>
              <w:rPr>
                <w:rFonts w:ascii="Times New Roman" w:eastAsia="Times New Roman"/>
                <w:sz w:val="24"/>
              </w:rPr>
              <w:t>12 </w:t>
            </w:r>
            <w:r>
              <w:rPr>
                <w:spacing w:val="-30"/>
                <w:sz w:val="24"/>
              </w:rPr>
              <w:t>月 </w:t>
            </w:r>
            <w:r>
              <w:rPr>
                <w:rFonts w:ascii="Times New Roman" w:eastAsia="Times New Roman"/>
                <w:sz w:val="24"/>
              </w:rPr>
              <w:t>12 </w:t>
            </w:r>
            <w:r>
              <w:rPr>
                <w:spacing w:val="-10"/>
                <w:sz w:val="24"/>
              </w:rPr>
              <w:t>日</w:t>
            </w:r>
          </w:p>
        </w:tc>
      </w:tr>
      <w:tr>
        <w:trPr>
          <w:trHeight w:val="1043" w:hRule="atLeast"/>
        </w:trPr>
        <w:tc>
          <w:tcPr>
            <w:tcW w:w="2547" w:type="dxa"/>
            <w:vMerge/>
            <w:tcBorders>
              <w:top w:val="nil"/>
            </w:tcBorders>
          </w:tcPr>
          <w:p>
            <w:pPr>
              <w:rPr>
                <w:sz w:val="2"/>
                <w:szCs w:val="2"/>
              </w:rPr>
            </w:pPr>
          </w:p>
        </w:tc>
        <w:tc>
          <w:tcPr>
            <w:tcW w:w="3262" w:type="dxa"/>
          </w:tcPr>
          <w:p>
            <w:pPr>
              <w:pStyle w:val="TableParagraph"/>
              <w:spacing w:before="119"/>
              <w:ind w:left="6"/>
              <w:jc w:val="center"/>
              <w:rPr>
                <w:sz w:val="24"/>
              </w:rPr>
            </w:pPr>
            <w:r>
              <w:rPr>
                <w:spacing w:val="-2"/>
                <w:sz w:val="24"/>
              </w:rPr>
              <w:t>林恩宇 研發副總</w:t>
            </w:r>
          </w:p>
          <w:p>
            <w:pPr>
              <w:pStyle w:val="TableParagraph"/>
              <w:spacing w:before="161"/>
              <w:ind w:left="6"/>
              <w:jc w:val="center"/>
              <w:rPr>
                <w:sz w:val="24"/>
              </w:rPr>
            </w:pPr>
            <w:r>
              <w:rPr>
                <w:spacing w:val="-2"/>
                <w:sz w:val="24"/>
              </w:rPr>
              <w:t>劉禹辰 數據長</w:t>
            </w:r>
          </w:p>
        </w:tc>
        <w:tc>
          <w:tcPr>
            <w:tcW w:w="2835" w:type="dxa"/>
          </w:tcPr>
          <w:p>
            <w:pPr>
              <w:pStyle w:val="TableParagraph"/>
              <w:spacing w:before="352"/>
              <w:ind w:left="4"/>
              <w:jc w:val="center"/>
              <w:rPr>
                <w:sz w:val="24"/>
              </w:rPr>
            </w:pPr>
            <w:r>
              <w:rPr>
                <w:rFonts w:ascii="Times New Roman" w:eastAsia="Times New Roman"/>
                <w:sz w:val="24"/>
              </w:rPr>
              <w:t>2024 </w:t>
            </w:r>
            <w:r>
              <w:rPr>
                <w:spacing w:val="-30"/>
                <w:sz w:val="24"/>
              </w:rPr>
              <w:t>年 </w:t>
            </w:r>
            <w:r>
              <w:rPr>
                <w:rFonts w:ascii="Times New Roman" w:eastAsia="Times New Roman"/>
                <w:sz w:val="24"/>
              </w:rPr>
              <w:t>01 </w:t>
            </w:r>
            <w:r>
              <w:rPr>
                <w:spacing w:val="-30"/>
                <w:sz w:val="24"/>
              </w:rPr>
              <w:t>月 </w:t>
            </w:r>
            <w:r>
              <w:rPr>
                <w:rFonts w:ascii="Times New Roman" w:eastAsia="Times New Roman"/>
                <w:sz w:val="24"/>
              </w:rPr>
              <w:t>30 </w:t>
            </w:r>
            <w:r>
              <w:rPr>
                <w:spacing w:val="-10"/>
                <w:sz w:val="24"/>
              </w:rPr>
              <w:t>日</w:t>
            </w:r>
          </w:p>
        </w:tc>
      </w:tr>
      <w:tr>
        <w:trPr>
          <w:trHeight w:val="1310" w:hRule="atLeast"/>
        </w:trPr>
        <w:tc>
          <w:tcPr>
            <w:tcW w:w="2547" w:type="dxa"/>
          </w:tcPr>
          <w:p>
            <w:pPr>
              <w:pStyle w:val="TableParagraph"/>
              <w:spacing w:before="284"/>
              <w:ind w:left="6" w:right="115"/>
              <w:jc w:val="center"/>
              <w:rPr>
                <w:rFonts w:ascii="Times New Roman"/>
                <w:sz w:val="24"/>
              </w:rPr>
            </w:pPr>
            <w:r>
              <w:rPr>
                <w:rFonts w:ascii="Times New Roman"/>
                <w:spacing w:val="-4"/>
                <w:sz w:val="24"/>
              </w:rPr>
              <w:t>Jubo</w:t>
            </w:r>
          </w:p>
          <w:p>
            <w:pPr>
              <w:pStyle w:val="TableParagraph"/>
              <w:spacing w:before="162"/>
              <w:ind w:left="6" w:right="117"/>
              <w:jc w:val="center"/>
              <w:rPr>
                <w:sz w:val="24"/>
              </w:rPr>
            </w:pPr>
            <w:r>
              <w:rPr>
                <w:spacing w:val="-3"/>
                <w:sz w:val="24"/>
              </w:rPr>
              <w:t>智齡科技</w:t>
            </w:r>
          </w:p>
        </w:tc>
        <w:tc>
          <w:tcPr>
            <w:tcW w:w="3262" w:type="dxa"/>
          </w:tcPr>
          <w:p>
            <w:pPr>
              <w:pStyle w:val="TableParagraph"/>
              <w:spacing w:line="364" w:lineRule="auto" w:before="254"/>
              <w:ind w:left="609" w:right="600" w:firstLine="240"/>
              <w:rPr>
                <w:sz w:val="24"/>
              </w:rPr>
            </w:pPr>
            <w:r>
              <w:rPr>
                <w:sz w:val="24"/>
              </w:rPr>
              <w:t>康仕仲 執行長</w:t>
            </w:r>
            <w:r>
              <w:rPr>
                <w:sz w:val="24"/>
              </w:rPr>
              <w:t> </w:t>
            </w:r>
            <w:r>
              <w:rPr>
                <w:spacing w:val="-6"/>
                <w:sz w:val="24"/>
              </w:rPr>
              <w:t>李泓其 執行長特助</w:t>
            </w:r>
          </w:p>
        </w:tc>
        <w:tc>
          <w:tcPr>
            <w:tcW w:w="2835" w:type="dxa"/>
          </w:tcPr>
          <w:p>
            <w:pPr>
              <w:pStyle w:val="TableParagraph"/>
              <w:spacing w:before="45"/>
              <w:rPr>
                <w:rFonts w:ascii="Microsoft JhengHei"/>
                <w:b/>
                <w:sz w:val="24"/>
              </w:rPr>
            </w:pPr>
          </w:p>
          <w:p>
            <w:pPr>
              <w:pStyle w:val="TableParagraph"/>
              <w:ind w:left="4"/>
              <w:jc w:val="center"/>
              <w:rPr>
                <w:sz w:val="24"/>
              </w:rPr>
            </w:pPr>
            <w:r>
              <w:rPr>
                <w:rFonts w:ascii="Times New Roman" w:eastAsia="Times New Roman"/>
                <w:sz w:val="24"/>
              </w:rPr>
              <w:t>2024 </w:t>
            </w:r>
            <w:r>
              <w:rPr>
                <w:spacing w:val="-30"/>
                <w:sz w:val="24"/>
              </w:rPr>
              <w:t>年 </w:t>
            </w:r>
            <w:r>
              <w:rPr>
                <w:rFonts w:ascii="Times New Roman" w:eastAsia="Times New Roman"/>
                <w:sz w:val="24"/>
              </w:rPr>
              <w:t>05 </w:t>
            </w:r>
            <w:r>
              <w:rPr>
                <w:spacing w:val="-30"/>
                <w:sz w:val="24"/>
              </w:rPr>
              <w:t>月 </w:t>
            </w:r>
            <w:r>
              <w:rPr>
                <w:rFonts w:ascii="Times New Roman" w:eastAsia="Times New Roman"/>
                <w:sz w:val="24"/>
              </w:rPr>
              <w:t>06 </w:t>
            </w:r>
            <w:r>
              <w:rPr>
                <w:spacing w:val="-10"/>
                <w:sz w:val="24"/>
              </w:rPr>
              <w:t>日</w:t>
            </w:r>
          </w:p>
        </w:tc>
      </w:tr>
      <w:tr>
        <w:trPr>
          <w:trHeight w:val="522" w:hRule="atLeast"/>
        </w:trPr>
        <w:tc>
          <w:tcPr>
            <w:tcW w:w="2547" w:type="dxa"/>
            <w:tcBorders>
              <w:bottom w:val="nil"/>
            </w:tcBorders>
          </w:tcPr>
          <w:p>
            <w:pPr>
              <w:pStyle w:val="TableParagraph"/>
              <w:rPr>
                <w:rFonts w:ascii="Times New Roman"/>
                <w:sz w:val="24"/>
              </w:rPr>
            </w:pPr>
          </w:p>
        </w:tc>
        <w:tc>
          <w:tcPr>
            <w:tcW w:w="3262" w:type="dxa"/>
            <w:tcBorders>
              <w:bottom w:val="nil"/>
            </w:tcBorders>
          </w:tcPr>
          <w:p>
            <w:pPr>
              <w:pStyle w:val="TableParagraph"/>
              <w:spacing w:before="120"/>
              <w:ind w:left="6"/>
              <w:jc w:val="center"/>
              <w:rPr>
                <w:sz w:val="24"/>
              </w:rPr>
            </w:pPr>
            <w:r>
              <w:rPr>
                <w:spacing w:val="-2"/>
                <w:sz w:val="24"/>
              </w:rPr>
              <w:t>潘人豪 執行長</w:t>
            </w:r>
          </w:p>
        </w:tc>
        <w:tc>
          <w:tcPr>
            <w:tcW w:w="2835" w:type="dxa"/>
            <w:tcBorders>
              <w:bottom w:val="nil"/>
            </w:tcBorders>
          </w:tcPr>
          <w:p>
            <w:pPr>
              <w:pStyle w:val="TableParagraph"/>
              <w:rPr>
                <w:rFonts w:ascii="Times New Roman"/>
                <w:sz w:val="24"/>
              </w:rPr>
            </w:pPr>
          </w:p>
        </w:tc>
      </w:tr>
      <w:tr>
        <w:trPr>
          <w:trHeight w:val="556" w:hRule="atLeast"/>
        </w:trPr>
        <w:tc>
          <w:tcPr>
            <w:tcW w:w="2547" w:type="dxa"/>
            <w:tcBorders>
              <w:top w:val="nil"/>
              <w:bottom w:val="nil"/>
            </w:tcBorders>
          </w:tcPr>
          <w:p>
            <w:pPr>
              <w:pStyle w:val="TableParagraph"/>
              <w:spacing w:line="260" w:lineRule="exact" w:before="276"/>
              <w:ind w:left="827"/>
              <w:rPr>
                <w:rFonts w:ascii="Times New Roman"/>
                <w:sz w:val="24"/>
              </w:rPr>
            </w:pPr>
            <w:r>
              <w:rPr>
                <w:rFonts w:ascii="Times New Roman"/>
                <w:spacing w:val="-2"/>
                <w:sz w:val="24"/>
              </w:rPr>
              <w:t>WaCare</w:t>
            </w:r>
          </w:p>
        </w:tc>
        <w:tc>
          <w:tcPr>
            <w:tcW w:w="3262" w:type="dxa"/>
            <w:tcBorders>
              <w:top w:val="nil"/>
              <w:bottom w:val="nil"/>
            </w:tcBorders>
          </w:tcPr>
          <w:p>
            <w:pPr>
              <w:pStyle w:val="TableParagraph"/>
              <w:spacing w:before="66"/>
              <w:ind w:left="6"/>
              <w:jc w:val="center"/>
              <w:rPr>
                <w:sz w:val="24"/>
              </w:rPr>
            </w:pPr>
            <w:r>
              <w:rPr>
                <w:spacing w:val="-2"/>
                <w:sz w:val="24"/>
              </w:rPr>
              <w:t>昱茹 課程規劃師</w:t>
            </w:r>
          </w:p>
        </w:tc>
        <w:tc>
          <w:tcPr>
            <w:tcW w:w="2835" w:type="dxa"/>
            <w:tcBorders>
              <w:top w:val="nil"/>
              <w:bottom w:val="nil"/>
            </w:tcBorders>
          </w:tcPr>
          <w:p>
            <w:pPr>
              <w:pStyle w:val="TableParagraph"/>
              <w:spacing w:before="212"/>
              <w:ind w:left="4"/>
              <w:jc w:val="center"/>
              <w:rPr>
                <w:sz w:val="24"/>
              </w:rPr>
            </w:pPr>
            <w:r>
              <w:rPr>
                <w:rFonts w:ascii="Times New Roman" w:eastAsia="Times New Roman"/>
                <w:sz w:val="24"/>
              </w:rPr>
              <w:t>2024 </w:t>
            </w:r>
            <w:r>
              <w:rPr>
                <w:spacing w:val="-30"/>
                <w:sz w:val="24"/>
              </w:rPr>
              <w:t>年 </w:t>
            </w:r>
            <w:r>
              <w:rPr>
                <w:rFonts w:ascii="Times New Roman" w:eastAsia="Times New Roman"/>
                <w:sz w:val="24"/>
              </w:rPr>
              <w:t>04 </w:t>
            </w:r>
            <w:r>
              <w:rPr>
                <w:spacing w:val="-30"/>
                <w:sz w:val="24"/>
              </w:rPr>
              <w:t>月 </w:t>
            </w:r>
            <w:r>
              <w:rPr>
                <w:rFonts w:ascii="Times New Roman" w:eastAsia="Times New Roman"/>
                <w:sz w:val="24"/>
              </w:rPr>
              <w:t>22 </w:t>
            </w:r>
            <w:r>
              <w:rPr>
                <w:spacing w:val="-10"/>
                <w:sz w:val="24"/>
              </w:rPr>
              <w:t>日</w:t>
            </w:r>
          </w:p>
        </w:tc>
      </w:tr>
      <w:tr>
        <w:trPr>
          <w:trHeight w:val="490" w:hRule="atLeast"/>
        </w:trPr>
        <w:tc>
          <w:tcPr>
            <w:tcW w:w="2547" w:type="dxa"/>
            <w:tcBorders>
              <w:top w:val="nil"/>
              <w:bottom w:val="nil"/>
            </w:tcBorders>
          </w:tcPr>
          <w:p>
            <w:pPr>
              <w:pStyle w:val="TableParagraph"/>
              <w:spacing w:before="157"/>
              <w:ind w:left="731"/>
              <w:rPr>
                <w:sz w:val="24"/>
              </w:rPr>
            </w:pPr>
            <w:r>
              <w:rPr>
                <w:spacing w:val="-3"/>
                <w:sz w:val="24"/>
              </w:rPr>
              <w:t>吉樂健康</w:t>
            </w:r>
          </w:p>
        </w:tc>
        <w:tc>
          <w:tcPr>
            <w:tcW w:w="3262" w:type="dxa"/>
            <w:tcBorders>
              <w:top w:val="nil"/>
              <w:bottom w:val="nil"/>
            </w:tcBorders>
          </w:tcPr>
          <w:p>
            <w:pPr>
              <w:pStyle w:val="TableParagraph"/>
              <w:spacing w:line="285" w:lineRule="exact"/>
              <w:ind w:left="6" w:right="2"/>
              <w:jc w:val="center"/>
              <w:rPr>
                <w:sz w:val="24"/>
              </w:rPr>
            </w:pPr>
            <w:r>
              <w:rPr>
                <w:rFonts w:ascii="Times New Roman" w:eastAsia="Times New Roman"/>
                <w:sz w:val="24"/>
              </w:rPr>
              <w:t>Chad</w:t>
            </w:r>
            <w:r>
              <w:rPr>
                <w:rFonts w:ascii="Times New Roman" w:eastAsia="Times New Roman"/>
                <w:spacing w:val="59"/>
                <w:sz w:val="24"/>
              </w:rPr>
              <w:t> </w:t>
            </w:r>
            <w:r>
              <w:rPr>
                <w:spacing w:val="-2"/>
                <w:sz w:val="24"/>
              </w:rPr>
              <w:t>技術發展師</w:t>
            </w:r>
          </w:p>
        </w:tc>
        <w:tc>
          <w:tcPr>
            <w:tcW w:w="2835" w:type="dxa"/>
            <w:tcBorders>
              <w:top w:val="nil"/>
              <w:bottom w:val="nil"/>
            </w:tcBorders>
          </w:tcPr>
          <w:p>
            <w:pPr>
              <w:pStyle w:val="TableParagraph"/>
              <w:spacing w:line="275" w:lineRule="exact" w:before="196"/>
              <w:ind w:left="4"/>
              <w:jc w:val="center"/>
              <w:rPr>
                <w:sz w:val="24"/>
              </w:rPr>
            </w:pPr>
            <w:r>
              <w:rPr>
                <w:rFonts w:ascii="Times New Roman" w:eastAsia="Times New Roman"/>
                <w:sz w:val="24"/>
              </w:rPr>
              <w:t>2024 </w:t>
            </w:r>
            <w:r>
              <w:rPr>
                <w:spacing w:val="-30"/>
                <w:sz w:val="24"/>
              </w:rPr>
              <w:t>年 </w:t>
            </w:r>
            <w:r>
              <w:rPr>
                <w:rFonts w:ascii="Times New Roman" w:eastAsia="Times New Roman"/>
                <w:sz w:val="24"/>
              </w:rPr>
              <w:t>05 </w:t>
            </w:r>
            <w:r>
              <w:rPr>
                <w:spacing w:val="-30"/>
                <w:sz w:val="24"/>
              </w:rPr>
              <w:t>月 </w:t>
            </w:r>
            <w:r>
              <w:rPr>
                <w:rFonts w:ascii="Times New Roman" w:eastAsia="Times New Roman"/>
                <w:sz w:val="24"/>
              </w:rPr>
              <w:t>24 </w:t>
            </w:r>
            <w:r>
              <w:rPr>
                <w:spacing w:val="-10"/>
                <w:sz w:val="24"/>
              </w:rPr>
              <w:t>日</w:t>
            </w:r>
          </w:p>
        </w:tc>
      </w:tr>
      <w:tr>
        <w:trPr>
          <w:trHeight w:val="291" w:hRule="atLeast"/>
        </w:trPr>
        <w:tc>
          <w:tcPr>
            <w:tcW w:w="2547" w:type="dxa"/>
            <w:tcBorders>
              <w:top w:val="nil"/>
              <w:bottom w:val="nil"/>
            </w:tcBorders>
          </w:tcPr>
          <w:p>
            <w:pPr>
              <w:pStyle w:val="TableParagraph"/>
              <w:rPr>
                <w:rFonts w:ascii="Times New Roman"/>
                <w:sz w:val="20"/>
              </w:rPr>
            </w:pPr>
          </w:p>
        </w:tc>
        <w:tc>
          <w:tcPr>
            <w:tcW w:w="3262" w:type="dxa"/>
            <w:tcBorders>
              <w:top w:val="nil"/>
              <w:bottom w:val="nil"/>
            </w:tcBorders>
          </w:tcPr>
          <w:p>
            <w:pPr>
              <w:pStyle w:val="TableParagraph"/>
              <w:spacing w:line="262" w:lineRule="exact"/>
              <w:ind w:left="6"/>
              <w:jc w:val="center"/>
              <w:rPr>
                <w:sz w:val="24"/>
              </w:rPr>
            </w:pPr>
            <w:r>
              <w:rPr>
                <w:spacing w:val="-1"/>
                <w:sz w:val="24"/>
              </w:rPr>
              <w:t>禹心 健康促進管理師</w:t>
            </w:r>
          </w:p>
        </w:tc>
        <w:tc>
          <w:tcPr>
            <w:tcW w:w="2835" w:type="dxa"/>
            <w:tcBorders>
              <w:top w:val="nil"/>
              <w:bottom w:val="nil"/>
            </w:tcBorders>
          </w:tcPr>
          <w:p>
            <w:pPr>
              <w:pStyle w:val="TableParagraph"/>
              <w:rPr>
                <w:rFonts w:ascii="Times New Roman"/>
                <w:sz w:val="20"/>
              </w:rPr>
            </w:pPr>
          </w:p>
        </w:tc>
      </w:tr>
      <w:tr>
        <w:trPr>
          <w:trHeight w:val="481" w:hRule="atLeast"/>
        </w:trPr>
        <w:tc>
          <w:tcPr>
            <w:tcW w:w="2547" w:type="dxa"/>
            <w:tcBorders>
              <w:top w:val="nil"/>
            </w:tcBorders>
          </w:tcPr>
          <w:p>
            <w:pPr>
              <w:pStyle w:val="TableParagraph"/>
              <w:rPr>
                <w:rFonts w:ascii="Times New Roman"/>
                <w:sz w:val="24"/>
              </w:rPr>
            </w:pPr>
          </w:p>
        </w:tc>
        <w:tc>
          <w:tcPr>
            <w:tcW w:w="3262" w:type="dxa"/>
            <w:tcBorders>
              <w:top w:val="nil"/>
            </w:tcBorders>
          </w:tcPr>
          <w:p>
            <w:pPr>
              <w:pStyle w:val="TableParagraph"/>
              <w:spacing w:before="23"/>
              <w:ind w:left="6" w:right="2"/>
              <w:jc w:val="center"/>
              <w:rPr>
                <w:sz w:val="24"/>
              </w:rPr>
            </w:pPr>
            <w:r>
              <w:rPr>
                <w:rFonts w:ascii="Times New Roman" w:eastAsia="Times New Roman"/>
                <w:sz w:val="24"/>
              </w:rPr>
              <w:t>Teresa</w:t>
            </w:r>
            <w:r>
              <w:rPr>
                <w:rFonts w:ascii="Times New Roman" w:eastAsia="Times New Roman"/>
                <w:spacing w:val="41"/>
                <w:sz w:val="24"/>
              </w:rPr>
              <w:t> </w:t>
            </w:r>
            <w:r>
              <w:rPr>
                <w:spacing w:val="-2"/>
                <w:sz w:val="24"/>
              </w:rPr>
              <w:t>數位人道管理師</w:t>
            </w:r>
          </w:p>
        </w:tc>
        <w:tc>
          <w:tcPr>
            <w:tcW w:w="2835" w:type="dxa"/>
            <w:tcBorders>
              <w:top w:val="nil"/>
            </w:tcBorders>
          </w:tcPr>
          <w:p>
            <w:pPr>
              <w:pStyle w:val="TableParagraph"/>
              <w:rPr>
                <w:rFonts w:ascii="Times New Roman"/>
                <w:sz w:val="24"/>
              </w:rPr>
            </w:pPr>
          </w:p>
        </w:tc>
      </w:tr>
    </w:tbl>
    <w:p>
      <w:pPr>
        <w:pStyle w:val="BodyText"/>
        <w:spacing w:before="215"/>
        <w:ind w:left="597" w:right="118"/>
        <w:jc w:val="center"/>
      </w:pPr>
      <w:r>
        <w:rPr>
          <w:spacing w:val="-1"/>
        </w:rPr>
        <w:t>資料來源：本研究整理</w:t>
      </w:r>
    </w:p>
    <w:p>
      <w:pPr>
        <w:pStyle w:val="BodyText"/>
        <w:spacing w:after="0"/>
        <w:jc w:val="center"/>
        <w:sectPr>
          <w:pgSz w:w="11910" w:h="16840"/>
          <w:pgMar w:header="0" w:footer="1197" w:top="1780" w:bottom="1380" w:left="1133" w:right="1133"/>
        </w:sectPr>
      </w:pPr>
    </w:p>
    <w:p>
      <w:pPr>
        <w:pStyle w:val="Heading2"/>
        <w:numPr>
          <w:ilvl w:val="1"/>
          <w:numId w:val="12"/>
        </w:numPr>
        <w:tabs>
          <w:tab w:pos="1047" w:val="left" w:leader="none"/>
        </w:tabs>
        <w:spacing w:line="522" w:lineRule="exact" w:before="0" w:after="0"/>
        <w:ind w:left="1047" w:right="0" w:hanging="478"/>
        <w:jc w:val="left"/>
      </w:pPr>
      <w:bookmarkStart w:name="_bookmark44" w:id="45"/>
      <w:bookmarkEnd w:id="45"/>
      <w:r>
        <w:rPr>
          <w:b w:val="0"/>
        </w:rPr>
      </w:r>
      <w:r>
        <w:rPr>
          <w:spacing w:val="-5"/>
        </w:rPr>
        <w:t>資料蒐集與分析</w:t>
      </w:r>
    </w:p>
    <w:p>
      <w:pPr>
        <w:pStyle w:val="Heading2"/>
        <w:spacing w:before="309"/>
        <w:ind w:left="568"/>
        <w:rPr>
          <w:position w:val="1"/>
        </w:rPr>
      </w:pPr>
      <w:r>
        <w:rPr>
          <w:b w:val="0"/>
        </w:rPr>
        <w:drawing>
          <wp:inline distT="0" distB="0" distL="0" distR="0">
            <wp:extent cx="393953" cy="145542"/>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67" cstate="print"/>
                    <a:stretch>
                      <a:fillRect/>
                    </a:stretch>
                  </pic:blipFill>
                  <pic:spPr>
                    <a:xfrm>
                      <a:off x="0" y="0"/>
                      <a:ext cx="393953"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45" w:id="46"/>
      <w:bookmarkEnd w:id="46"/>
      <w:r>
        <w:rPr>
          <w:rFonts w:ascii="Times New Roman" w:eastAsia="Times New Roman"/>
          <w:b w:val="0"/>
          <w:spacing w:val="-12"/>
          <w:position w:val="1"/>
          <w:sz w:val="20"/>
        </w:rPr>
      </w:r>
      <w:r>
        <w:rPr>
          <w:spacing w:val="-2"/>
          <w:position w:val="1"/>
        </w:rPr>
        <w:t>資料蒐集</w:t>
      </w:r>
    </w:p>
    <w:p>
      <w:pPr>
        <w:pStyle w:val="BodyText"/>
        <w:spacing w:line="422" w:lineRule="auto" w:before="387"/>
        <w:ind w:right="683" w:firstLine="479"/>
      </w:pPr>
      <w:r>
        <w:rPr>
          <w:spacing w:val="-2"/>
        </w:rPr>
        <w:t>訪談是質化研究中一項重要的資料蒐集方法，其特點在於能深入挖掘研究</w:t>
      </w:r>
      <w:r>
        <w:rPr>
          <w:spacing w:val="-4"/>
        </w:rPr>
        <w:t>對象的經驗與觀點。訪談的資料來源多樣化，包括文件、檔案紀錄、訪談內容以及直接或間接的觀察（</w:t>
      </w:r>
      <w:r>
        <w:rPr>
          <w:rFonts w:ascii="Times New Roman" w:eastAsia="Times New Roman"/>
          <w:spacing w:val="-4"/>
        </w:rPr>
        <w:t>Patton,</w:t>
      </w:r>
      <w:r>
        <w:rPr>
          <w:rFonts w:ascii="Times New Roman" w:eastAsia="Times New Roman"/>
          <w:spacing w:val="-11"/>
        </w:rPr>
        <w:t> </w:t>
      </w:r>
      <w:r>
        <w:rPr>
          <w:rFonts w:ascii="Times New Roman" w:eastAsia="Times New Roman"/>
          <w:spacing w:val="21"/>
        </w:rPr>
        <w:t>1997</w:t>
      </w:r>
      <w:r>
        <w:rPr>
          <w:spacing w:val="-104"/>
        </w:rPr>
        <w:t>）</w:t>
      </w:r>
      <w:r>
        <w:rPr>
          <w:spacing w:val="-4"/>
        </w:rPr>
        <w:t>。多元資料來源的結合能幫助研究者以更精</w:t>
      </w:r>
      <w:r>
        <w:rPr>
          <w:spacing w:val="-2"/>
        </w:rPr>
        <w:t>確的方式驗證事實與現象，提升研究的信度與實證性。</w:t>
      </w:r>
    </w:p>
    <w:p>
      <w:pPr>
        <w:pStyle w:val="BodyText"/>
        <w:spacing w:before="103"/>
        <w:ind w:left="482" w:right="582"/>
        <w:jc w:val="center"/>
      </w:pPr>
      <w:r>
        <w:rPr>
          <w:spacing w:val="-1"/>
        </w:rPr>
        <w:t>訪談根據結構化程度可分為三種類型，分別適用於不同的研究需求：</w:t>
      </w:r>
    </w:p>
    <w:p>
      <w:pPr>
        <w:pStyle w:val="Heading4"/>
        <w:numPr>
          <w:ilvl w:val="2"/>
          <w:numId w:val="12"/>
        </w:numPr>
        <w:tabs>
          <w:tab w:pos="1528" w:val="left" w:leader="none"/>
        </w:tabs>
        <w:spacing w:line="240" w:lineRule="auto" w:before="262" w:after="0"/>
        <w:ind w:left="1528" w:right="0" w:hanging="480"/>
        <w:jc w:val="left"/>
        <w:rPr>
          <w:rFonts w:ascii="Times New Roman" w:eastAsia="Times New Roman"/>
          <w:b w:val="0"/>
        </w:rPr>
      </w:pPr>
      <w:r>
        <w:rPr/>
        <w:t>結構式訪談（</w:t>
      </w:r>
      <w:r>
        <w:rPr>
          <w:rFonts w:ascii="Times New Roman" w:eastAsia="Times New Roman"/>
        </w:rPr>
        <w:t>Structured</w:t>
      </w:r>
      <w:r>
        <w:rPr>
          <w:rFonts w:ascii="Times New Roman" w:eastAsia="Times New Roman"/>
          <w:spacing w:val="-6"/>
        </w:rPr>
        <w:t> </w:t>
      </w:r>
      <w:r>
        <w:rPr>
          <w:rFonts w:ascii="Times New Roman" w:eastAsia="Times New Roman"/>
          <w:spacing w:val="-2"/>
        </w:rPr>
        <w:t>Interviews</w:t>
      </w:r>
      <w:r>
        <w:rPr>
          <w:spacing w:val="-2"/>
        </w:rPr>
        <w:t>）</w:t>
      </w:r>
    </w:p>
    <w:p>
      <w:pPr>
        <w:pStyle w:val="BodyText"/>
        <w:spacing w:line="422" w:lineRule="auto" w:before="178"/>
        <w:ind w:left="1528" w:right="683"/>
      </w:pPr>
      <w:r>
        <w:rPr/>
        <w:drawing>
          <wp:anchor distT="0" distB="0" distL="0" distR="0" allowOverlap="1" layoutInCell="1" locked="0" behindDoc="1" simplePos="0" relativeHeight="485799424">
            <wp:simplePos x="0" y="0"/>
            <wp:positionH relativeFrom="page">
              <wp:posOffset>3312414</wp:posOffset>
            </wp:positionH>
            <wp:positionV relativeFrom="paragraph">
              <wp:posOffset>456769</wp:posOffset>
            </wp:positionV>
            <wp:extent cx="929640" cy="978408"/>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研究者事先設計完整的訪談問題及預設答案，受訪者需按照固定順序回</w:t>
      </w:r>
      <w:r>
        <w:rPr>
          <w:spacing w:val="-2"/>
        </w:rPr>
        <w:t>答。這種方法標準化程度高，有助於提升資料的一致性與可靠性，適用於需要嚴格控制資料比較性的研究。</w:t>
      </w:r>
    </w:p>
    <w:p>
      <w:pPr>
        <w:pStyle w:val="Heading4"/>
        <w:numPr>
          <w:ilvl w:val="2"/>
          <w:numId w:val="12"/>
        </w:numPr>
        <w:tabs>
          <w:tab w:pos="1528" w:val="left" w:leader="none"/>
        </w:tabs>
        <w:spacing w:line="240" w:lineRule="auto" w:before="25" w:after="0"/>
        <w:ind w:left="1528" w:right="0" w:hanging="480"/>
        <w:jc w:val="left"/>
        <w:rPr>
          <w:rFonts w:ascii="Times New Roman" w:eastAsia="Times New Roman"/>
          <w:b w:val="0"/>
        </w:rPr>
      </w:pPr>
      <w:r>
        <w:rPr/>
        <w:t>半結構式訪談（</w:t>
      </w:r>
      <w:r>
        <w:rPr>
          <w:rFonts w:ascii="Times New Roman" w:eastAsia="Times New Roman"/>
        </w:rPr>
        <w:t>Semi-structured</w:t>
      </w:r>
      <w:r>
        <w:rPr>
          <w:rFonts w:ascii="Times New Roman" w:eastAsia="Times New Roman"/>
          <w:spacing w:val="-9"/>
        </w:rPr>
        <w:t> </w:t>
      </w:r>
      <w:r>
        <w:rPr>
          <w:rFonts w:ascii="Times New Roman" w:eastAsia="Times New Roman"/>
          <w:spacing w:val="-2"/>
        </w:rPr>
        <w:t>Interviews</w:t>
      </w:r>
      <w:r>
        <w:rPr>
          <w:spacing w:val="-2"/>
        </w:rPr>
        <w:t>）</w:t>
      </w:r>
    </w:p>
    <w:p>
      <w:pPr>
        <w:pStyle w:val="BodyText"/>
        <w:spacing w:line="422" w:lineRule="auto" w:before="178"/>
        <w:ind w:left="1528" w:right="683"/>
      </w:pPr>
      <w:r>
        <w:rPr>
          <w:spacing w:val="-2"/>
        </w:rPr>
        <w:t>研究者根據研究主題設計訪談大綱，但訪談過程具有靈活性，受訪者可自由回答，且不受限於問題順序。這種方式兼具計畫性與靈活性，能深入挖掘受訪者的觀點，適合探索複雜現象或動態過程。</w:t>
      </w:r>
    </w:p>
    <w:p>
      <w:pPr>
        <w:pStyle w:val="Heading4"/>
        <w:numPr>
          <w:ilvl w:val="2"/>
          <w:numId w:val="12"/>
        </w:numPr>
        <w:tabs>
          <w:tab w:pos="1528" w:val="left" w:leader="none"/>
        </w:tabs>
        <w:spacing w:line="240" w:lineRule="auto" w:before="25" w:after="0"/>
        <w:ind w:left="1528" w:right="0" w:hanging="480"/>
        <w:jc w:val="left"/>
        <w:rPr>
          <w:rFonts w:ascii="Times New Roman" w:eastAsia="Times New Roman"/>
          <w:b w:val="0"/>
        </w:rPr>
      </w:pPr>
      <w:r>
        <w:rPr/>
        <w:t>非結構式訪談（</w:t>
      </w:r>
      <w:r>
        <w:rPr>
          <w:rFonts w:ascii="Times New Roman" w:eastAsia="Times New Roman"/>
        </w:rPr>
        <w:t>Unstructured</w:t>
      </w:r>
      <w:r>
        <w:rPr>
          <w:rFonts w:ascii="Times New Roman" w:eastAsia="Times New Roman"/>
          <w:spacing w:val="-6"/>
        </w:rPr>
        <w:t> </w:t>
      </w:r>
      <w:r>
        <w:rPr>
          <w:rFonts w:ascii="Times New Roman" w:eastAsia="Times New Roman"/>
          <w:spacing w:val="-2"/>
        </w:rPr>
        <w:t>Interviews</w:t>
      </w:r>
      <w:r>
        <w:rPr>
          <w:spacing w:val="-2"/>
        </w:rPr>
        <w:t>）</w:t>
      </w:r>
    </w:p>
    <w:p>
      <w:pPr>
        <w:pStyle w:val="BodyText"/>
        <w:spacing w:line="422" w:lineRule="auto" w:before="178"/>
        <w:ind w:left="1528" w:right="684"/>
      </w:pPr>
      <w:r>
        <w:rPr>
          <w:spacing w:val="-2"/>
        </w:rPr>
        <w:t>又稱開放式訪談，研究者不事先設計具體問題，而是根據研究主題靈活引導訪談內容。此方式充分開放，適用於探索未知領域或建立初步研究</w:t>
      </w:r>
      <w:r>
        <w:rPr>
          <w:spacing w:val="-4"/>
        </w:rPr>
        <w:t>框架。</w:t>
      </w:r>
    </w:p>
    <w:p>
      <w:pPr>
        <w:pStyle w:val="BodyText"/>
        <w:spacing w:line="422" w:lineRule="auto" w:before="65"/>
        <w:ind w:right="682" w:firstLine="479"/>
        <w:jc w:val="left"/>
      </w:pPr>
      <w:r>
        <w:rPr>
          <w:spacing w:val="-6"/>
        </w:rPr>
        <w:t>個案研究的優勢在於能整合多元資料來源，例如訪談、觀察和二手資料的分</w:t>
      </w:r>
      <w:r>
        <w:rPr>
          <w:spacing w:val="-4"/>
        </w:rPr>
        <w:t>析，深入探索特定現象並揭示其動態過程。然而，個案研究也面臨一些挑戰。首</w:t>
      </w:r>
      <w:r>
        <w:rPr>
          <w:spacing w:val="-22"/>
        </w:rPr>
        <w:t>先，樣本量有限使其結論難以推廣至其他情境，外部效度易受質疑</w:t>
      </w:r>
      <w:r>
        <w:rPr/>
        <w:t>（</w:t>
      </w:r>
      <w:r>
        <w:rPr>
          <w:rFonts w:ascii="Times New Roman" w:eastAsia="Times New Roman"/>
        </w:rPr>
        <w:t>Stake</w:t>
      </w:r>
      <w:r>
        <w:rPr>
          <w:rFonts w:ascii="Times New Roman" w:eastAsia="Times New Roman"/>
          <w:spacing w:val="-8"/>
        </w:rPr>
        <w:t>, </w:t>
      </w:r>
      <w:r>
        <w:rPr>
          <w:rFonts w:ascii="Times New Roman" w:eastAsia="Times New Roman"/>
          <w:spacing w:val="36"/>
        </w:rPr>
        <w:t>1995</w:t>
      </w:r>
      <w:r>
        <w:rPr>
          <w:spacing w:val="-144"/>
        </w:rPr>
        <w:t>）</w:t>
      </w:r>
      <w:r>
        <w:rPr>
          <w:spacing w:val="-180"/>
        </w:rPr>
        <w:t>。</w:t>
      </w:r>
      <w:r>
        <w:rPr>
          <w:spacing w:val="-7"/>
        </w:rPr>
        <w:t>其次，研究者對案例的熟悉可能導致主觀偏見，影響研究的中立性</w:t>
      </w:r>
      <w:r>
        <w:rPr>
          <w:spacing w:val="-4"/>
        </w:rPr>
        <w:t>（</w:t>
      </w:r>
      <w:r>
        <w:rPr>
          <w:rFonts w:ascii="Times New Roman" w:eastAsia="Times New Roman"/>
          <w:spacing w:val="-4"/>
        </w:rPr>
        <w:t>Yin,</w:t>
      </w:r>
      <w:r>
        <w:rPr>
          <w:rFonts w:ascii="Times New Roman" w:eastAsia="Times New Roman"/>
          <w:spacing w:val="-14"/>
        </w:rPr>
        <w:t> </w:t>
      </w:r>
      <w:r>
        <w:rPr>
          <w:rFonts w:ascii="Times New Roman" w:eastAsia="Times New Roman"/>
          <w:spacing w:val="26"/>
        </w:rPr>
        <w:t>2018</w:t>
      </w:r>
      <w:r>
        <w:rPr>
          <w:spacing w:val="-128"/>
        </w:rPr>
        <w:t>）</w:t>
      </w:r>
      <w:r>
        <w:rPr>
          <w:spacing w:val="-154"/>
        </w:rPr>
        <w:t>。</w:t>
      </w:r>
    </w:p>
    <w:p>
      <w:pPr>
        <w:pStyle w:val="BodyText"/>
        <w:spacing w:after="0" w:line="422" w:lineRule="auto"/>
        <w:jc w:val="left"/>
        <w:sectPr>
          <w:pgSz w:w="11910" w:h="16840"/>
          <w:pgMar w:header="0" w:footer="1197" w:top="1780" w:bottom="1380" w:left="1133" w:right="1133"/>
        </w:sectPr>
      </w:pPr>
    </w:p>
    <w:p>
      <w:pPr>
        <w:pStyle w:val="BodyText"/>
        <w:spacing w:before="27"/>
        <w:jc w:val="left"/>
      </w:pPr>
      <w:r>
        <w:rPr>
          <w:spacing w:val="-1"/>
        </w:rPr>
        <w:t>此外，單一案例的資料來源受限，可能導致證據鏈不完整，進而影響研究信度</w:t>
      </w:r>
    </w:p>
    <w:p>
      <w:pPr>
        <w:pStyle w:val="BodyText"/>
        <w:spacing w:before="232"/>
        <w:jc w:val="left"/>
      </w:pPr>
      <w:r>
        <w:rPr>
          <w:spacing w:val="-8"/>
        </w:rPr>
        <w:t>（</w:t>
      </w:r>
      <w:r>
        <w:rPr>
          <w:rFonts w:ascii="Times New Roman" w:eastAsia="Times New Roman"/>
          <w:spacing w:val="-8"/>
        </w:rPr>
        <w:t>Eisenhardt,</w:t>
      </w:r>
      <w:r>
        <w:rPr>
          <w:rFonts w:ascii="Times New Roman" w:eastAsia="Times New Roman"/>
          <w:spacing w:val="11"/>
        </w:rPr>
        <w:t> </w:t>
      </w:r>
      <w:r>
        <w:rPr>
          <w:rFonts w:ascii="Times New Roman" w:eastAsia="Times New Roman"/>
          <w:spacing w:val="16"/>
        </w:rPr>
        <w:t>198</w:t>
      </w:r>
      <w:r>
        <w:rPr>
          <w:rFonts w:ascii="Times New Roman" w:eastAsia="Times New Roman"/>
          <w:spacing w:val="15"/>
        </w:rPr>
        <w:t>9</w:t>
      </w:r>
      <w:r>
        <w:rPr>
          <w:spacing w:val="-104"/>
        </w:rPr>
        <w:t>）</w:t>
      </w:r>
      <w:r>
        <w:rPr>
          <w:spacing w:val="-130"/>
        </w:rPr>
        <w:t>。</w:t>
      </w:r>
    </w:p>
    <w:p>
      <w:pPr>
        <w:pStyle w:val="BodyText"/>
        <w:spacing w:before="33"/>
        <w:ind w:left="0"/>
        <w:jc w:val="left"/>
      </w:pPr>
    </w:p>
    <w:p>
      <w:pPr>
        <w:pStyle w:val="BodyText"/>
        <w:ind w:left="1168"/>
        <w:jc w:val="left"/>
      </w:pPr>
      <w:r>
        <w:rPr>
          <w:spacing w:val="-1"/>
        </w:rPr>
        <w:t>為解決這些問題，學者提出多種補救機制以提升研究質量：</w:t>
      </w:r>
    </w:p>
    <w:p>
      <w:pPr>
        <w:pStyle w:val="ListParagraph"/>
        <w:numPr>
          <w:ilvl w:val="0"/>
          <w:numId w:val="14"/>
        </w:numPr>
        <w:tabs>
          <w:tab w:pos="1528" w:val="left" w:leader="none"/>
        </w:tabs>
        <w:spacing w:line="336" w:lineRule="auto" w:before="261" w:after="0"/>
        <w:ind w:left="1528" w:right="685" w:hanging="480"/>
        <w:jc w:val="left"/>
        <w:rPr>
          <w:sz w:val="24"/>
        </w:rPr>
      </w:pPr>
      <w:r>
        <w:rPr>
          <w:rFonts w:ascii="Microsoft JhengHei" w:eastAsia="Microsoft JhengHei"/>
          <w:b/>
          <w:spacing w:val="-8"/>
          <w:sz w:val="24"/>
        </w:rPr>
        <w:t>三角檢驗</w:t>
      </w:r>
      <w:r>
        <w:rPr>
          <w:rFonts w:ascii="Microsoft JhengHei" w:eastAsia="Microsoft JhengHei"/>
          <w:b/>
          <w:spacing w:val="6"/>
          <w:sz w:val="24"/>
        </w:rPr>
        <w:t>（</w:t>
      </w:r>
      <w:r>
        <w:rPr>
          <w:rFonts w:ascii="Times New Roman" w:eastAsia="Times New Roman"/>
          <w:b/>
          <w:spacing w:val="-16"/>
          <w:sz w:val="24"/>
        </w:rPr>
        <w:t>T</w:t>
      </w:r>
      <w:r>
        <w:rPr>
          <w:rFonts w:ascii="Times New Roman" w:eastAsia="Times New Roman"/>
          <w:b/>
          <w:spacing w:val="2"/>
          <w:sz w:val="24"/>
        </w:rPr>
        <w:t>ria</w:t>
      </w:r>
      <w:r>
        <w:rPr>
          <w:rFonts w:ascii="Times New Roman" w:eastAsia="Times New Roman"/>
          <w:b/>
          <w:spacing w:val="4"/>
          <w:sz w:val="24"/>
        </w:rPr>
        <w:t>n</w:t>
      </w:r>
      <w:r>
        <w:rPr>
          <w:rFonts w:ascii="Times New Roman" w:eastAsia="Times New Roman"/>
          <w:b/>
          <w:sz w:val="24"/>
        </w:rPr>
        <w:t>g</w:t>
      </w:r>
      <w:r>
        <w:rPr>
          <w:rFonts w:ascii="Times New Roman" w:eastAsia="Times New Roman"/>
          <w:b/>
          <w:spacing w:val="3"/>
          <w:sz w:val="24"/>
        </w:rPr>
        <w:t>ulati</w:t>
      </w:r>
      <w:r>
        <w:rPr>
          <w:rFonts w:ascii="Times New Roman" w:eastAsia="Times New Roman"/>
          <w:b/>
          <w:sz w:val="24"/>
        </w:rPr>
        <w:t>o</w:t>
      </w:r>
      <w:r>
        <w:rPr>
          <w:rFonts w:ascii="Times New Roman" w:eastAsia="Times New Roman"/>
          <w:b/>
          <w:spacing w:val="4"/>
          <w:sz w:val="24"/>
        </w:rPr>
        <w:t>n</w:t>
      </w:r>
      <w:r>
        <w:rPr>
          <w:rFonts w:ascii="Microsoft JhengHei" w:eastAsia="Microsoft JhengHei"/>
          <w:b/>
          <w:spacing w:val="-134"/>
          <w:sz w:val="24"/>
        </w:rPr>
        <w:t>）</w:t>
      </w:r>
      <w:r>
        <w:rPr>
          <w:rFonts w:ascii="Microsoft JhengHei" w:eastAsia="Microsoft JhengHei"/>
          <w:b/>
          <w:spacing w:val="-14"/>
          <w:sz w:val="24"/>
        </w:rPr>
        <w:t>：</w:t>
      </w:r>
      <w:r>
        <w:rPr>
          <w:spacing w:val="-8"/>
          <w:sz w:val="24"/>
        </w:rPr>
        <w:t>通過結合訪談記錄、觀察筆記和文件分析等</w:t>
      </w:r>
      <w:r>
        <w:rPr>
          <w:sz w:val="24"/>
        </w:rPr>
        <w:t>多元資料來源進行驗證，提升研究資料的可靠性與信度（</w:t>
      </w:r>
      <w:r>
        <w:rPr>
          <w:rFonts w:ascii="Times New Roman" w:eastAsia="Times New Roman"/>
          <w:sz w:val="24"/>
        </w:rPr>
        <w:t>Yin, </w:t>
      </w:r>
      <w:r>
        <w:rPr>
          <w:rFonts w:ascii="Times New Roman" w:eastAsia="Times New Roman"/>
          <w:spacing w:val="23"/>
          <w:sz w:val="24"/>
        </w:rPr>
        <w:t>201</w:t>
      </w:r>
      <w:r>
        <w:rPr>
          <w:rFonts w:ascii="Times New Roman" w:eastAsia="Times New Roman"/>
          <w:spacing w:val="24"/>
          <w:sz w:val="24"/>
        </w:rPr>
        <w:t>8</w:t>
      </w:r>
      <w:r>
        <w:rPr>
          <w:spacing w:val="-97"/>
          <w:sz w:val="24"/>
        </w:rPr>
        <w:t>）</w:t>
      </w:r>
      <w:r>
        <w:rPr>
          <w:spacing w:val="-120"/>
          <w:sz w:val="24"/>
        </w:rPr>
        <w:t>。</w:t>
      </w:r>
    </w:p>
    <w:p>
      <w:pPr>
        <w:pStyle w:val="ListParagraph"/>
        <w:numPr>
          <w:ilvl w:val="0"/>
          <w:numId w:val="14"/>
        </w:numPr>
        <w:tabs>
          <w:tab w:pos="1528" w:val="left" w:leader="none"/>
        </w:tabs>
        <w:spacing w:line="336" w:lineRule="auto" w:before="140" w:after="0"/>
        <w:ind w:left="1528" w:right="685" w:hanging="480"/>
        <w:jc w:val="left"/>
        <w:rPr>
          <w:sz w:val="24"/>
        </w:rPr>
      </w:pPr>
      <w:r>
        <w:rPr>
          <w:rFonts w:ascii="Microsoft JhengHei" w:eastAsia="Microsoft JhengHei"/>
          <w:b/>
          <w:spacing w:val="-2"/>
          <w:sz w:val="24"/>
        </w:rPr>
        <w:t>建立證據鏈：</w:t>
      </w:r>
      <w:r>
        <w:rPr>
          <w:spacing w:val="-2"/>
          <w:sz w:val="24"/>
        </w:rPr>
        <w:t>詳細記錄資料蒐集與分析的每個步驟，確保研究過程透明</w:t>
      </w:r>
      <w:r>
        <w:rPr>
          <w:spacing w:val="-17"/>
          <w:sz w:val="24"/>
        </w:rPr>
        <w:t>且可追溯，並清晰展示結論與資料之間的邏輯連結</w:t>
      </w:r>
      <w:r>
        <w:rPr>
          <w:sz w:val="24"/>
        </w:rPr>
        <w:t>（</w:t>
      </w:r>
      <w:r>
        <w:rPr>
          <w:rFonts w:ascii="Times New Roman" w:eastAsia="Times New Roman"/>
          <w:sz w:val="24"/>
        </w:rPr>
        <w:t>Gibbert</w:t>
      </w:r>
      <w:r>
        <w:rPr>
          <w:rFonts w:ascii="Times New Roman" w:eastAsia="Times New Roman"/>
          <w:spacing w:val="-15"/>
          <w:sz w:val="24"/>
        </w:rPr>
        <w:t> </w:t>
      </w:r>
      <w:r>
        <w:rPr>
          <w:rFonts w:ascii="Times New Roman" w:eastAsia="Times New Roman"/>
          <w:sz w:val="24"/>
        </w:rPr>
        <w:t>et</w:t>
      </w:r>
      <w:r>
        <w:rPr>
          <w:rFonts w:ascii="Times New Roman" w:eastAsia="Times New Roman"/>
          <w:spacing w:val="-15"/>
          <w:sz w:val="24"/>
        </w:rPr>
        <w:t> </w:t>
      </w:r>
      <w:r>
        <w:rPr>
          <w:rFonts w:ascii="Times New Roman" w:eastAsia="Times New Roman"/>
          <w:sz w:val="24"/>
        </w:rPr>
        <w:t>al.,</w:t>
      </w:r>
      <w:r>
        <w:rPr>
          <w:rFonts w:ascii="Times New Roman" w:eastAsia="Times New Roman"/>
          <w:spacing w:val="-15"/>
          <w:sz w:val="24"/>
        </w:rPr>
        <w:t> </w:t>
      </w:r>
      <w:r>
        <w:rPr>
          <w:rFonts w:ascii="Times New Roman" w:eastAsia="Times New Roman"/>
          <w:spacing w:val="35"/>
          <w:sz w:val="24"/>
        </w:rPr>
        <w:t>2008</w:t>
      </w:r>
      <w:r>
        <w:rPr>
          <w:spacing w:val="-141"/>
          <w:sz w:val="24"/>
        </w:rPr>
        <w:t>）</w:t>
      </w:r>
      <w:r>
        <w:rPr>
          <w:spacing w:val="-176"/>
          <w:sz w:val="24"/>
        </w:rPr>
        <w:t>。</w:t>
      </w:r>
    </w:p>
    <w:p>
      <w:pPr>
        <w:pStyle w:val="ListParagraph"/>
        <w:numPr>
          <w:ilvl w:val="0"/>
          <w:numId w:val="14"/>
        </w:numPr>
        <w:tabs>
          <w:tab w:pos="1528" w:val="left" w:leader="none"/>
        </w:tabs>
        <w:spacing w:line="336" w:lineRule="auto" w:before="140" w:after="0"/>
        <w:ind w:left="1528" w:right="685" w:hanging="480"/>
        <w:jc w:val="left"/>
        <w:rPr>
          <w:sz w:val="24"/>
        </w:rPr>
      </w:pPr>
      <w:r>
        <w:rPr>
          <w:rFonts w:ascii="Microsoft JhengHei" w:eastAsia="Microsoft JhengHei"/>
          <w:b/>
          <w:spacing w:val="-2"/>
          <w:sz w:val="24"/>
        </w:rPr>
        <w:t>建立個案研究資料庫：</w:t>
      </w:r>
      <w:r>
        <w:rPr>
          <w:spacing w:val="-2"/>
          <w:sz w:val="24"/>
        </w:rPr>
        <w:t>邀請關鍵訊息提供者審閱研究草稿，檢驗資料的</w:t>
      </w:r>
      <w:r>
        <w:rPr>
          <w:sz w:val="24"/>
        </w:rPr>
        <w:t>準確性，並強化結論的實證支持（</w:t>
      </w:r>
      <w:r>
        <w:rPr>
          <w:rFonts w:ascii="Times New Roman" w:eastAsia="Times New Roman"/>
          <w:sz w:val="24"/>
        </w:rPr>
        <w:t>Yin, </w:t>
      </w:r>
      <w:r>
        <w:rPr>
          <w:rFonts w:ascii="Times New Roman" w:eastAsia="Times New Roman"/>
          <w:spacing w:val="24"/>
          <w:sz w:val="24"/>
        </w:rPr>
        <w:t>2018</w:t>
      </w:r>
      <w:r>
        <w:rPr>
          <w:spacing w:val="-96"/>
          <w:sz w:val="24"/>
        </w:rPr>
        <w:t>）</w:t>
      </w:r>
      <w:r>
        <w:rPr>
          <w:spacing w:val="-120"/>
          <w:sz w:val="24"/>
        </w:rPr>
        <w:t>。</w:t>
      </w:r>
    </w:p>
    <w:p>
      <w:pPr>
        <w:pStyle w:val="BodyText"/>
        <w:spacing w:before="219"/>
        <w:ind w:left="1168"/>
        <w:jc w:val="left"/>
      </w:pPr>
      <w:r>
        <w:rPr/>
        <w:drawing>
          <wp:anchor distT="0" distB="0" distL="0" distR="0" allowOverlap="1" layoutInCell="1" locked="0" behindDoc="1" simplePos="0" relativeHeight="485799936">
            <wp:simplePos x="0" y="0"/>
            <wp:positionH relativeFrom="page">
              <wp:posOffset>3312414</wp:posOffset>
            </wp:positionH>
            <wp:positionV relativeFrom="paragraph">
              <wp:posOffset>391618</wp:posOffset>
            </wp:positionV>
            <wp:extent cx="929640" cy="978408"/>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6" cstate="print"/>
                    <a:stretch>
                      <a:fillRect/>
                    </a:stretch>
                  </pic:blipFill>
                  <pic:spPr>
                    <a:xfrm>
                      <a:off x="0" y="0"/>
                      <a:ext cx="929640" cy="978408"/>
                    </a:xfrm>
                    <a:prstGeom prst="rect">
                      <a:avLst/>
                    </a:prstGeom>
                  </pic:spPr>
                </pic:pic>
              </a:graphicData>
            </a:graphic>
          </wp:anchor>
        </w:drawing>
      </w:r>
      <w:r>
        <w:rPr>
          <w:spacing w:val="-1"/>
        </w:rPr>
        <w:t>以上機制有助於克服單一個案研究的局限性，增強研究的信度與說服力。</w:t>
      </w:r>
    </w:p>
    <w:p>
      <w:pPr>
        <w:pStyle w:val="BodyText"/>
        <w:spacing w:before="105"/>
        <w:ind w:left="0"/>
        <w:jc w:val="left"/>
      </w:pPr>
    </w:p>
    <w:p>
      <w:pPr>
        <w:pStyle w:val="BodyText"/>
        <w:spacing w:line="422" w:lineRule="auto"/>
        <w:ind w:right="683" w:firstLine="479"/>
      </w:pPr>
      <w:r>
        <w:rPr>
          <w:spacing w:val="-7"/>
        </w:rPr>
        <w:t>本研究依循 </w:t>
      </w:r>
      <w:r>
        <w:rPr>
          <w:rFonts w:ascii="Times New Roman" w:eastAsia="Times New Roman"/>
          <w:spacing w:val="-2"/>
        </w:rPr>
        <w:t>Chou</w:t>
      </w:r>
      <w:r>
        <w:rPr>
          <w:rFonts w:ascii="Times New Roman" w:eastAsia="Times New Roman"/>
          <w:spacing w:val="8"/>
        </w:rPr>
        <w:t> </w:t>
      </w:r>
      <w:r>
        <w:rPr>
          <w:spacing w:val="-30"/>
        </w:rPr>
        <w:t>等人</w:t>
      </w:r>
      <w:r>
        <w:rPr>
          <w:spacing w:val="-2"/>
        </w:rPr>
        <w:t>（</w:t>
      </w:r>
      <w:r>
        <w:rPr>
          <w:rFonts w:ascii="Times New Roman" w:eastAsia="Times New Roman"/>
          <w:spacing w:val="-2"/>
        </w:rPr>
        <w:t>2020</w:t>
      </w:r>
      <w:r>
        <w:rPr>
          <w:spacing w:val="-2"/>
        </w:rPr>
        <w:t>）的研究，採用半結構式訪談作為主要資料蒐</w:t>
      </w:r>
      <w:r>
        <w:rPr>
          <w:spacing w:val="-4"/>
        </w:rPr>
        <w:t>集方法，並結合文件、網路文章、媒體報導及期刊資料，進一步提升資料的豐富性與分析基礎。研究過程中，研究者根據主題擬定訪談大綱，雖具計畫性，但允</w:t>
      </w:r>
      <w:r>
        <w:rPr>
          <w:spacing w:val="-2"/>
        </w:rPr>
        <w:t>許靈活調整提問順序，並鼓勵受訪者自由表達。</w:t>
      </w:r>
    </w:p>
    <w:p>
      <w:pPr>
        <w:pStyle w:val="BodyText"/>
        <w:spacing w:line="422" w:lineRule="auto" w:before="176"/>
        <w:ind w:right="683" w:firstLine="479"/>
      </w:pPr>
      <w:r>
        <w:rPr>
          <w:spacing w:val="-6"/>
        </w:rPr>
        <w:t>資料蒐集過程中，訪談內容以錄音與筆記方式完整記錄，訪談結束後進行整</w:t>
      </w:r>
      <w:r>
        <w:rPr>
          <w:spacing w:val="-4"/>
        </w:rPr>
        <w:t>理與分析，確保資料的準確性與完整性。此外，研究還結合來自網路文章、媒體報導及期刊的二手資料，補充訪談內容，增強分析深度與判斷依據。本研究的詳細資料蒐集內容架構如下表 </w:t>
      </w:r>
      <w:r>
        <w:rPr>
          <w:rFonts w:ascii="Times New Roman" w:eastAsia="Times New Roman"/>
        </w:rPr>
        <w:t>3.7.1-1</w:t>
      </w:r>
      <w:r>
        <w:rPr/>
        <w:t>：</w:t>
      </w:r>
    </w:p>
    <w:p>
      <w:pPr>
        <w:pStyle w:val="BodyText"/>
        <w:spacing w:after="0" w:line="422" w:lineRule="auto"/>
        <w:sectPr>
          <w:pgSz w:w="11910" w:h="16840"/>
          <w:pgMar w:header="0" w:footer="1197" w:top="1760" w:bottom="1380" w:left="1133" w:right="1133"/>
        </w:sectPr>
      </w:pPr>
    </w:p>
    <w:p>
      <w:pPr>
        <w:pStyle w:val="Heading4"/>
        <w:spacing w:line="409" w:lineRule="exact"/>
        <w:ind w:left="599" w:right="118"/>
        <w:jc w:val="center"/>
      </w:pPr>
      <w:bookmarkStart w:name="_bookmark46" w:id="47"/>
      <w:bookmarkEnd w:id="47"/>
      <w:r>
        <w:rPr>
          <w:b w:val="0"/>
        </w:rPr>
      </w:r>
      <w:r>
        <w:rPr>
          <w:spacing w:val="30"/>
        </w:rPr>
        <w:t>表 </w:t>
      </w:r>
      <w:r>
        <w:rPr>
          <w:rFonts w:ascii="Times New Roman" w:eastAsia="Times New Roman"/>
        </w:rPr>
        <w:t>3.7-1</w:t>
      </w:r>
      <w:r>
        <w:rPr>
          <w:rFonts w:ascii="Times New Roman" w:eastAsia="Times New Roman"/>
          <w:spacing w:val="60"/>
        </w:rPr>
        <w:t> </w:t>
      </w:r>
      <w:r>
        <w:rPr>
          <w:spacing w:val="-2"/>
        </w:rPr>
        <w:t>資料蒐集架構表</w:t>
      </w:r>
    </w:p>
    <w:p>
      <w:pPr>
        <w:pStyle w:val="BodyText"/>
        <w:spacing w:before="17"/>
        <w:ind w:left="0"/>
        <w:jc w:val="left"/>
        <w:rPr>
          <w:rFonts w:ascii="Microsoft JhengHei"/>
          <w:b/>
          <w:sz w:val="9"/>
        </w:rPr>
      </w:pPr>
    </w:p>
    <w:tbl>
      <w:tblPr>
        <w:tblW w:w="0" w:type="auto"/>
        <w:jc w:val="left"/>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9"/>
        <w:gridCol w:w="2832"/>
        <w:gridCol w:w="4536"/>
      </w:tblGrid>
      <w:tr>
        <w:trPr>
          <w:trHeight w:val="755" w:hRule="atLeast"/>
        </w:trPr>
        <w:tc>
          <w:tcPr>
            <w:tcW w:w="1699" w:type="dxa"/>
            <w:shd w:val="clear" w:color="auto" w:fill="E7E6E6"/>
          </w:tcPr>
          <w:p>
            <w:pPr>
              <w:pStyle w:val="TableParagraph"/>
              <w:spacing w:before="208"/>
              <w:ind w:left="9"/>
              <w:jc w:val="center"/>
              <w:rPr>
                <w:sz w:val="24"/>
              </w:rPr>
            </w:pPr>
            <w:r>
              <w:rPr>
                <w:spacing w:val="-3"/>
                <w:sz w:val="24"/>
              </w:rPr>
              <w:t>資料來源</w:t>
            </w:r>
          </w:p>
        </w:tc>
        <w:tc>
          <w:tcPr>
            <w:tcW w:w="2832" w:type="dxa"/>
            <w:shd w:val="clear" w:color="auto" w:fill="E7E6E6"/>
          </w:tcPr>
          <w:p>
            <w:pPr>
              <w:pStyle w:val="TableParagraph"/>
              <w:spacing w:before="208"/>
              <w:ind w:left="936"/>
              <w:rPr>
                <w:sz w:val="24"/>
              </w:rPr>
            </w:pPr>
            <w:r>
              <w:rPr>
                <w:spacing w:val="-3"/>
                <w:sz w:val="24"/>
              </w:rPr>
              <w:t>個案公司</w:t>
            </w:r>
          </w:p>
        </w:tc>
        <w:tc>
          <w:tcPr>
            <w:tcW w:w="4536" w:type="dxa"/>
            <w:shd w:val="clear" w:color="auto" w:fill="E7E6E6"/>
          </w:tcPr>
          <w:p>
            <w:pPr>
              <w:pStyle w:val="TableParagraph"/>
              <w:spacing w:before="208"/>
              <w:ind w:left="11"/>
              <w:jc w:val="center"/>
              <w:rPr>
                <w:sz w:val="24"/>
              </w:rPr>
            </w:pPr>
            <w:r>
              <w:rPr>
                <w:spacing w:val="-2"/>
                <w:sz w:val="24"/>
              </w:rPr>
              <w:t>相關數據統計</w:t>
            </w:r>
          </w:p>
        </w:tc>
      </w:tr>
      <w:tr>
        <w:trPr>
          <w:trHeight w:val="1358" w:hRule="atLeast"/>
        </w:trPr>
        <w:tc>
          <w:tcPr>
            <w:tcW w:w="1699"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55"/>
              <w:rPr>
                <w:rFonts w:ascii="Microsoft JhengHei"/>
                <w:b/>
                <w:sz w:val="24"/>
              </w:rPr>
            </w:pPr>
          </w:p>
          <w:p>
            <w:pPr>
              <w:pStyle w:val="TableParagraph"/>
              <w:spacing w:before="1"/>
              <w:ind w:left="369"/>
              <w:rPr>
                <w:sz w:val="24"/>
              </w:rPr>
            </w:pPr>
            <w:r>
              <w:rPr>
                <w:spacing w:val="-4"/>
                <w:sz w:val="24"/>
              </w:rPr>
              <w:t>公司訪談</w:t>
            </w:r>
          </w:p>
        </w:tc>
        <w:tc>
          <w:tcPr>
            <w:tcW w:w="2832" w:type="dxa"/>
          </w:tcPr>
          <w:p>
            <w:pPr>
              <w:pStyle w:val="TableParagraph"/>
              <w:spacing w:before="361"/>
              <w:ind w:left="117" w:right="109"/>
              <w:jc w:val="center"/>
              <w:rPr>
                <w:rFonts w:ascii="Times New Roman"/>
                <w:sz w:val="24"/>
              </w:rPr>
            </w:pPr>
            <w:r>
              <w:rPr>
                <w:rFonts w:ascii="Times New Roman"/>
                <w:spacing w:val="-2"/>
                <w:sz w:val="24"/>
              </w:rPr>
              <w:t>LaPangu</w:t>
            </w:r>
          </w:p>
          <w:p>
            <w:pPr>
              <w:pStyle w:val="TableParagraph"/>
              <w:spacing w:before="162"/>
              <w:ind w:left="120" w:right="109"/>
              <w:jc w:val="center"/>
              <w:rPr>
                <w:sz w:val="24"/>
              </w:rPr>
            </w:pPr>
            <w:r>
              <w:rPr>
                <w:spacing w:val="-3"/>
                <w:sz w:val="24"/>
              </w:rPr>
              <w:t>盤古銀髮</w:t>
            </w:r>
          </w:p>
        </w:tc>
        <w:tc>
          <w:tcPr>
            <w:tcW w:w="4536" w:type="dxa"/>
          </w:tcPr>
          <w:p>
            <w:pPr>
              <w:pStyle w:val="TableParagraph"/>
              <w:numPr>
                <w:ilvl w:val="0"/>
                <w:numId w:val="15"/>
              </w:numPr>
              <w:tabs>
                <w:tab w:pos="588" w:val="left" w:leader="none"/>
              </w:tabs>
              <w:spacing w:line="240" w:lineRule="auto" w:before="151" w:after="0"/>
              <w:ind w:left="588" w:right="0" w:hanging="480"/>
              <w:jc w:val="left"/>
              <w:rPr>
                <w:sz w:val="24"/>
              </w:rPr>
            </w:pPr>
            <w:r>
              <w:rPr>
                <w:spacing w:val="-15"/>
                <w:sz w:val="24"/>
              </w:rPr>
              <w:t>受訪者 </w:t>
            </w:r>
            <w:r>
              <w:rPr>
                <w:rFonts w:ascii="Times New Roman" w:hAnsi="Times New Roman" w:eastAsia="Times New Roman"/>
                <w:sz w:val="24"/>
              </w:rPr>
              <w:t>1 </w:t>
            </w:r>
            <w:r>
              <w:rPr>
                <w:spacing w:val="-10"/>
                <w:sz w:val="24"/>
              </w:rPr>
              <w:t>位</w:t>
            </w:r>
          </w:p>
          <w:p>
            <w:pPr>
              <w:pStyle w:val="TableParagraph"/>
              <w:numPr>
                <w:ilvl w:val="0"/>
                <w:numId w:val="15"/>
              </w:numPr>
              <w:tabs>
                <w:tab w:pos="588" w:val="left" w:leader="none"/>
              </w:tabs>
              <w:spacing w:line="240" w:lineRule="auto" w:before="52" w:after="0"/>
              <w:ind w:left="588" w:right="0" w:hanging="480"/>
              <w:jc w:val="left"/>
              <w:rPr>
                <w:sz w:val="24"/>
              </w:rPr>
            </w:pPr>
            <w:r>
              <w:rPr>
                <w:spacing w:val="-12"/>
                <w:sz w:val="24"/>
              </w:rPr>
              <w:t>訪談時間 </w:t>
            </w:r>
            <w:r>
              <w:rPr>
                <w:rFonts w:ascii="Times New Roman" w:hAnsi="Times New Roman" w:eastAsia="Times New Roman"/>
                <w:sz w:val="24"/>
              </w:rPr>
              <w:t>115</w:t>
            </w:r>
            <w:r>
              <w:rPr>
                <w:rFonts w:ascii="Times New Roman" w:hAnsi="Times New Roman" w:eastAsia="Times New Roman"/>
                <w:spacing w:val="-10"/>
                <w:sz w:val="24"/>
              </w:rPr>
              <w:t> </w:t>
            </w:r>
            <w:r>
              <w:rPr>
                <w:spacing w:val="-5"/>
                <w:sz w:val="24"/>
              </w:rPr>
              <w:t>分鐘</w:t>
            </w:r>
          </w:p>
          <w:p>
            <w:pPr>
              <w:pStyle w:val="TableParagraph"/>
              <w:numPr>
                <w:ilvl w:val="0"/>
                <w:numId w:val="15"/>
              </w:numPr>
              <w:tabs>
                <w:tab w:pos="588" w:val="left" w:leader="none"/>
              </w:tabs>
              <w:spacing w:line="240" w:lineRule="auto" w:before="53" w:after="0"/>
              <w:ind w:left="588" w:right="0" w:hanging="480"/>
              <w:jc w:val="left"/>
              <w:rPr>
                <w:sz w:val="24"/>
              </w:rPr>
            </w:pPr>
            <w:r>
              <w:rPr>
                <w:spacing w:val="-15"/>
                <w:sz w:val="24"/>
              </w:rPr>
              <w:t>總字數 </w:t>
            </w:r>
            <w:r>
              <w:rPr>
                <w:rFonts w:ascii="Times New Roman" w:hAnsi="Times New Roman" w:eastAsia="Times New Roman"/>
                <w:sz w:val="24"/>
              </w:rPr>
              <w:t>16,147 </w:t>
            </w:r>
            <w:r>
              <w:rPr>
                <w:spacing w:val="-10"/>
                <w:sz w:val="24"/>
              </w:rPr>
              <w:t>字</w:t>
            </w:r>
          </w:p>
        </w:tc>
      </w:tr>
      <w:tr>
        <w:trPr>
          <w:trHeight w:val="1356" w:hRule="atLeast"/>
        </w:trPr>
        <w:tc>
          <w:tcPr>
            <w:tcW w:w="1699" w:type="dxa"/>
            <w:vMerge/>
            <w:tcBorders>
              <w:top w:val="nil"/>
            </w:tcBorders>
          </w:tcPr>
          <w:p>
            <w:pPr>
              <w:rPr>
                <w:sz w:val="2"/>
                <w:szCs w:val="2"/>
              </w:rPr>
            </w:pPr>
          </w:p>
        </w:tc>
        <w:tc>
          <w:tcPr>
            <w:tcW w:w="2832" w:type="dxa"/>
          </w:tcPr>
          <w:p>
            <w:pPr>
              <w:pStyle w:val="TableParagraph"/>
              <w:spacing w:before="359"/>
              <w:ind w:left="115" w:right="109"/>
              <w:jc w:val="center"/>
              <w:rPr>
                <w:rFonts w:ascii="Times New Roman"/>
                <w:sz w:val="24"/>
              </w:rPr>
            </w:pPr>
            <w:r>
              <w:rPr>
                <w:rFonts w:ascii="Times New Roman"/>
                <w:spacing w:val="-2"/>
                <w:sz w:val="24"/>
              </w:rPr>
              <w:t>U-</w:t>
            </w:r>
            <w:r>
              <w:rPr>
                <w:rFonts w:ascii="Times New Roman"/>
                <w:spacing w:val="-5"/>
                <w:sz w:val="24"/>
              </w:rPr>
              <w:t>ARK</w:t>
            </w:r>
          </w:p>
          <w:p>
            <w:pPr>
              <w:pStyle w:val="TableParagraph"/>
              <w:spacing w:before="162"/>
              <w:ind w:left="120" w:right="109"/>
              <w:jc w:val="center"/>
              <w:rPr>
                <w:sz w:val="24"/>
              </w:rPr>
            </w:pPr>
            <w:r>
              <w:rPr>
                <w:spacing w:val="-2"/>
                <w:sz w:val="24"/>
              </w:rPr>
              <w:t>諾亞克科技</w:t>
            </w:r>
          </w:p>
        </w:tc>
        <w:tc>
          <w:tcPr>
            <w:tcW w:w="4536" w:type="dxa"/>
          </w:tcPr>
          <w:p>
            <w:pPr>
              <w:pStyle w:val="TableParagraph"/>
              <w:numPr>
                <w:ilvl w:val="0"/>
                <w:numId w:val="16"/>
              </w:numPr>
              <w:tabs>
                <w:tab w:pos="588" w:val="left" w:leader="none"/>
              </w:tabs>
              <w:spacing w:line="240" w:lineRule="auto" w:before="148" w:after="0"/>
              <w:ind w:left="588" w:right="0" w:hanging="480"/>
              <w:jc w:val="left"/>
              <w:rPr>
                <w:sz w:val="24"/>
              </w:rPr>
            </w:pPr>
            <w:r>
              <w:rPr>
                <w:spacing w:val="-15"/>
                <w:sz w:val="24"/>
              </w:rPr>
              <w:t>受訪者 </w:t>
            </w:r>
            <w:r>
              <w:rPr>
                <w:rFonts w:ascii="Times New Roman" w:hAnsi="Times New Roman" w:eastAsia="Times New Roman"/>
                <w:sz w:val="24"/>
              </w:rPr>
              <w:t>2 </w:t>
            </w:r>
            <w:r>
              <w:rPr>
                <w:spacing w:val="-10"/>
                <w:sz w:val="24"/>
              </w:rPr>
              <w:t>位</w:t>
            </w:r>
          </w:p>
          <w:p>
            <w:pPr>
              <w:pStyle w:val="TableParagraph"/>
              <w:numPr>
                <w:ilvl w:val="0"/>
                <w:numId w:val="16"/>
              </w:numPr>
              <w:tabs>
                <w:tab w:pos="588" w:val="left" w:leader="none"/>
              </w:tabs>
              <w:spacing w:line="240" w:lineRule="auto" w:before="53" w:after="0"/>
              <w:ind w:left="588" w:right="0" w:hanging="480"/>
              <w:jc w:val="left"/>
              <w:rPr>
                <w:sz w:val="24"/>
              </w:rPr>
            </w:pPr>
            <w:r>
              <w:rPr>
                <w:spacing w:val="-12"/>
                <w:sz w:val="24"/>
              </w:rPr>
              <w:t>訪談時間 </w:t>
            </w:r>
            <w:r>
              <w:rPr>
                <w:rFonts w:ascii="Times New Roman" w:hAnsi="Times New Roman" w:eastAsia="Times New Roman"/>
                <w:sz w:val="24"/>
              </w:rPr>
              <w:t>255 </w:t>
            </w:r>
            <w:r>
              <w:rPr>
                <w:spacing w:val="-5"/>
                <w:sz w:val="24"/>
              </w:rPr>
              <w:t>分鐘</w:t>
            </w:r>
          </w:p>
          <w:p>
            <w:pPr>
              <w:pStyle w:val="TableParagraph"/>
              <w:numPr>
                <w:ilvl w:val="0"/>
                <w:numId w:val="16"/>
              </w:numPr>
              <w:tabs>
                <w:tab w:pos="588" w:val="left" w:leader="none"/>
              </w:tabs>
              <w:spacing w:line="240" w:lineRule="auto" w:before="53" w:after="0"/>
              <w:ind w:left="588" w:right="0" w:hanging="480"/>
              <w:jc w:val="left"/>
              <w:rPr>
                <w:sz w:val="24"/>
              </w:rPr>
            </w:pPr>
            <w:r>
              <w:rPr>
                <w:spacing w:val="-15"/>
                <w:sz w:val="24"/>
              </w:rPr>
              <w:t>總字數 </w:t>
            </w:r>
            <w:r>
              <w:rPr>
                <w:rFonts w:ascii="Times New Roman" w:hAnsi="Times New Roman" w:eastAsia="Times New Roman"/>
                <w:sz w:val="24"/>
              </w:rPr>
              <w:t>67,297 </w:t>
            </w:r>
            <w:r>
              <w:rPr>
                <w:spacing w:val="-10"/>
                <w:sz w:val="24"/>
              </w:rPr>
              <w:t>字</w:t>
            </w:r>
          </w:p>
        </w:tc>
      </w:tr>
      <w:tr>
        <w:trPr>
          <w:trHeight w:val="1358" w:hRule="atLeast"/>
        </w:trPr>
        <w:tc>
          <w:tcPr>
            <w:tcW w:w="1699" w:type="dxa"/>
            <w:vMerge/>
            <w:tcBorders>
              <w:top w:val="nil"/>
            </w:tcBorders>
          </w:tcPr>
          <w:p>
            <w:pPr>
              <w:rPr>
                <w:sz w:val="2"/>
                <w:szCs w:val="2"/>
              </w:rPr>
            </w:pPr>
          </w:p>
        </w:tc>
        <w:tc>
          <w:tcPr>
            <w:tcW w:w="2832" w:type="dxa"/>
          </w:tcPr>
          <w:p>
            <w:pPr>
              <w:pStyle w:val="TableParagraph"/>
              <w:spacing w:before="361"/>
              <w:ind w:left="11" w:right="120"/>
              <w:jc w:val="center"/>
              <w:rPr>
                <w:rFonts w:ascii="Times New Roman"/>
                <w:sz w:val="24"/>
              </w:rPr>
            </w:pPr>
            <w:r>
              <w:rPr>
                <w:rFonts w:ascii="Times New Roman"/>
                <w:spacing w:val="-4"/>
                <w:sz w:val="24"/>
              </w:rPr>
              <w:t>Jubo</w:t>
            </w:r>
          </w:p>
          <w:p>
            <w:pPr>
              <w:pStyle w:val="TableParagraph"/>
              <w:spacing w:before="162"/>
              <w:ind w:left="936"/>
              <w:rPr>
                <w:sz w:val="24"/>
              </w:rPr>
            </w:pPr>
            <w:r>
              <w:rPr>
                <w:spacing w:val="-3"/>
                <w:sz w:val="24"/>
              </w:rPr>
              <w:t>智齡科技</w:t>
            </w:r>
          </w:p>
        </w:tc>
        <w:tc>
          <w:tcPr>
            <w:tcW w:w="4536" w:type="dxa"/>
          </w:tcPr>
          <w:p>
            <w:pPr>
              <w:pStyle w:val="TableParagraph"/>
              <w:numPr>
                <w:ilvl w:val="0"/>
                <w:numId w:val="17"/>
              </w:numPr>
              <w:tabs>
                <w:tab w:pos="588" w:val="left" w:leader="none"/>
              </w:tabs>
              <w:spacing w:line="240" w:lineRule="auto" w:before="151" w:after="0"/>
              <w:ind w:left="588" w:right="0" w:hanging="480"/>
              <w:jc w:val="left"/>
              <w:rPr>
                <w:sz w:val="24"/>
              </w:rPr>
            </w:pPr>
            <w:r>
              <w:rPr>
                <w:spacing w:val="-15"/>
                <w:sz w:val="24"/>
              </w:rPr>
              <w:t>受訪者 </w:t>
            </w:r>
            <w:r>
              <w:rPr>
                <w:rFonts w:ascii="Times New Roman" w:hAnsi="Times New Roman" w:eastAsia="Times New Roman"/>
                <w:sz w:val="24"/>
              </w:rPr>
              <w:t>2 </w:t>
            </w:r>
            <w:r>
              <w:rPr>
                <w:spacing w:val="-10"/>
                <w:sz w:val="24"/>
              </w:rPr>
              <w:t>位</w:t>
            </w:r>
          </w:p>
          <w:p>
            <w:pPr>
              <w:pStyle w:val="TableParagraph"/>
              <w:numPr>
                <w:ilvl w:val="0"/>
                <w:numId w:val="17"/>
              </w:numPr>
              <w:tabs>
                <w:tab w:pos="588" w:val="left" w:leader="none"/>
              </w:tabs>
              <w:spacing w:line="240" w:lineRule="auto" w:before="52" w:after="0"/>
              <w:ind w:left="588" w:right="0" w:hanging="480"/>
              <w:jc w:val="left"/>
              <w:rPr>
                <w:sz w:val="24"/>
              </w:rPr>
            </w:pPr>
            <w:r>
              <w:rPr>
                <w:spacing w:val="-12"/>
                <w:sz w:val="24"/>
              </w:rPr>
              <w:t>訪談時間 </w:t>
            </w:r>
            <w:r>
              <w:rPr>
                <w:rFonts w:ascii="Times New Roman" w:hAnsi="Times New Roman" w:eastAsia="Times New Roman"/>
                <w:sz w:val="24"/>
              </w:rPr>
              <w:t>104 </w:t>
            </w:r>
            <w:r>
              <w:rPr>
                <w:spacing w:val="-5"/>
                <w:sz w:val="24"/>
              </w:rPr>
              <w:t>分鐘</w:t>
            </w:r>
          </w:p>
          <w:p>
            <w:pPr>
              <w:pStyle w:val="TableParagraph"/>
              <w:numPr>
                <w:ilvl w:val="0"/>
                <w:numId w:val="17"/>
              </w:numPr>
              <w:tabs>
                <w:tab w:pos="588" w:val="left" w:leader="none"/>
              </w:tabs>
              <w:spacing w:line="240" w:lineRule="auto" w:before="53" w:after="0"/>
              <w:ind w:left="588" w:right="0" w:hanging="480"/>
              <w:jc w:val="left"/>
              <w:rPr>
                <w:sz w:val="24"/>
              </w:rPr>
            </w:pPr>
            <w:r>
              <w:rPr>
                <w:spacing w:val="-15"/>
                <w:sz w:val="24"/>
              </w:rPr>
              <w:t>總字數 </w:t>
            </w:r>
            <w:r>
              <w:rPr>
                <w:rFonts w:ascii="Times New Roman" w:hAnsi="Times New Roman" w:eastAsia="Times New Roman"/>
                <w:sz w:val="24"/>
              </w:rPr>
              <w:t>28,401 </w:t>
            </w:r>
            <w:r>
              <w:rPr>
                <w:spacing w:val="-10"/>
                <w:sz w:val="24"/>
              </w:rPr>
              <w:t>字</w:t>
            </w:r>
          </w:p>
        </w:tc>
      </w:tr>
      <w:tr>
        <w:trPr>
          <w:trHeight w:val="1355" w:hRule="atLeast"/>
        </w:trPr>
        <w:tc>
          <w:tcPr>
            <w:tcW w:w="1699" w:type="dxa"/>
            <w:vMerge/>
            <w:tcBorders>
              <w:top w:val="nil"/>
            </w:tcBorders>
          </w:tcPr>
          <w:p>
            <w:pPr>
              <w:rPr>
                <w:sz w:val="2"/>
                <w:szCs w:val="2"/>
              </w:rPr>
            </w:pPr>
          </w:p>
        </w:tc>
        <w:tc>
          <w:tcPr>
            <w:tcW w:w="2832" w:type="dxa"/>
          </w:tcPr>
          <w:p>
            <w:pPr>
              <w:pStyle w:val="TableParagraph"/>
              <w:spacing w:before="361"/>
              <w:ind w:left="972"/>
              <w:rPr>
                <w:rFonts w:ascii="Times New Roman"/>
                <w:sz w:val="24"/>
              </w:rPr>
            </w:pPr>
            <w:r>
              <w:rPr>
                <w:rFonts w:ascii="Times New Roman"/>
                <w:spacing w:val="-2"/>
                <w:sz w:val="24"/>
              </w:rPr>
              <w:t>WaCare</w:t>
            </w:r>
          </w:p>
          <w:p>
            <w:pPr>
              <w:pStyle w:val="TableParagraph"/>
              <w:spacing w:before="162"/>
              <w:ind w:left="936"/>
              <w:rPr>
                <w:sz w:val="24"/>
              </w:rPr>
            </w:pPr>
            <w:r>
              <w:rPr>
                <w:spacing w:val="-3"/>
                <w:sz w:val="24"/>
              </w:rPr>
              <w:t>吉樂健康</w:t>
            </w:r>
          </w:p>
        </w:tc>
        <w:tc>
          <w:tcPr>
            <w:tcW w:w="4536" w:type="dxa"/>
          </w:tcPr>
          <w:p>
            <w:pPr>
              <w:pStyle w:val="TableParagraph"/>
              <w:numPr>
                <w:ilvl w:val="0"/>
                <w:numId w:val="18"/>
              </w:numPr>
              <w:tabs>
                <w:tab w:pos="588" w:val="left" w:leader="none"/>
              </w:tabs>
              <w:spacing w:line="240" w:lineRule="auto" w:before="151" w:after="0"/>
              <w:ind w:left="588" w:right="0" w:hanging="480"/>
              <w:jc w:val="left"/>
              <w:rPr>
                <w:sz w:val="24"/>
              </w:rPr>
            </w:pPr>
            <w:r>
              <w:rPr>
                <w:spacing w:val="-15"/>
                <w:sz w:val="24"/>
              </w:rPr>
              <w:t>受訪者 </w:t>
            </w:r>
            <w:r>
              <w:rPr>
                <w:rFonts w:ascii="Times New Roman" w:hAnsi="Times New Roman" w:eastAsia="Times New Roman"/>
                <w:sz w:val="24"/>
              </w:rPr>
              <w:t>5 </w:t>
            </w:r>
            <w:r>
              <w:rPr>
                <w:spacing w:val="-10"/>
                <w:sz w:val="24"/>
              </w:rPr>
              <w:t>位</w:t>
            </w:r>
          </w:p>
          <w:p>
            <w:pPr>
              <w:pStyle w:val="TableParagraph"/>
              <w:numPr>
                <w:ilvl w:val="0"/>
                <w:numId w:val="18"/>
              </w:numPr>
              <w:tabs>
                <w:tab w:pos="588" w:val="left" w:leader="none"/>
              </w:tabs>
              <w:spacing w:line="240" w:lineRule="auto" w:before="52" w:after="0"/>
              <w:ind w:left="588" w:right="0" w:hanging="480"/>
              <w:jc w:val="left"/>
              <w:rPr>
                <w:sz w:val="24"/>
              </w:rPr>
            </w:pPr>
            <w:r>
              <w:rPr>
                <w:sz w:val="24"/>
              </w:rPr>
              <mc:AlternateContent>
                <mc:Choice Requires="wps">
                  <w:drawing>
                    <wp:anchor distT="0" distB="0" distL="0" distR="0" allowOverlap="1" layoutInCell="1" locked="0" behindDoc="1" simplePos="0" relativeHeight="485800448">
                      <wp:simplePos x="0" y="0"/>
                      <wp:positionH relativeFrom="column">
                        <wp:posOffset>-466217</wp:posOffset>
                      </wp:positionH>
                      <wp:positionV relativeFrom="paragraph">
                        <wp:posOffset>-52959</wp:posOffset>
                      </wp:positionV>
                      <wp:extent cx="929640" cy="978535"/>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929640" cy="978535"/>
                                <a:chExt cx="929640" cy="978535"/>
                              </a:xfrm>
                            </wpg:grpSpPr>
                            <pic:pic>
                              <pic:nvPicPr>
                                <pic:cNvPr id="125" name="Image 125"/>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36.710007pt;margin-top:-4.170016pt;width:73.2pt;height:77.05pt;mso-position-horizontal-relative:column;mso-position-vertical-relative:paragraph;z-index:-17516032" id="docshapegroup18" coordorigin="-734,-83" coordsize="1464,1541">
                      <v:shape style="position:absolute;left:-735;top:-84;width:1464;height:1541" type="#_x0000_t75" id="docshape19" stroked="false">
                        <v:imagedata r:id="rId6" o:title=""/>
                      </v:shape>
                      <w10:wrap type="none"/>
                    </v:group>
                  </w:pict>
                </mc:Fallback>
              </mc:AlternateContent>
            </w:r>
            <w:r>
              <w:rPr>
                <w:spacing w:val="-12"/>
                <w:sz w:val="24"/>
              </w:rPr>
              <w:t>訪談時間 </w:t>
            </w:r>
            <w:r>
              <w:rPr>
                <w:rFonts w:ascii="Times New Roman" w:hAnsi="Times New Roman" w:eastAsia="Times New Roman"/>
                <w:sz w:val="24"/>
              </w:rPr>
              <w:t>373 </w:t>
            </w:r>
            <w:r>
              <w:rPr>
                <w:spacing w:val="-5"/>
                <w:sz w:val="24"/>
              </w:rPr>
              <w:t>分鐘</w:t>
            </w:r>
          </w:p>
          <w:p>
            <w:pPr>
              <w:pStyle w:val="TableParagraph"/>
              <w:numPr>
                <w:ilvl w:val="0"/>
                <w:numId w:val="18"/>
              </w:numPr>
              <w:tabs>
                <w:tab w:pos="588" w:val="left" w:leader="none"/>
              </w:tabs>
              <w:spacing w:line="240" w:lineRule="auto" w:before="53" w:after="0"/>
              <w:ind w:left="588" w:right="0" w:hanging="480"/>
              <w:jc w:val="left"/>
              <w:rPr>
                <w:sz w:val="24"/>
              </w:rPr>
            </w:pPr>
            <w:r>
              <w:rPr>
                <w:spacing w:val="-15"/>
                <w:sz w:val="24"/>
              </w:rPr>
              <w:t>總字數 </w:t>
            </w:r>
            <w:r>
              <w:rPr>
                <w:rFonts w:ascii="Times New Roman" w:hAnsi="Times New Roman" w:eastAsia="Times New Roman"/>
                <w:sz w:val="24"/>
              </w:rPr>
              <w:t>94,421 </w:t>
            </w:r>
            <w:r>
              <w:rPr>
                <w:spacing w:val="-10"/>
                <w:sz w:val="24"/>
              </w:rPr>
              <w:t>字</w:t>
            </w:r>
          </w:p>
        </w:tc>
      </w:tr>
      <w:tr>
        <w:trPr>
          <w:trHeight w:val="1358" w:hRule="atLeast"/>
        </w:trPr>
        <w:tc>
          <w:tcPr>
            <w:tcW w:w="1699" w:type="dxa"/>
            <w:vMerge/>
            <w:tcBorders>
              <w:top w:val="nil"/>
            </w:tcBorders>
          </w:tcPr>
          <w:p>
            <w:pPr>
              <w:rPr>
                <w:sz w:val="2"/>
                <w:szCs w:val="2"/>
              </w:rPr>
            </w:pPr>
          </w:p>
        </w:tc>
        <w:tc>
          <w:tcPr>
            <w:tcW w:w="7368" w:type="dxa"/>
            <w:gridSpan w:val="2"/>
          </w:tcPr>
          <w:p>
            <w:pPr>
              <w:pStyle w:val="TableParagraph"/>
              <w:spacing w:before="151"/>
              <w:ind w:left="491" w:right="2"/>
              <w:jc w:val="center"/>
              <w:rPr>
                <w:sz w:val="24"/>
              </w:rPr>
            </w:pPr>
            <w:r>
              <w:rPr>
                <w:rFonts w:ascii="Times New Roman" w:eastAsia="Times New Roman"/>
                <w:sz w:val="24"/>
              </w:rPr>
              <w:t>12 </w:t>
            </w:r>
            <w:r>
              <w:rPr>
                <w:spacing w:val="-6"/>
                <w:sz w:val="24"/>
              </w:rPr>
              <w:t>人次半結構化訪談，共 </w:t>
            </w:r>
            <w:r>
              <w:rPr>
                <w:rFonts w:ascii="Times New Roman" w:eastAsia="Times New Roman"/>
                <w:sz w:val="24"/>
              </w:rPr>
              <w:t>10 </w:t>
            </w:r>
            <w:r>
              <w:rPr>
                <w:spacing w:val="-3"/>
                <w:sz w:val="24"/>
              </w:rPr>
              <w:t>位受訪者</w:t>
            </w:r>
          </w:p>
          <w:p>
            <w:pPr>
              <w:pStyle w:val="TableParagraph"/>
              <w:spacing w:before="53"/>
              <w:ind w:left="491"/>
              <w:jc w:val="center"/>
              <w:rPr>
                <w:sz w:val="24"/>
              </w:rPr>
            </w:pPr>
            <w:r>
              <w:rPr>
                <w:spacing w:val="-12"/>
                <w:sz w:val="24"/>
              </w:rPr>
              <w:t>平均時長 </w:t>
            </w:r>
            <w:r>
              <w:rPr>
                <w:rFonts w:ascii="Times New Roman" w:eastAsia="Times New Roman"/>
                <w:sz w:val="24"/>
              </w:rPr>
              <w:t>212 </w:t>
            </w:r>
            <w:r>
              <w:rPr>
                <w:spacing w:val="-5"/>
                <w:sz w:val="24"/>
              </w:rPr>
              <w:t>分鐘</w:t>
            </w:r>
          </w:p>
          <w:p>
            <w:pPr>
              <w:pStyle w:val="TableParagraph"/>
              <w:spacing w:before="52"/>
              <w:ind w:left="491" w:right="2"/>
              <w:jc w:val="center"/>
              <w:rPr>
                <w:sz w:val="24"/>
              </w:rPr>
            </w:pPr>
            <w:r>
              <w:rPr>
                <w:spacing w:val="-15"/>
                <w:sz w:val="24"/>
              </w:rPr>
              <w:t>總字數 </w:t>
            </w:r>
            <w:r>
              <w:rPr>
                <w:rFonts w:ascii="Times New Roman" w:eastAsia="Times New Roman"/>
                <w:sz w:val="24"/>
              </w:rPr>
              <w:t>206,266 </w:t>
            </w:r>
            <w:r>
              <w:rPr>
                <w:spacing w:val="-10"/>
                <w:sz w:val="24"/>
              </w:rPr>
              <w:t>字</w:t>
            </w:r>
          </w:p>
        </w:tc>
      </w:tr>
      <w:tr>
        <w:trPr>
          <w:trHeight w:val="1955" w:hRule="atLeast"/>
        </w:trPr>
        <w:tc>
          <w:tcPr>
            <w:tcW w:w="1699" w:type="dxa"/>
          </w:tcPr>
          <w:p>
            <w:pPr>
              <w:pStyle w:val="TableParagraph"/>
              <w:spacing w:before="367"/>
              <w:rPr>
                <w:rFonts w:ascii="Microsoft JhengHei"/>
                <w:b/>
                <w:sz w:val="24"/>
              </w:rPr>
            </w:pPr>
          </w:p>
          <w:p>
            <w:pPr>
              <w:pStyle w:val="TableParagraph"/>
              <w:ind w:left="9"/>
              <w:jc w:val="center"/>
              <w:rPr>
                <w:sz w:val="24"/>
              </w:rPr>
            </w:pPr>
            <w:r>
              <w:rPr>
                <w:spacing w:val="-3"/>
                <w:sz w:val="24"/>
              </w:rPr>
              <w:t>二手資料</w:t>
            </w:r>
          </w:p>
        </w:tc>
        <w:tc>
          <w:tcPr>
            <w:tcW w:w="7368" w:type="dxa"/>
            <w:gridSpan w:val="2"/>
          </w:tcPr>
          <w:p>
            <w:pPr>
              <w:pStyle w:val="TableParagraph"/>
              <w:numPr>
                <w:ilvl w:val="0"/>
                <w:numId w:val="19"/>
              </w:numPr>
              <w:tabs>
                <w:tab w:pos="588" w:val="left" w:leader="none"/>
              </w:tabs>
              <w:spacing w:line="240" w:lineRule="auto" w:before="268" w:after="0"/>
              <w:ind w:left="588" w:right="0" w:hanging="481"/>
              <w:jc w:val="left"/>
              <w:rPr>
                <w:sz w:val="24"/>
              </w:rPr>
            </w:pPr>
            <w:r>
              <w:rPr>
                <w:spacing w:val="-2"/>
                <w:sz w:val="24"/>
              </w:rPr>
              <w:t>公司官方網站</w:t>
            </w:r>
          </w:p>
          <w:p>
            <w:pPr>
              <w:pStyle w:val="TableParagraph"/>
              <w:numPr>
                <w:ilvl w:val="0"/>
                <w:numId w:val="19"/>
              </w:numPr>
              <w:tabs>
                <w:tab w:pos="588" w:val="left" w:leader="none"/>
              </w:tabs>
              <w:spacing w:line="240" w:lineRule="auto" w:before="53" w:after="0"/>
              <w:ind w:left="588" w:right="0" w:hanging="481"/>
              <w:jc w:val="left"/>
              <w:rPr>
                <w:sz w:val="24"/>
              </w:rPr>
            </w:pPr>
            <w:r>
              <w:rPr>
                <w:spacing w:val="-2"/>
                <w:sz w:val="24"/>
              </w:rPr>
              <w:t>公司官方影片</w:t>
            </w:r>
          </w:p>
          <w:p>
            <w:pPr>
              <w:pStyle w:val="TableParagraph"/>
              <w:numPr>
                <w:ilvl w:val="0"/>
                <w:numId w:val="19"/>
              </w:numPr>
              <w:tabs>
                <w:tab w:pos="588" w:val="left" w:leader="none"/>
              </w:tabs>
              <w:spacing w:line="240" w:lineRule="auto" w:before="52" w:after="0"/>
              <w:ind w:left="588" w:right="0" w:hanging="481"/>
              <w:jc w:val="left"/>
              <w:rPr>
                <w:sz w:val="24"/>
              </w:rPr>
            </w:pPr>
            <w:r>
              <w:rPr>
                <w:spacing w:val="-2"/>
                <w:sz w:val="24"/>
              </w:rPr>
              <w:t>媒體與報章雜誌</w:t>
            </w:r>
          </w:p>
          <w:p>
            <w:pPr>
              <w:pStyle w:val="TableParagraph"/>
              <w:numPr>
                <w:ilvl w:val="0"/>
                <w:numId w:val="19"/>
              </w:numPr>
              <w:tabs>
                <w:tab w:pos="588" w:val="left" w:leader="none"/>
              </w:tabs>
              <w:spacing w:line="240" w:lineRule="auto" w:before="53" w:after="0"/>
              <w:ind w:left="588" w:right="0" w:hanging="481"/>
              <w:jc w:val="left"/>
              <w:rPr>
                <w:sz w:val="24"/>
              </w:rPr>
            </w:pPr>
            <w:r>
              <w:rPr>
                <w:spacing w:val="-2"/>
                <w:sz w:val="24"/>
              </w:rPr>
              <w:t>網路文章與網路專訪</w:t>
            </w:r>
          </w:p>
        </w:tc>
      </w:tr>
    </w:tbl>
    <w:p>
      <w:pPr>
        <w:pStyle w:val="BodyText"/>
        <w:spacing w:before="214"/>
        <w:ind w:left="597" w:right="118"/>
        <w:jc w:val="center"/>
      </w:pPr>
      <w:r>
        <w:rPr>
          <w:spacing w:val="-1"/>
        </w:rPr>
        <w:t>資料來源：本研究整理</w:t>
      </w:r>
    </w:p>
    <w:p>
      <w:pPr>
        <w:pStyle w:val="BodyText"/>
        <w:spacing w:after="0"/>
        <w:jc w:val="center"/>
        <w:sectPr>
          <w:pgSz w:w="11910" w:h="16840"/>
          <w:pgMar w:header="0" w:footer="1197" w:top="1740" w:bottom="1380" w:left="1133" w:right="1133"/>
        </w:sectPr>
      </w:pPr>
    </w:p>
    <w:p>
      <w:pPr>
        <w:pStyle w:val="Heading2"/>
        <w:spacing w:line="500" w:lineRule="exact"/>
        <w:ind w:left="568"/>
        <w:rPr>
          <w:position w:val="1"/>
        </w:rPr>
      </w:pPr>
      <w:r>
        <w:rPr>
          <w:b w:val="0"/>
        </w:rPr>
        <w:drawing>
          <wp:inline distT="0" distB="0" distL="0" distR="0">
            <wp:extent cx="400050" cy="145542"/>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68" cstate="print"/>
                    <a:stretch>
                      <a:fillRect/>
                    </a:stretch>
                  </pic:blipFill>
                  <pic:spPr>
                    <a:xfrm>
                      <a:off x="0" y="0"/>
                      <a:ext cx="400050"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47" w:id="48"/>
      <w:bookmarkEnd w:id="48"/>
      <w:r>
        <w:rPr>
          <w:rFonts w:ascii="Times New Roman" w:eastAsia="Times New Roman"/>
          <w:b w:val="0"/>
          <w:spacing w:val="-22"/>
          <w:position w:val="1"/>
          <w:sz w:val="20"/>
        </w:rPr>
      </w:r>
      <w:r>
        <w:rPr>
          <w:spacing w:val="-2"/>
          <w:position w:val="1"/>
        </w:rPr>
        <w:t>資料分析</w:t>
      </w:r>
    </w:p>
    <w:p>
      <w:pPr>
        <w:pStyle w:val="BodyText"/>
        <w:spacing w:line="422" w:lineRule="auto" w:before="386"/>
        <w:ind w:right="685" w:firstLine="479"/>
      </w:pPr>
      <w:r>
        <w:rPr>
          <w:spacing w:val="-4"/>
        </w:rPr>
        <w:t>根據 </w:t>
      </w:r>
      <w:r>
        <w:rPr>
          <w:rFonts w:ascii="Times New Roman" w:eastAsia="Times New Roman"/>
          <w:spacing w:val="-6"/>
        </w:rPr>
        <w:t>Strauss</w:t>
      </w:r>
      <w:r>
        <w:rPr>
          <w:rFonts w:ascii="Times New Roman" w:eastAsia="Times New Roman"/>
          <w:spacing w:val="-7"/>
        </w:rPr>
        <w:t> </w:t>
      </w:r>
      <w:r>
        <w:rPr>
          <w:rFonts w:ascii="Times New Roman" w:eastAsia="Times New Roman"/>
          <w:spacing w:val="-6"/>
        </w:rPr>
        <w:t>&amp;</w:t>
      </w:r>
      <w:r>
        <w:rPr>
          <w:rFonts w:ascii="Times New Roman" w:eastAsia="Times New Roman"/>
          <w:spacing w:val="-7"/>
        </w:rPr>
        <w:t> </w:t>
      </w:r>
      <w:r>
        <w:rPr>
          <w:rFonts w:ascii="Times New Roman" w:eastAsia="Times New Roman"/>
          <w:spacing w:val="-6"/>
        </w:rPr>
        <w:t>Corbin</w:t>
      </w:r>
      <w:r>
        <w:rPr>
          <w:spacing w:val="-6"/>
        </w:rPr>
        <w:t>（</w:t>
      </w:r>
      <w:r>
        <w:rPr>
          <w:rFonts w:ascii="Times New Roman" w:eastAsia="Times New Roman"/>
          <w:spacing w:val="-6"/>
        </w:rPr>
        <w:t>1994</w:t>
      </w:r>
      <w:r>
        <w:rPr>
          <w:spacing w:val="-6"/>
        </w:rPr>
        <w:t>）的紮根理論（</w:t>
      </w:r>
      <w:r>
        <w:rPr>
          <w:rFonts w:ascii="Times New Roman" w:eastAsia="Times New Roman"/>
          <w:spacing w:val="-6"/>
        </w:rPr>
        <w:t>Grounded</w:t>
      </w:r>
      <w:r>
        <w:rPr>
          <w:rFonts w:ascii="Times New Roman" w:eastAsia="Times New Roman"/>
          <w:spacing w:val="-9"/>
        </w:rPr>
        <w:t> </w:t>
      </w:r>
      <w:r>
        <w:rPr>
          <w:rFonts w:ascii="Times New Roman" w:eastAsia="Times New Roman"/>
          <w:spacing w:val="12"/>
        </w:rPr>
        <w:t>Th</w:t>
      </w:r>
      <w:r>
        <w:rPr>
          <w:rFonts w:ascii="Times New Roman" w:eastAsia="Times New Roman"/>
          <w:spacing w:val="10"/>
        </w:rPr>
        <w:t>e</w:t>
      </w:r>
      <w:r>
        <w:rPr>
          <w:rFonts w:ascii="Times New Roman" w:eastAsia="Times New Roman"/>
          <w:spacing w:val="14"/>
        </w:rPr>
        <w:t>o</w:t>
      </w:r>
      <w:r>
        <w:rPr>
          <w:rFonts w:ascii="Times New Roman" w:eastAsia="Times New Roman"/>
          <w:spacing w:val="12"/>
        </w:rPr>
        <w:t>r</w:t>
      </w:r>
      <w:r>
        <w:rPr>
          <w:rFonts w:ascii="Times New Roman" w:eastAsia="Times New Roman"/>
          <w:spacing w:val="11"/>
        </w:rPr>
        <w:t>y</w:t>
      </w:r>
      <w:r>
        <w:rPr>
          <w:spacing w:val="-123"/>
        </w:rPr>
        <w:t>）</w:t>
      </w:r>
      <w:r>
        <w:rPr>
          <w:spacing w:val="-6"/>
        </w:rPr>
        <w:t>，資料分析過</w:t>
      </w:r>
      <w:r>
        <w:rPr>
          <w:spacing w:val="-2"/>
        </w:rPr>
        <w:t>程可分為三個層次，分別為：</w:t>
      </w:r>
    </w:p>
    <w:p>
      <w:pPr>
        <w:pStyle w:val="ListParagraph"/>
        <w:numPr>
          <w:ilvl w:val="0"/>
          <w:numId w:val="20"/>
        </w:numPr>
        <w:tabs>
          <w:tab w:pos="1538" w:val="left" w:leader="none"/>
        </w:tabs>
        <w:spacing w:line="336" w:lineRule="auto" w:before="26" w:after="0"/>
        <w:ind w:left="1538" w:right="685" w:hanging="480"/>
        <w:jc w:val="left"/>
        <w:rPr>
          <w:sz w:val="24"/>
        </w:rPr>
      </w:pPr>
      <w:r>
        <w:rPr>
          <w:rFonts w:ascii="Microsoft JhengHei" w:eastAsia="Microsoft JhengHei"/>
          <w:b/>
          <w:spacing w:val="-6"/>
          <w:sz w:val="24"/>
        </w:rPr>
        <w:t>開放性編碼（</w:t>
      </w:r>
      <w:r>
        <w:rPr>
          <w:rFonts w:ascii="Times New Roman" w:eastAsia="Times New Roman"/>
          <w:b/>
          <w:spacing w:val="-6"/>
          <w:sz w:val="24"/>
        </w:rPr>
        <w:t>Open</w:t>
      </w:r>
      <w:r>
        <w:rPr>
          <w:rFonts w:ascii="Times New Roman" w:eastAsia="Times New Roman"/>
          <w:b/>
          <w:spacing w:val="-10"/>
          <w:sz w:val="24"/>
        </w:rPr>
        <w:t> </w:t>
      </w:r>
      <w:r>
        <w:rPr>
          <w:rFonts w:ascii="Times New Roman" w:eastAsia="Times New Roman"/>
          <w:b/>
          <w:spacing w:val="12"/>
          <w:sz w:val="24"/>
        </w:rPr>
        <w:t>C</w:t>
      </w:r>
      <w:r>
        <w:rPr>
          <w:rFonts w:ascii="Times New Roman" w:eastAsia="Times New Roman"/>
          <w:b/>
          <w:spacing w:val="9"/>
          <w:sz w:val="24"/>
        </w:rPr>
        <w:t>o</w:t>
      </w:r>
      <w:r>
        <w:rPr>
          <w:rFonts w:ascii="Times New Roman" w:eastAsia="Times New Roman"/>
          <w:b/>
          <w:spacing w:val="10"/>
          <w:sz w:val="24"/>
        </w:rPr>
        <w:t>d</w:t>
      </w:r>
      <w:r>
        <w:rPr>
          <w:rFonts w:ascii="Times New Roman" w:eastAsia="Times New Roman"/>
          <w:b/>
          <w:spacing w:val="11"/>
          <w:sz w:val="24"/>
        </w:rPr>
        <w:t>i</w:t>
      </w:r>
      <w:r>
        <w:rPr>
          <w:rFonts w:ascii="Times New Roman" w:eastAsia="Times New Roman"/>
          <w:b/>
          <w:spacing w:val="13"/>
          <w:sz w:val="24"/>
        </w:rPr>
        <w:t>n</w:t>
      </w:r>
      <w:r>
        <w:rPr>
          <w:rFonts w:ascii="Times New Roman" w:eastAsia="Times New Roman"/>
          <w:b/>
          <w:spacing w:val="10"/>
          <w:sz w:val="24"/>
        </w:rPr>
        <w:t>g</w:t>
      </w:r>
      <w:r>
        <w:rPr>
          <w:rFonts w:ascii="Microsoft JhengHei" w:eastAsia="Microsoft JhengHei"/>
          <w:b/>
          <w:spacing w:val="-116"/>
          <w:sz w:val="24"/>
        </w:rPr>
        <w:t>）</w:t>
      </w:r>
      <w:r>
        <w:rPr>
          <w:spacing w:val="-6"/>
          <w:sz w:val="24"/>
        </w:rPr>
        <w:t>：將資料進行分段檢視與分類，標示不同現</w:t>
      </w:r>
      <w:r>
        <w:rPr>
          <w:spacing w:val="-2"/>
          <w:sz w:val="24"/>
        </w:rPr>
        <w:t>象，挖掘資料中的深層意涵。這一階段旨在打破資料的既有結構，讓研</w:t>
      </w:r>
    </w:p>
    <w:p>
      <w:pPr>
        <w:pStyle w:val="BodyText"/>
        <w:spacing w:line="422" w:lineRule="auto" w:before="111"/>
        <w:ind w:left="1538" w:right="453"/>
        <w:jc w:val="left"/>
      </w:pPr>
      <w:r>
        <w:rPr>
          <w:spacing w:val="-2"/>
        </w:rPr>
        <w:t>究者能在觀察中發現未曾預料的新觀念與洞見。此過程涉及對訪談記錄、觀察筆記以及其他資料來源進行初步編碼，以建構初步的概念。</w:t>
      </w:r>
    </w:p>
    <w:p>
      <w:pPr>
        <w:pStyle w:val="ListParagraph"/>
        <w:numPr>
          <w:ilvl w:val="0"/>
          <w:numId w:val="20"/>
        </w:numPr>
        <w:tabs>
          <w:tab w:pos="1538" w:val="left" w:leader="none"/>
        </w:tabs>
        <w:spacing w:line="240" w:lineRule="auto" w:before="27" w:after="0"/>
        <w:ind w:left="1538" w:right="0" w:hanging="480"/>
        <w:jc w:val="both"/>
        <w:rPr>
          <w:sz w:val="24"/>
        </w:rPr>
      </w:pPr>
      <w:r>
        <w:rPr>
          <w:rFonts w:ascii="Microsoft JhengHei" w:eastAsia="Microsoft JhengHei"/>
          <w:b/>
          <w:spacing w:val="-6"/>
          <w:sz w:val="24"/>
        </w:rPr>
        <w:t>主軸編碼（</w:t>
      </w:r>
      <w:r>
        <w:rPr>
          <w:rFonts w:ascii="Times New Roman" w:eastAsia="Times New Roman"/>
          <w:b/>
          <w:spacing w:val="-6"/>
          <w:sz w:val="24"/>
        </w:rPr>
        <w:t>Axial</w:t>
      </w:r>
      <w:r>
        <w:rPr>
          <w:rFonts w:ascii="Times New Roman" w:eastAsia="Times New Roman"/>
          <w:b/>
          <w:spacing w:val="39"/>
          <w:sz w:val="24"/>
        </w:rPr>
        <w:t> </w:t>
      </w:r>
      <w:r>
        <w:rPr>
          <w:rFonts w:ascii="Times New Roman" w:eastAsia="Times New Roman"/>
          <w:b/>
          <w:spacing w:val="12"/>
          <w:sz w:val="24"/>
        </w:rPr>
        <w:t>C</w:t>
      </w:r>
      <w:r>
        <w:rPr>
          <w:rFonts w:ascii="Times New Roman" w:eastAsia="Times New Roman"/>
          <w:b/>
          <w:spacing w:val="9"/>
          <w:sz w:val="24"/>
        </w:rPr>
        <w:t>o</w:t>
      </w:r>
      <w:r>
        <w:rPr>
          <w:rFonts w:ascii="Times New Roman" w:eastAsia="Times New Roman"/>
          <w:b/>
          <w:spacing w:val="12"/>
          <w:sz w:val="24"/>
        </w:rPr>
        <w:t>d</w:t>
      </w:r>
      <w:r>
        <w:rPr>
          <w:rFonts w:ascii="Times New Roman" w:eastAsia="Times New Roman"/>
          <w:b/>
          <w:spacing w:val="11"/>
          <w:sz w:val="24"/>
        </w:rPr>
        <w:t>in</w:t>
      </w:r>
      <w:r>
        <w:rPr>
          <w:rFonts w:ascii="Times New Roman" w:eastAsia="Times New Roman"/>
          <w:b/>
          <w:spacing w:val="12"/>
          <w:sz w:val="24"/>
        </w:rPr>
        <w:t>g</w:t>
      </w:r>
      <w:r>
        <w:rPr>
          <w:rFonts w:ascii="Microsoft JhengHei" w:eastAsia="Microsoft JhengHei"/>
          <w:b/>
          <w:spacing w:val="-118"/>
          <w:sz w:val="24"/>
        </w:rPr>
        <w:t>）</w:t>
      </w:r>
      <w:r>
        <w:rPr>
          <w:spacing w:val="-7"/>
          <w:sz w:val="24"/>
        </w:rPr>
        <w:t>：將在開放性編碼中分類的資料進一步聚焦於</w:t>
      </w:r>
    </w:p>
    <w:p>
      <w:pPr>
        <w:pStyle w:val="BodyText"/>
        <w:spacing w:line="422" w:lineRule="auto" w:before="178"/>
        <w:ind w:left="1538" w:right="683"/>
      </w:pPr>
      <w:r>
        <w:rPr/>
        <w:drawing>
          <wp:anchor distT="0" distB="0" distL="0" distR="0" allowOverlap="1" layoutInCell="1" locked="0" behindDoc="1" simplePos="0" relativeHeight="485800960">
            <wp:simplePos x="0" y="0"/>
            <wp:positionH relativeFrom="page">
              <wp:posOffset>3312414</wp:posOffset>
            </wp:positionH>
            <wp:positionV relativeFrom="paragraph">
              <wp:posOffset>685736</wp:posOffset>
            </wp:positionV>
            <wp:extent cx="929640" cy="978408"/>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6" cstate="print"/>
                    <a:stretch>
                      <a:fillRect/>
                    </a:stretch>
                  </pic:blipFill>
                  <pic:spPr>
                    <a:xfrm>
                      <a:off x="0" y="0"/>
                      <a:ext cx="929640" cy="978408"/>
                    </a:xfrm>
                    <a:prstGeom prst="rect">
                      <a:avLst/>
                    </a:prstGeom>
                  </pic:spPr>
                </pic:pic>
              </a:graphicData>
            </a:graphic>
          </wp:anchor>
        </w:drawing>
      </w:r>
      <w:r>
        <w:rPr>
          <w:spacing w:val="-21"/>
        </w:rPr>
        <w:t>核心概念，分析這些概念之間的關聯性，從而對現象提供更準確的解釋。</w:t>
      </w:r>
      <w:r>
        <w:rPr>
          <w:spacing w:val="-2"/>
        </w:rPr>
        <w:t>這一階段強調概念之間的連結性，通常需要研究者結合理論背景來建立相關的理論架構。</w:t>
      </w:r>
    </w:p>
    <w:p>
      <w:pPr>
        <w:pStyle w:val="ListParagraph"/>
        <w:numPr>
          <w:ilvl w:val="0"/>
          <w:numId w:val="20"/>
        </w:numPr>
        <w:tabs>
          <w:tab w:pos="1538" w:val="left" w:leader="none"/>
        </w:tabs>
        <w:spacing w:line="240" w:lineRule="auto" w:before="25" w:after="0"/>
        <w:ind w:left="1538" w:right="0" w:hanging="480"/>
        <w:jc w:val="both"/>
        <w:rPr>
          <w:sz w:val="24"/>
        </w:rPr>
      </w:pPr>
      <w:r>
        <w:rPr>
          <w:rFonts w:ascii="Microsoft JhengHei" w:eastAsia="Microsoft JhengHei"/>
          <w:b/>
          <w:spacing w:val="-6"/>
          <w:sz w:val="24"/>
        </w:rPr>
        <w:t>選擇性編碼（</w:t>
      </w:r>
      <w:r>
        <w:rPr>
          <w:rFonts w:ascii="Times New Roman" w:eastAsia="Times New Roman"/>
          <w:b/>
          <w:spacing w:val="-6"/>
          <w:sz w:val="24"/>
        </w:rPr>
        <w:t>Selective</w:t>
      </w:r>
      <w:r>
        <w:rPr>
          <w:rFonts w:ascii="Times New Roman" w:eastAsia="Times New Roman"/>
          <w:b/>
          <w:spacing w:val="6"/>
          <w:sz w:val="24"/>
        </w:rPr>
        <w:t> </w:t>
      </w:r>
      <w:r>
        <w:rPr>
          <w:rFonts w:ascii="Times New Roman" w:eastAsia="Times New Roman"/>
          <w:b/>
          <w:spacing w:val="12"/>
          <w:sz w:val="24"/>
        </w:rPr>
        <w:t>Codin</w:t>
      </w:r>
      <w:r>
        <w:rPr>
          <w:rFonts w:ascii="Times New Roman" w:eastAsia="Times New Roman"/>
          <w:b/>
          <w:spacing w:val="10"/>
          <w:sz w:val="24"/>
        </w:rPr>
        <w:t>g</w:t>
      </w:r>
      <w:r>
        <w:rPr>
          <w:rFonts w:ascii="Microsoft JhengHei" w:eastAsia="Microsoft JhengHei"/>
          <w:b/>
          <w:spacing w:val="-118"/>
          <w:sz w:val="24"/>
        </w:rPr>
        <w:t>）</w:t>
      </w:r>
      <w:r>
        <w:rPr>
          <w:spacing w:val="-6"/>
          <w:sz w:val="24"/>
        </w:rPr>
        <w:t>：以建立核心範疇（</w:t>
      </w:r>
      <w:r>
        <w:rPr>
          <w:rFonts w:ascii="Times New Roman" w:eastAsia="Times New Roman"/>
          <w:spacing w:val="-6"/>
          <w:sz w:val="24"/>
        </w:rPr>
        <w:t>Core</w:t>
      </w:r>
      <w:r>
        <w:rPr>
          <w:rFonts w:ascii="Times New Roman" w:eastAsia="Times New Roman"/>
          <w:spacing w:val="4"/>
          <w:sz w:val="24"/>
        </w:rPr>
        <w:t> </w:t>
      </w:r>
      <w:r>
        <w:rPr>
          <w:rFonts w:ascii="Times New Roman" w:eastAsia="Times New Roman"/>
          <w:spacing w:val="-6"/>
          <w:sz w:val="24"/>
        </w:rPr>
        <w:t>Category</w:t>
      </w:r>
      <w:r>
        <w:rPr>
          <w:spacing w:val="-6"/>
          <w:sz w:val="24"/>
        </w:rPr>
        <w:t>）</w:t>
      </w:r>
      <w:r>
        <w:rPr>
          <w:spacing w:val="-8"/>
          <w:sz w:val="24"/>
        </w:rPr>
        <w:t>為目</w:t>
      </w:r>
    </w:p>
    <w:p>
      <w:pPr>
        <w:pStyle w:val="BodyText"/>
        <w:spacing w:line="422" w:lineRule="auto" w:before="179"/>
        <w:ind w:left="1538" w:right="684"/>
      </w:pPr>
      <w:r>
        <w:rPr>
          <w:spacing w:val="-2"/>
        </w:rPr>
        <w:t>標，確保其能連結其他所有範疇，並與最多的範疇特徵相關聯。研究者</w:t>
      </w:r>
      <w:r>
        <w:rPr/>
        <w:t>在此階段需構建完整的理論模型，並可輔以情況式矩陣（</w:t>
      </w:r>
      <w:r>
        <w:rPr>
          <w:rFonts w:ascii="Times New Roman" w:eastAsia="Times New Roman"/>
        </w:rPr>
        <w:t>Conditional </w:t>
      </w:r>
      <w:r>
        <w:rPr>
          <w:rFonts w:ascii="Times New Roman" w:eastAsia="Times New Roman"/>
          <w:spacing w:val="-2"/>
        </w:rPr>
        <w:t>Matrix</w:t>
      </w:r>
      <w:r>
        <w:rPr>
          <w:spacing w:val="-2"/>
        </w:rPr>
        <w:t>）來展現理論結構。</w:t>
      </w:r>
    </w:p>
    <w:p>
      <w:pPr>
        <w:pStyle w:val="BodyText"/>
        <w:spacing w:line="422" w:lineRule="auto" w:before="176"/>
        <w:ind w:right="682" w:firstLine="479"/>
      </w:pPr>
      <w:r>
        <w:rPr>
          <w:spacing w:val="-2"/>
        </w:rPr>
        <w:t>綜合上述學者的研究觀點，本研究採用紮根理論中的開放性編碼作為個案</w:t>
      </w:r>
      <w:r>
        <w:rPr>
          <w:spacing w:val="-4"/>
        </w:rPr>
        <w:t>資料分析的主要工具，深入剖析訪談獲得的第一手資料以及輔助的二手資料。通過系統化的編碼過程，歸納出資訊公司如何從競爭環境中識別機會，並充分運用自身的產品資源，結合外部合作夥伴，實現服務範疇的擴展與競爭能力的提升。同時，研究過程中反覆檢視原始資料與歸納結果的準確性，確保分析結論的可靠</w:t>
      </w:r>
      <w:r>
        <w:rPr>
          <w:spacing w:val="-2"/>
        </w:rPr>
        <w:t>性與完整性，從而完成個案分析的目標。</w:t>
      </w:r>
    </w:p>
    <w:p>
      <w:pPr>
        <w:pStyle w:val="BodyText"/>
        <w:spacing w:after="0" w:line="422" w:lineRule="auto"/>
        <w:sectPr>
          <w:pgSz w:w="11910" w:h="16840"/>
          <w:pgMar w:header="0" w:footer="1197" w:top="1800" w:bottom="1380" w:left="1133" w:right="1133"/>
        </w:sectPr>
      </w:pPr>
    </w:p>
    <w:p>
      <w:pPr>
        <w:pStyle w:val="Heading1"/>
        <w:ind w:right="597"/>
      </w:pPr>
      <w:bookmarkStart w:name="_bookmark48" w:id="49"/>
      <w:bookmarkEnd w:id="49"/>
      <w:r>
        <w:rPr>
          <w:b w:val="0"/>
        </w:rPr>
      </w:r>
      <w:r>
        <w:rPr>
          <w:spacing w:val="-2"/>
        </w:rPr>
        <w:t>第四章、個案描述</w:t>
      </w:r>
    </w:p>
    <w:p>
      <w:pPr>
        <w:pStyle w:val="BodyText"/>
        <w:spacing w:line="422" w:lineRule="auto" w:before="349"/>
        <w:ind w:right="683" w:firstLine="479"/>
      </w:pPr>
      <w:r>
        <w:rPr>
          <w:spacing w:val="-6"/>
        </w:rPr>
        <w:t>本章節分為三個部分，第一節將介紹照護產業的整體概況，第二節和第三節</w:t>
      </w:r>
      <w:r>
        <w:rPr>
          <w:spacing w:val="-2"/>
        </w:rPr>
        <w:t>則聚焦於本研究的個案公司</w:t>
      </w:r>
      <w:r>
        <w:rPr>
          <w:rFonts w:ascii="Times New Roman" w:hAnsi="Times New Roman" w:eastAsia="Times New Roman"/>
          <w:spacing w:val="-2"/>
        </w:rPr>
        <w:t>——</w:t>
      </w:r>
      <w:r>
        <w:rPr>
          <w:spacing w:val="-2"/>
        </w:rPr>
        <w:t>諾亞克科技，分別說明其品牌與產品的特色以及發展歷程。</w:t>
      </w:r>
    </w:p>
    <w:p>
      <w:pPr>
        <w:pStyle w:val="Heading2"/>
        <w:numPr>
          <w:ilvl w:val="1"/>
          <w:numId w:val="21"/>
        </w:numPr>
        <w:tabs>
          <w:tab w:pos="1047" w:val="left" w:leader="none"/>
        </w:tabs>
        <w:spacing w:line="240" w:lineRule="auto" w:before="104" w:after="0"/>
        <w:ind w:left="1047" w:right="0" w:hanging="478"/>
        <w:jc w:val="left"/>
      </w:pPr>
      <w:bookmarkStart w:name="_bookmark49" w:id="50"/>
      <w:bookmarkEnd w:id="50"/>
      <w:r>
        <w:rPr>
          <w:rFonts w:ascii="Times New Roman" w:eastAsia="Times New Roman"/>
          <w:spacing w:val="-1"/>
        </w:rPr>
      </w:r>
      <w:r>
        <w:rPr>
          <w:spacing w:val="-4"/>
        </w:rPr>
        <w:t>產業概況</w:t>
      </w:r>
    </w:p>
    <w:p>
      <w:pPr>
        <w:pStyle w:val="Heading2"/>
        <w:spacing w:before="309"/>
        <w:ind w:left="571"/>
        <w:rPr>
          <w:position w:val="1"/>
        </w:rPr>
      </w:pPr>
      <w:r>
        <w:rPr>
          <w:b w:val="0"/>
        </w:rPr>
        <w:drawing>
          <wp:inline distT="0" distB="0" distL="0" distR="0">
            <wp:extent cx="392429" cy="145542"/>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69" cstate="print"/>
                    <a:stretch>
                      <a:fillRect/>
                    </a:stretch>
                  </pic:blipFill>
                  <pic:spPr>
                    <a:xfrm>
                      <a:off x="0" y="0"/>
                      <a:ext cx="392429"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50" w:id="51"/>
      <w:bookmarkEnd w:id="51"/>
      <w:r>
        <w:rPr>
          <w:rFonts w:ascii="Times New Roman" w:eastAsia="Times New Roman"/>
          <w:b w:val="0"/>
          <w:spacing w:val="-12"/>
          <w:position w:val="1"/>
          <w:sz w:val="20"/>
        </w:rPr>
      </w:r>
      <w:r>
        <w:rPr>
          <w:spacing w:val="-4"/>
          <w:position w:val="1"/>
        </w:rPr>
        <w:t>全球與台灣長照需求現況</w:t>
      </w:r>
    </w:p>
    <w:p>
      <w:pPr>
        <w:pStyle w:val="BodyText"/>
        <w:spacing w:line="422" w:lineRule="auto" w:before="387"/>
        <w:ind w:right="682" w:firstLine="479"/>
        <w:rPr>
          <w:rFonts w:ascii="Times New Roman" w:eastAsia="Times New Roman"/>
        </w:rPr>
      </w:pPr>
      <w:r>
        <w:rPr>
          <w:rFonts w:ascii="Times New Roman" w:eastAsia="Times New Roman"/>
        </w:rPr>
        <w:drawing>
          <wp:anchor distT="0" distB="0" distL="0" distR="0" allowOverlap="1" layoutInCell="1" locked="0" behindDoc="1" simplePos="0" relativeHeight="485801472">
            <wp:simplePos x="0" y="0"/>
            <wp:positionH relativeFrom="page">
              <wp:posOffset>3312414</wp:posOffset>
            </wp:positionH>
            <wp:positionV relativeFrom="paragraph">
              <wp:posOffset>1070076</wp:posOffset>
            </wp:positionV>
            <wp:extent cx="929640" cy="978408"/>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全球人口老齡化趨勢持續加劇，尤其在發達國家和新興經濟體中，老年人口</w:t>
      </w:r>
      <w:r>
        <w:rPr>
          <w:spacing w:val="-4"/>
        </w:rPr>
        <w:t>比例顯著提升，進一步推動長期照護需求的增長。在台灣，老年人口增長尤為迅</w:t>
      </w:r>
      <w:r>
        <w:rPr>
          <w:spacing w:val="-8"/>
        </w:rPr>
        <w:t>速，僅用七年便從「高齡社會」跨入「超高齡社會」。根據國家發展委員會的預</w:t>
      </w:r>
      <w:r>
        <w:rPr>
          <w:spacing w:val="-20"/>
        </w:rPr>
        <w:t>估，到 </w:t>
      </w:r>
      <w:r>
        <w:rPr>
          <w:rFonts w:ascii="Times New Roman" w:eastAsia="Times New Roman"/>
          <w:spacing w:val="-6"/>
        </w:rPr>
        <w:t>2023</w:t>
      </w:r>
      <w:r>
        <w:rPr>
          <w:rFonts w:ascii="Times New Roman" w:eastAsia="Times New Roman"/>
          <w:spacing w:val="2"/>
        </w:rPr>
        <w:t> </w:t>
      </w:r>
      <w:r>
        <w:rPr>
          <w:spacing w:val="-6"/>
        </w:rPr>
        <w:t>年，</w:t>
      </w:r>
      <w:r>
        <w:rPr>
          <w:rFonts w:ascii="Times New Roman" w:eastAsia="Times New Roman"/>
          <w:spacing w:val="-6"/>
        </w:rPr>
        <w:t>65</w:t>
      </w:r>
      <w:r>
        <w:rPr>
          <w:rFonts w:ascii="Times New Roman" w:eastAsia="Times New Roman"/>
          <w:spacing w:val="2"/>
        </w:rPr>
        <w:t> </w:t>
      </w:r>
      <w:r>
        <w:rPr>
          <w:spacing w:val="-11"/>
        </w:rPr>
        <w:t>歲以上人口將占總人口的 </w:t>
      </w:r>
      <w:r>
        <w:rPr>
          <w:rFonts w:ascii="Times New Roman" w:eastAsia="Times New Roman"/>
          <w:spacing w:val="-6"/>
        </w:rPr>
        <w:t>20.8%</w:t>
      </w:r>
      <w:r>
        <w:rPr>
          <w:spacing w:val="-23"/>
        </w:rPr>
        <w:t>，達 </w:t>
      </w:r>
      <w:r>
        <w:rPr>
          <w:rFonts w:ascii="Times New Roman" w:eastAsia="Times New Roman"/>
          <w:spacing w:val="-6"/>
        </w:rPr>
        <w:t>468</w:t>
      </w:r>
      <w:r>
        <w:rPr>
          <w:rFonts w:ascii="Times New Roman" w:eastAsia="Times New Roman"/>
          <w:spacing w:val="2"/>
        </w:rPr>
        <w:t> </w:t>
      </w:r>
      <w:r>
        <w:rPr>
          <w:spacing w:val="-13"/>
        </w:rPr>
        <w:t>萬人，相當於每 </w:t>
      </w:r>
      <w:r>
        <w:rPr>
          <w:rFonts w:ascii="Times New Roman" w:eastAsia="Times New Roman"/>
          <w:spacing w:val="-6"/>
        </w:rPr>
        <w:t>100</w:t>
      </w:r>
    </w:p>
    <w:p>
      <w:pPr>
        <w:pStyle w:val="BodyText"/>
        <w:spacing w:line="303" w:lineRule="exact"/>
      </w:pPr>
      <w:r>
        <w:rPr>
          <w:spacing w:val="-7"/>
        </w:rPr>
        <w:t>名青壯年需扶養 </w:t>
      </w:r>
      <w:r>
        <w:rPr>
          <w:rFonts w:ascii="Times New Roman" w:eastAsia="Times New Roman"/>
          <w:spacing w:val="-2"/>
        </w:rPr>
        <w:t>30</w:t>
      </w:r>
      <w:r>
        <w:rPr>
          <w:rFonts w:ascii="Times New Roman" w:eastAsia="Times New Roman"/>
          <w:spacing w:val="26"/>
        </w:rPr>
        <w:t> </w:t>
      </w:r>
      <w:r>
        <w:rPr>
          <w:spacing w:val="-3"/>
        </w:rPr>
        <w:t>名老年人。同時，根據主計總處與衛福部的數據，國人的平</w:t>
      </w:r>
    </w:p>
    <w:p>
      <w:pPr>
        <w:pStyle w:val="BodyText"/>
        <w:spacing w:line="422" w:lineRule="auto" w:before="233"/>
        <w:ind w:right="683"/>
      </w:pPr>
      <w:r>
        <w:rPr>
          <w:spacing w:val="-11"/>
        </w:rPr>
        <w:t>均餘命為 </w:t>
      </w:r>
      <w:r>
        <w:rPr>
          <w:rFonts w:ascii="Times New Roman" w:eastAsia="Times New Roman"/>
          <w:spacing w:val="-8"/>
        </w:rPr>
        <w:t>79.5</w:t>
      </w:r>
      <w:r>
        <w:rPr>
          <w:rFonts w:ascii="Times New Roman" w:eastAsia="Times New Roman"/>
          <w:spacing w:val="-7"/>
        </w:rPr>
        <w:t> </w:t>
      </w:r>
      <w:r>
        <w:rPr>
          <w:spacing w:val="-10"/>
        </w:rPr>
        <w:t>歲，而健康平均餘命僅為 </w:t>
      </w:r>
      <w:r>
        <w:rPr>
          <w:rFonts w:ascii="Times New Roman" w:eastAsia="Times New Roman"/>
          <w:spacing w:val="-8"/>
        </w:rPr>
        <w:t>70.8</w:t>
      </w:r>
      <w:r>
        <w:rPr>
          <w:rFonts w:ascii="Times New Roman" w:eastAsia="Times New Roman"/>
          <w:spacing w:val="-7"/>
        </w:rPr>
        <w:t> </w:t>
      </w:r>
      <w:r>
        <w:rPr>
          <w:spacing w:val="-10"/>
        </w:rPr>
        <w:t>歲，導致長達 </w:t>
      </w:r>
      <w:r>
        <w:rPr>
          <w:rFonts w:ascii="Times New Roman" w:eastAsia="Times New Roman"/>
          <w:spacing w:val="-8"/>
        </w:rPr>
        <w:t>8.7</w:t>
      </w:r>
      <w:r>
        <w:rPr>
          <w:rFonts w:ascii="Times New Roman" w:eastAsia="Times New Roman"/>
          <w:spacing w:val="-7"/>
        </w:rPr>
        <w:t> </w:t>
      </w:r>
      <w:r>
        <w:rPr>
          <w:spacing w:val="-8"/>
        </w:rPr>
        <w:t>年處於失能狀態，</w:t>
      </w:r>
      <w:r>
        <w:rPr>
          <w:spacing w:val="-4"/>
        </w:rPr>
        <w:t>這對個人、家庭和社會資源造成重大壓力。為應對日益增長的長照需求，台灣政</w:t>
      </w:r>
      <w:r>
        <w:rPr>
          <w:spacing w:val="-4"/>
        </w:rPr>
        <w:t>府推出了《長照十年計畫》並於 </w:t>
      </w:r>
      <w:r>
        <w:rPr>
          <w:rFonts w:ascii="Times New Roman" w:eastAsia="Times New Roman"/>
          <w:spacing w:val="-2"/>
        </w:rPr>
        <w:t>2017</w:t>
      </w:r>
      <w:r>
        <w:rPr>
          <w:rFonts w:ascii="Times New Roman" w:eastAsia="Times New Roman"/>
          <w:spacing w:val="-13"/>
        </w:rPr>
        <w:t> </w:t>
      </w:r>
      <w:r>
        <w:rPr>
          <w:spacing w:val="-6"/>
        </w:rPr>
        <w:t>年啟動《長照 </w:t>
      </w:r>
      <w:r>
        <w:rPr>
          <w:rFonts w:ascii="Times New Roman" w:eastAsia="Times New Roman"/>
          <w:spacing w:val="-2"/>
        </w:rPr>
        <w:t>2.0</w:t>
      </w:r>
      <w:r>
        <w:rPr>
          <w:spacing w:val="-15"/>
        </w:rPr>
        <w:t>》，提供從家庭、居家到</w:t>
      </w:r>
      <w:r>
        <w:rPr>
          <w:spacing w:val="-4"/>
        </w:rPr>
        <w:t>社區與住宿式的多元連續服務，並加速推動產業的專業化與商業化，涵蓋智慧照</w:t>
      </w:r>
      <w:r>
        <w:rPr>
          <w:spacing w:val="-2"/>
        </w:rPr>
        <w:t>護設備、居家服務、遠距醫療等多元細分領域，展現出長照產業的巨大商機。</w:t>
      </w:r>
    </w:p>
    <w:p>
      <w:pPr>
        <w:pStyle w:val="Heading2"/>
        <w:spacing w:before="99"/>
        <w:ind w:left="571"/>
        <w:rPr>
          <w:position w:val="1"/>
        </w:rPr>
      </w:pPr>
      <w:r>
        <w:rPr>
          <w:b w:val="0"/>
        </w:rPr>
        <w:drawing>
          <wp:inline distT="0" distB="0" distL="0" distR="0">
            <wp:extent cx="398525" cy="145542"/>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70"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51" w:id="52"/>
      <w:bookmarkEnd w:id="52"/>
      <w:r>
        <w:rPr>
          <w:rFonts w:ascii="Times New Roman" w:eastAsia="Times New Roman"/>
          <w:b w:val="0"/>
          <w:spacing w:val="-22"/>
          <w:position w:val="1"/>
          <w:sz w:val="20"/>
        </w:rPr>
      </w:r>
      <w:r>
        <w:rPr>
          <w:spacing w:val="-4"/>
          <w:position w:val="1"/>
        </w:rPr>
        <w:t>照護產業面臨的挑戰</w:t>
      </w:r>
    </w:p>
    <w:p>
      <w:pPr>
        <w:pStyle w:val="Heading4"/>
        <w:spacing w:before="308"/>
      </w:pPr>
      <w:r>
        <w:rPr>
          <w:spacing w:val="-1"/>
        </w:rPr>
        <w:t>人力短缺與結構性問題</w:t>
      </w:r>
    </w:p>
    <w:p>
      <w:pPr>
        <w:pStyle w:val="BodyText"/>
        <w:spacing w:line="422" w:lineRule="auto" w:before="358"/>
        <w:ind w:right="683" w:firstLine="479"/>
      </w:pPr>
      <w:r>
        <w:rPr>
          <w:spacing w:val="-11"/>
        </w:rPr>
        <w:t>台灣長照產業正面臨嚴重的人力資源危機。根據衛福部數據，截至 </w:t>
      </w:r>
      <w:r>
        <w:rPr>
          <w:rFonts w:ascii="Times New Roman" w:eastAsia="Times New Roman"/>
        </w:rPr>
        <w:t>2023</w:t>
      </w:r>
      <w:r>
        <w:rPr>
          <w:rFonts w:ascii="Times New Roman" w:eastAsia="Times New Roman"/>
          <w:spacing w:val="-12"/>
        </w:rPr>
        <w:t> </w:t>
      </w:r>
      <w:r>
        <w:rPr>
          <w:spacing w:val="-51"/>
        </w:rPr>
        <w:t>年，</w:t>
      </w:r>
      <w:r>
        <w:rPr>
          <w:spacing w:val="-4"/>
        </w:rPr>
        <w:t>需長照服務的老年人口約為 </w:t>
      </w:r>
      <w:r>
        <w:rPr>
          <w:rFonts w:ascii="Times New Roman" w:eastAsia="Times New Roman"/>
          <w:spacing w:val="-2"/>
        </w:rPr>
        <w:t>83</w:t>
      </w:r>
      <w:r>
        <w:rPr>
          <w:rFonts w:ascii="Times New Roman" w:eastAsia="Times New Roman"/>
          <w:spacing w:val="-13"/>
        </w:rPr>
        <w:t> </w:t>
      </w:r>
      <w:r>
        <w:rPr>
          <w:spacing w:val="-5"/>
        </w:rPr>
        <w:t>萬人，而長照人員僅有約 </w:t>
      </w:r>
      <w:r>
        <w:rPr>
          <w:rFonts w:ascii="Times New Roman" w:eastAsia="Times New Roman"/>
          <w:spacing w:val="-2"/>
        </w:rPr>
        <w:t>9</w:t>
      </w:r>
      <w:r>
        <w:rPr>
          <w:rFonts w:ascii="Times New Roman" w:eastAsia="Times New Roman"/>
          <w:spacing w:val="-13"/>
        </w:rPr>
        <w:t> </w:t>
      </w:r>
      <w:r>
        <w:rPr>
          <w:spacing w:val="-2"/>
        </w:rPr>
        <w:t>萬人，服務供需差距</w:t>
      </w:r>
      <w:r>
        <w:rPr>
          <w:spacing w:val="-7"/>
        </w:rPr>
        <w:t>巨大。特別是在住宿型長照機構，由於高強度的照護模式與專業要求，招募與留</w:t>
      </w:r>
    </w:p>
    <w:p>
      <w:pPr>
        <w:pStyle w:val="BodyText"/>
        <w:spacing w:after="0" w:line="422" w:lineRule="auto"/>
        <w:sectPr>
          <w:pgSz w:w="11910" w:h="16840"/>
          <w:pgMar w:header="0" w:footer="1197" w:top="1780" w:bottom="1380" w:left="1133" w:right="1133"/>
        </w:sectPr>
      </w:pPr>
    </w:p>
    <w:p>
      <w:pPr>
        <w:pStyle w:val="BodyText"/>
        <w:spacing w:line="422" w:lineRule="auto" w:before="27"/>
        <w:ind w:right="683"/>
      </w:pPr>
      <w:r>
        <w:rPr>
          <w:spacing w:val="-4"/>
        </w:rPr>
        <w:t>任人員的困難進一步加劇。不少機構因人手不足導致床位閒置，甚至被迫縮減業務規模。低薪資、工作壓力大與社會認同感不足是年輕人不願進入該行業的主要原因。此外，高勞動力需求的現況亦導致現有從業者面臨過度勞累與職業倦怠的風險。</w:t>
      </w:r>
    </w:p>
    <w:p>
      <w:pPr>
        <w:pStyle w:val="Heading4"/>
        <w:spacing w:before="95"/>
      </w:pPr>
      <w:r>
        <w:rPr>
          <w:spacing w:val="-1"/>
        </w:rPr>
        <w:t>數位化落後與技術採納不足</w:t>
      </w:r>
    </w:p>
    <w:p>
      <w:pPr>
        <w:pStyle w:val="BodyText"/>
        <w:spacing w:line="422" w:lineRule="auto" w:before="358"/>
        <w:ind w:right="682" w:firstLine="479"/>
      </w:pPr>
      <w:r>
        <w:rPr/>
        <w:drawing>
          <wp:anchor distT="0" distB="0" distL="0" distR="0" allowOverlap="1" layoutInCell="1" locked="0" behindDoc="1" simplePos="0" relativeHeight="485801984">
            <wp:simplePos x="0" y="0"/>
            <wp:positionH relativeFrom="page">
              <wp:posOffset>3312414</wp:posOffset>
            </wp:positionH>
            <wp:positionV relativeFrom="paragraph">
              <wp:posOffset>1966386</wp:posOffset>
            </wp:positionV>
            <wp:extent cx="929640" cy="978408"/>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長照產業在數位化轉型方面的滯後性明顯，許多機構仍依賴傳統紙本作業，</w:t>
      </w:r>
      <w:r>
        <w:rPr>
          <w:spacing w:val="-2"/>
        </w:rPr>
        <w:t>導致工作負擔增加與效率下降。電子化系統的採用有助於降低文書處理時間並</w:t>
      </w:r>
      <w:r>
        <w:rPr>
          <w:spacing w:val="-4"/>
        </w:rPr>
        <w:t>提升服務品質，但在現階段僅有少數先進機構成功實施。資料整合與流程自動化的缺乏進一步阻礙了數據驅動的決策支持與跨機構合作。此外，長照與急性護理的需求不同，現有急性護理系統難以直接適用於長照環境，顯示出現有技術與產</w:t>
      </w:r>
      <w:r>
        <w:rPr>
          <w:spacing w:val="-2"/>
        </w:rPr>
        <w:t>業需求之間的落差。</w:t>
      </w:r>
    </w:p>
    <w:p>
      <w:pPr>
        <w:pStyle w:val="Heading2"/>
        <w:spacing w:before="98"/>
        <w:ind w:left="571"/>
        <w:rPr>
          <w:position w:val="1"/>
        </w:rPr>
      </w:pPr>
      <w:r>
        <w:rPr>
          <w:b w:val="0"/>
        </w:rPr>
        <w:drawing>
          <wp:inline distT="0" distB="0" distL="0" distR="0">
            <wp:extent cx="395478" cy="145541"/>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71" cstate="print"/>
                    <a:stretch>
                      <a:fillRect/>
                    </a:stretch>
                  </pic:blipFill>
                  <pic:spPr>
                    <a:xfrm>
                      <a:off x="0" y="0"/>
                      <a:ext cx="395478" cy="145541"/>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52" w:id="53"/>
      <w:bookmarkEnd w:id="53"/>
      <w:r>
        <w:rPr>
          <w:rFonts w:ascii="Times New Roman" w:eastAsia="Times New Roman"/>
          <w:b w:val="0"/>
          <w:spacing w:val="-17"/>
          <w:position w:val="1"/>
          <w:sz w:val="20"/>
        </w:rPr>
      </w:r>
      <w:r>
        <w:rPr>
          <w:spacing w:val="-4"/>
          <w:position w:val="1"/>
        </w:rPr>
        <w:t>市場展望與產業趨勢</w:t>
      </w:r>
    </w:p>
    <w:p>
      <w:pPr>
        <w:pStyle w:val="Heading4"/>
        <w:spacing w:before="309"/>
      </w:pPr>
      <w:r>
        <w:rPr>
          <w:spacing w:val="-2"/>
        </w:rPr>
        <w:t>多元化與創新驅動</w:t>
      </w:r>
    </w:p>
    <w:p>
      <w:pPr>
        <w:pStyle w:val="BodyText"/>
        <w:spacing w:line="422" w:lineRule="auto" w:before="357"/>
        <w:ind w:right="683" w:firstLine="479"/>
      </w:pPr>
      <w:r>
        <w:rPr>
          <w:spacing w:val="-6"/>
        </w:rPr>
        <w:t>隨著市場需求的持續增加，長照產業正在向多元化與創新化方向發展。產業</w:t>
      </w:r>
      <w:r>
        <w:rPr>
          <w:spacing w:val="-4"/>
        </w:rPr>
        <w:t>內跨領域整合日益增多，包括結合醫療、康復與心理輔導等服務模式的全面照護</w:t>
      </w:r>
      <w:r>
        <w:rPr>
          <w:spacing w:val="-6"/>
        </w:rPr>
        <w:t>解決方案。遠距醫療技術、智慧健康設備和人工智慧（</w:t>
      </w:r>
      <w:r>
        <w:rPr>
          <w:rFonts w:ascii="Times New Roman" w:eastAsia="Times New Roman"/>
          <w:spacing w:val="-6"/>
        </w:rPr>
        <w:t>AI</w:t>
      </w:r>
      <w:r>
        <w:rPr>
          <w:spacing w:val="-6"/>
        </w:rPr>
        <w:t>）的應用成為關鍵驅動</w:t>
      </w:r>
      <w:r>
        <w:rPr>
          <w:spacing w:val="-7"/>
        </w:rPr>
        <w:t>力，透過個性化數據分析與決策支持提升服務效率與品質。例如，電子健康紀錄</w:t>
      </w:r>
    </w:p>
    <w:p>
      <w:pPr>
        <w:pStyle w:val="BodyText"/>
        <w:spacing w:line="422" w:lineRule="auto"/>
        <w:ind w:right="624"/>
        <w:jc w:val="left"/>
      </w:pPr>
      <w:r>
        <w:rPr>
          <w:spacing w:val="-2"/>
        </w:rPr>
        <w:t>（</w:t>
      </w:r>
      <w:r>
        <w:rPr>
          <w:rFonts w:ascii="Times New Roman" w:eastAsia="Times New Roman"/>
          <w:spacing w:val="-2"/>
        </w:rPr>
        <w:t>EHR</w:t>
      </w:r>
      <w:r>
        <w:rPr>
          <w:spacing w:val="-2"/>
        </w:rPr>
        <w:t>）系統與物聯網（</w:t>
      </w:r>
      <w:r>
        <w:rPr>
          <w:rFonts w:ascii="Times New Roman" w:eastAsia="Times New Roman"/>
          <w:spacing w:val="-2"/>
        </w:rPr>
        <w:t>IoT</w:t>
      </w:r>
      <w:r>
        <w:rPr>
          <w:spacing w:val="-2"/>
        </w:rPr>
        <w:t>）感測技術的結合可實現即時監測與個性化護理，顯著減輕人力壓力並優化資源配置。</w:t>
      </w:r>
    </w:p>
    <w:p>
      <w:pPr>
        <w:pStyle w:val="Heading4"/>
        <w:spacing w:before="95"/>
      </w:pPr>
      <w:r>
        <w:rPr>
          <w:spacing w:val="-2"/>
        </w:rPr>
        <w:t>資本市場與產業整併</w:t>
      </w:r>
    </w:p>
    <w:p>
      <w:pPr>
        <w:pStyle w:val="BodyText"/>
        <w:spacing w:line="422" w:lineRule="auto" w:before="357"/>
        <w:ind w:right="683" w:firstLine="479"/>
        <w:jc w:val="left"/>
      </w:pPr>
      <w:r>
        <w:rPr>
          <w:spacing w:val="-6"/>
        </w:rPr>
        <w:t>隨著產業需求擴大，越來越多私營企業進入長照市場，並通過創新模式推動</w:t>
      </w:r>
      <w:r>
        <w:rPr>
          <w:spacing w:val="-7"/>
        </w:rPr>
        <w:t>市場化運營。然而，住宿式與綜合型長照服務的經營仍面臨進入資本市場籌資的</w:t>
      </w:r>
    </w:p>
    <w:p>
      <w:pPr>
        <w:pStyle w:val="BodyText"/>
        <w:spacing w:after="0" w:line="422" w:lineRule="auto"/>
        <w:jc w:val="left"/>
        <w:sectPr>
          <w:pgSz w:w="11910" w:h="16840"/>
          <w:pgMar w:header="0" w:footer="1197" w:top="1760" w:bottom="1380" w:left="1133" w:right="1133"/>
        </w:sectPr>
      </w:pPr>
    </w:p>
    <w:p>
      <w:pPr>
        <w:pStyle w:val="BodyText"/>
        <w:spacing w:line="422" w:lineRule="auto" w:before="47"/>
        <w:ind w:right="683"/>
      </w:pPr>
      <w:r>
        <w:rPr>
          <w:spacing w:val="-4"/>
        </w:rPr>
        <w:t>障礙。產業整併與規模化已成為趨勢，</w:t>
      </w:r>
      <w:r>
        <w:rPr>
          <w:rFonts w:ascii="Times New Roman" w:eastAsia="Times New Roman"/>
          <w:spacing w:val="-4"/>
        </w:rPr>
        <w:t>IPO </w:t>
      </w:r>
      <w:r>
        <w:rPr>
          <w:spacing w:val="-4"/>
        </w:rPr>
        <w:t>策略與提升人才留任率等創新舉措正在加速推動產業發展。此外，透過跨產業合作與品牌化經營，長照服務逐漸向專</w:t>
      </w:r>
      <w:r>
        <w:rPr>
          <w:spacing w:val="-2"/>
        </w:rPr>
        <w:t>業化方向邁進，提升了市場競爭力。</w:t>
      </w:r>
    </w:p>
    <w:p>
      <w:pPr>
        <w:pStyle w:val="Heading4"/>
        <w:spacing w:before="97"/>
      </w:pPr>
      <w:r>
        <w:rPr>
          <w:spacing w:val="-2"/>
        </w:rPr>
        <w:t>數據驅動的智慧長照</w:t>
      </w:r>
    </w:p>
    <w:p>
      <w:pPr>
        <w:pStyle w:val="BodyText"/>
        <w:spacing w:line="422" w:lineRule="auto" w:before="358"/>
        <w:ind w:right="683" w:firstLine="479"/>
      </w:pPr>
      <w:r>
        <w:rPr/>
        <w:t>智慧長照資訊平台在未來發展中具有核心地位。通過物聯網、</w:t>
      </w:r>
      <w:r>
        <w:rPr>
          <w:rFonts w:ascii="Times New Roman" w:eastAsia="Times New Roman"/>
        </w:rPr>
        <w:t>AI</w:t>
      </w:r>
      <w:r>
        <w:rPr>
          <w:rFonts w:ascii="Times New Roman" w:eastAsia="Times New Roman"/>
          <w:spacing w:val="-1"/>
        </w:rPr>
        <w:t> </w:t>
      </w:r>
      <w:r>
        <w:rPr/>
        <w:t>和大數據</w:t>
      </w:r>
      <w:r>
        <w:rPr>
          <w:spacing w:val="-4"/>
        </w:rPr>
        <w:t>分析的應用，這些平台可實現數據共享、即時監控與智能化決策支持，有效應對</w:t>
      </w:r>
      <w:r>
        <w:rPr/>
        <w:t>長照服務的個性化與精準化需求。例如，</w:t>
      </w:r>
      <w:r>
        <w:rPr>
          <w:rFonts w:ascii="Times New Roman" w:eastAsia="Times New Roman"/>
        </w:rPr>
        <w:t>AI</w:t>
      </w:r>
      <w:r>
        <w:rPr>
          <w:rFonts w:ascii="Times New Roman" w:eastAsia="Times New Roman"/>
          <w:spacing w:val="-2"/>
        </w:rPr>
        <w:t> </w:t>
      </w:r>
      <w:r>
        <w:rPr/>
        <w:t>輔助系統可根據長者健康數據進行</w:t>
      </w:r>
      <w:r>
        <w:rPr>
          <w:spacing w:val="-6"/>
        </w:rPr>
        <w:t>需求分析，而 </w:t>
      </w:r>
      <w:r>
        <w:rPr>
          <w:rFonts w:ascii="Times New Roman" w:eastAsia="Times New Roman"/>
          <w:spacing w:val="-2"/>
        </w:rPr>
        <w:t>EHR</w:t>
      </w:r>
      <w:r>
        <w:rPr>
          <w:rFonts w:ascii="Times New Roman" w:eastAsia="Times New Roman"/>
          <w:spacing w:val="-11"/>
        </w:rPr>
        <w:t> </w:t>
      </w:r>
      <w:r>
        <w:rPr>
          <w:spacing w:val="-2"/>
        </w:rPr>
        <w:t>系統則促進跨部門的協作與資源整合。這些技術不僅減少手動操作的需求，也推動長照產業向更高效、更智能的方向發展。</w:t>
      </w:r>
    </w:p>
    <w:p>
      <w:pPr>
        <w:pStyle w:val="Heading2"/>
        <w:spacing w:before="99"/>
        <w:ind w:left="571"/>
        <w:rPr>
          <w:position w:val="1"/>
        </w:rPr>
      </w:pPr>
      <w:r>
        <w:rPr>
          <w:position w:val="1"/>
        </w:rPr>
        <w:drawing>
          <wp:anchor distT="0" distB="0" distL="0" distR="0" allowOverlap="1" layoutInCell="1" locked="0" behindDoc="1" simplePos="0" relativeHeight="485802496">
            <wp:simplePos x="0" y="0"/>
            <wp:positionH relativeFrom="page">
              <wp:posOffset>3312414</wp:posOffset>
            </wp:positionH>
            <wp:positionV relativeFrom="paragraph">
              <wp:posOffset>363138</wp:posOffset>
            </wp:positionV>
            <wp:extent cx="929640" cy="978408"/>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6" cstate="print"/>
                    <a:stretch>
                      <a:fillRect/>
                    </a:stretch>
                  </pic:blipFill>
                  <pic:spPr>
                    <a:xfrm>
                      <a:off x="0" y="0"/>
                      <a:ext cx="929640" cy="978408"/>
                    </a:xfrm>
                    <a:prstGeom prst="rect">
                      <a:avLst/>
                    </a:prstGeom>
                  </pic:spPr>
                </pic:pic>
              </a:graphicData>
            </a:graphic>
          </wp:anchor>
        </w:drawing>
      </w:r>
      <w:r>
        <w:rPr>
          <w:b w:val="0"/>
        </w:rPr>
        <w:drawing>
          <wp:inline distT="0" distB="0" distL="0" distR="0">
            <wp:extent cx="400050" cy="145541"/>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72" cstate="print"/>
                    <a:stretch>
                      <a:fillRect/>
                    </a:stretch>
                  </pic:blipFill>
                  <pic:spPr>
                    <a:xfrm>
                      <a:off x="0" y="0"/>
                      <a:ext cx="400050" cy="145541"/>
                    </a:xfrm>
                    <a:prstGeom prst="rect">
                      <a:avLst/>
                    </a:prstGeom>
                  </pic:spPr>
                </pic:pic>
              </a:graphicData>
            </a:graphic>
          </wp:inline>
        </w:drawing>
      </w:r>
      <w:r>
        <w:rPr>
          <w:b w:val="0"/>
        </w:rPr>
      </w:r>
      <w:r>
        <w:rPr>
          <w:rFonts w:ascii="Times New Roman" w:eastAsia="Times New Roman"/>
          <w:b w:val="0"/>
          <w:spacing w:val="26"/>
          <w:position w:val="1"/>
          <w:sz w:val="20"/>
        </w:rPr>
        <w:t> </w:t>
      </w:r>
      <w:bookmarkStart w:name="_bookmark53" w:id="54"/>
      <w:bookmarkEnd w:id="54"/>
      <w:r>
        <w:rPr>
          <w:rFonts w:ascii="Times New Roman" w:eastAsia="Times New Roman"/>
          <w:b w:val="0"/>
          <w:spacing w:val="-24"/>
          <w:position w:val="1"/>
          <w:sz w:val="20"/>
        </w:rPr>
      </w:r>
      <w:r>
        <w:rPr>
          <w:spacing w:val="-4"/>
          <w:position w:val="1"/>
        </w:rPr>
        <w:t>政策支持與未來展望</w:t>
      </w:r>
    </w:p>
    <w:p>
      <w:pPr>
        <w:pStyle w:val="BodyText"/>
        <w:spacing w:line="422" w:lineRule="auto" w:before="387"/>
        <w:ind w:right="683" w:firstLine="479"/>
      </w:pPr>
      <w:r>
        <w:rPr>
          <w:spacing w:val="-7"/>
        </w:rPr>
        <w:t>政府的支持對於長照產業的持續發展至關重要，諸如「高齡科技產業行動計</w:t>
      </w:r>
      <w:r>
        <w:rPr>
          <w:spacing w:val="-4"/>
        </w:rPr>
        <w:t>畫」等政策已顯示出明確的扶持方向，涵蓋財政補助、稅收優惠及技術創新激勵等措施。儘管資金與技術集成等方面仍面臨挑戰，但隨著政府與產業界的合作加</w:t>
      </w:r>
      <w:r>
        <w:rPr>
          <w:spacing w:val="-4"/>
        </w:rPr>
        <w:t>強，未來的重點將是進一步整合跨部門資源，推動數據驅動型解決方案在長照服務中的廣泛應用。隨著遠距醫療與智能監控技術需求的增長，這些領域預計將成為長照資訊系統的重要組成部分。台灣的長照產業以其長期穩定的市場特性，具備深遠的發展潛力。未來，隨著數位化轉型的加速、人才培育機制的完善以及智</w:t>
      </w:r>
      <w:r>
        <w:rPr>
          <w:spacing w:val="-2"/>
        </w:rPr>
        <w:t>慧健康技術的普及，長照產業將成為人口老齡化時代的重要經濟支柱與社會價值創造者。</w:t>
      </w:r>
    </w:p>
    <w:p>
      <w:pPr>
        <w:pStyle w:val="BodyText"/>
        <w:spacing w:after="0" w:line="422" w:lineRule="auto"/>
        <w:sectPr>
          <w:pgSz w:w="11910" w:h="16840"/>
          <w:pgMar w:header="0" w:footer="1197" w:top="1740" w:bottom="1380" w:left="1133" w:right="1133"/>
        </w:sectPr>
      </w:pPr>
    </w:p>
    <w:p>
      <w:pPr>
        <w:pStyle w:val="Heading2"/>
        <w:numPr>
          <w:ilvl w:val="1"/>
          <w:numId w:val="21"/>
        </w:numPr>
        <w:tabs>
          <w:tab w:pos="1047" w:val="left" w:leader="none"/>
        </w:tabs>
        <w:spacing w:line="522" w:lineRule="exact" w:before="0" w:after="0"/>
        <w:ind w:left="1047" w:right="0" w:hanging="478"/>
        <w:jc w:val="left"/>
      </w:pPr>
      <w:bookmarkStart w:name="_bookmark54" w:id="55"/>
      <w:bookmarkEnd w:id="55"/>
      <w:r>
        <w:rPr>
          <w:b w:val="0"/>
        </w:rPr>
      </w:r>
      <w:r>
        <w:rPr>
          <w:spacing w:val="-4"/>
        </w:rPr>
        <w:t>個案公司介紹</w:t>
      </w:r>
    </w:p>
    <w:p>
      <w:pPr>
        <w:pStyle w:val="BodyText"/>
        <w:spacing w:line="422" w:lineRule="auto" w:before="384"/>
        <w:ind w:right="684" w:firstLine="479"/>
      </w:pPr>
      <w:r>
        <w:rPr>
          <w:spacing w:val="-6"/>
        </w:rPr>
        <w:t>本章節將介紹個案公司諾亞克科技股份有限公司，將依序探討其品牌定位、</w:t>
      </w:r>
      <w:r>
        <w:rPr>
          <w:spacing w:val="-2"/>
        </w:rPr>
        <w:t>核心產品服務以及發展歷程，深入理解其在台灣長期照護市場及相關生態圈中的角色和競爭策略。</w:t>
      </w:r>
    </w:p>
    <w:p>
      <w:pPr>
        <w:pStyle w:val="Heading2"/>
        <w:spacing w:before="102"/>
        <w:ind w:left="1423"/>
        <w:rPr>
          <w:position w:val="1"/>
        </w:rPr>
      </w:pPr>
      <w:r>
        <w:rPr>
          <w:b w:val="0"/>
        </w:rPr>
        <w:drawing>
          <wp:inline distT="0" distB="0" distL="0" distR="0">
            <wp:extent cx="392429" cy="145542"/>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73" cstate="print"/>
                    <a:stretch>
                      <a:fillRect/>
                    </a:stretch>
                  </pic:blipFill>
                  <pic:spPr>
                    <a:xfrm>
                      <a:off x="0" y="0"/>
                      <a:ext cx="392429"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55" w:id="56"/>
      <w:bookmarkEnd w:id="56"/>
      <w:r>
        <w:rPr>
          <w:rFonts w:ascii="Times New Roman" w:eastAsia="Times New Roman"/>
          <w:b w:val="0"/>
          <w:spacing w:val="-12"/>
          <w:position w:val="1"/>
          <w:sz w:val="20"/>
        </w:rPr>
      </w:r>
      <w:r>
        <w:rPr>
          <w:spacing w:val="-4"/>
          <w:position w:val="1"/>
        </w:rPr>
        <w:t>諾亞克品牌介紹</w:t>
      </w:r>
    </w:p>
    <w:p>
      <w:pPr>
        <w:pStyle w:val="BodyText"/>
        <w:spacing w:line="422" w:lineRule="auto" w:before="387"/>
        <w:ind w:right="683" w:firstLine="479"/>
      </w:pPr>
      <w:r>
        <w:rPr/>
        <w:drawing>
          <wp:anchor distT="0" distB="0" distL="0" distR="0" allowOverlap="1" layoutInCell="1" locked="0" behindDoc="1" simplePos="0" relativeHeight="485803008">
            <wp:simplePos x="0" y="0"/>
            <wp:positionH relativeFrom="page">
              <wp:posOffset>3312414</wp:posOffset>
            </wp:positionH>
            <wp:positionV relativeFrom="paragraph">
              <wp:posOffset>1641062</wp:posOffset>
            </wp:positionV>
            <wp:extent cx="929640" cy="978408"/>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6" cstate="print"/>
                    <a:stretch>
                      <a:fillRect/>
                    </a:stretch>
                  </pic:blipFill>
                  <pic:spPr>
                    <a:xfrm>
                      <a:off x="0" y="0"/>
                      <a:ext cx="929640" cy="978408"/>
                    </a:xfrm>
                    <a:prstGeom prst="rect">
                      <a:avLst/>
                    </a:prstGeom>
                  </pic:spPr>
                </pic:pic>
              </a:graphicData>
            </a:graphic>
          </wp:anchor>
        </w:drawing>
      </w:r>
      <w:r>
        <w:rPr>
          <w:spacing w:val="-4"/>
        </w:rPr>
        <w:t>諾亞克科技股份有限公司自 </w:t>
      </w:r>
      <w:r>
        <w:rPr>
          <w:rFonts w:ascii="Times New Roman" w:eastAsia="Times New Roman"/>
          <w:spacing w:val="-2"/>
        </w:rPr>
        <w:t>2012</w:t>
      </w:r>
      <w:r>
        <w:rPr>
          <w:rFonts w:ascii="Times New Roman" w:eastAsia="Times New Roman"/>
          <w:spacing w:val="-12"/>
        </w:rPr>
        <w:t> </w:t>
      </w:r>
      <w:r>
        <w:rPr>
          <w:spacing w:val="-2"/>
        </w:rPr>
        <w:t>年創立以來，迅速成為台灣長期照護資訊</w:t>
      </w:r>
      <w:r>
        <w:rPr>
          <w:spacing w:val="-4"/>
        </w:rPr>
        <w:t>軟體市場的領導者，致力於長期照護及健康照護產業的智慧化與數位化發展。憑</w:t>
      </w:r>
      <w:r>
        <w:rPr>
          <w:spacing w:val="-1"/>
        </w:rPr>
        <w:t>藉深厚的技術研發能力和市場洞察，截至目前，已有超過 </w:t>
      </w:r>
      <w:r>
        <w:rPr>
          <w:rFonts w:ascii="Times New Roman" w:eastAsia="Times New Roman"/>
        </w:rPr>
        <w:t>800</w:t>
      </w:r>
      <w:r>
        <w:rPr>
          <w:rFonts w:ascii="Times New Roman" w:eastAsia="Times New Roman"/>
          <w:spacing w:val="35"/>
        </w:rPr>
        <w:t> </w:t>
      </w:r>
      <w:r>
        <w:rPr/>
        <w:t>家長照機構採用 </w:t>
      </w:r>
      <w:r>
        <w:rPr>
          <w:rFonts w:ascii="Times New Roman" w:eastAsia="Times New Roman"/>
          <w:spacing w:val="-2"/>
        </w:rPr>
        <w:t>uCare</w:t>
      </w:r>
      <w:r>
        <w:rPr>
          <w:spacing w:val="-2"/>
        </w:rPr>
        <w:t>，其中包括青松健康、祥寶長照集團及清福養老院等指標性客戶，成功獲</w:t>
      </w:r>
      <w:r>
        <w:rPr>
          <w:spacing w:val="-7"/>
        </w:rPr>
        <w:t>得台灣市場約 </w:t>
      </w:r>
      <w:r>
        <w:rPr>
          <w:rFonts w:ascii="Times New Roman" w:eastAsia="Times New Roman"/>
        </w:rPr>
        <w:t>40%</w:t>
      </w:r>
      <w:r>
        <w:rPr/>
        <w:t>的佔有率，穩固了其在業界的領先地位。</w:t>
      </w:r>
    </w:p>
    <w:p>
      <w:pPr>
        <w:pStyle w:val="BodyText"/>
        <w:spacing w:line="422" w:lineRule="auto" w:before="174"/>
        <w:ind w:right="682" w:firstLine="479"/>
      </w:pPr>
      <w:r>
        <w:rPr>
          <w:spacing w:val="-6"/>
        </w:rPr>
        <w:t>諾亞克科技的品牌定位以「智慧健康解決方案的領導者」為目標，旨在透過</w:t>
      </w:r>
      <w:r>
        <w:rPr>
          <w:spacing w:val="-4"/>
        </w:rPr>
        <w:t>創新服務模式與跨領域合作推動產業升級。公司的業務涵蓋長照資訊軟體、醫療耗材及藥事管理，聚焦於構建整合型健康產業生態系。其產品不僅能滿足長照機構的需求，亦通過整合各類資源提升長期照護產業的營運效率，也在減少照顧者</w:t>
      </w:r>
      <w:r>
        <w:rPr>
          <w:spacing w:val="-2"/>
        </w:rPr>
        <w:t>的行政流程中，為被照護者提供了更高質量的照護服務體驗。</w:t>
      </w:r>
    </w:p>
    <w:p>
      <w:pPr>
        <w:pStyle w:val="BodyText"/>
        <w:spacing w:line="422" w:lineRule="auto" w:before="174"/>
        <w:ind w:right="683" w:firstLine="479"/>
      </w:pPr>
      <w:r>
        <w:rPr>
          <w:spacing w:val="-15"/>
        </w:rPr>
        <w:t>在 </w:t>
      </w:r>
      <w:r>
        <w:rPr>
          <w:rFonts w:ascii="Times New Roman" w:eastAsia="Times New Roman"/>
        </w:rPr>
        <w:t>2023</w:t>
      </w:r>
      <w:r>
        <w:rPr>
          <w:rFonts w:ascii="Times New Roman" w:eastAsia="Times New Roman"/>
          <w:spacing w:val="-15"/>
        </w:rPr>
        <w:t> </w:t>
      </w:r>
      <w:r>
        <w:rPr>
          <w:spacing w:val="-15"/>
        </w:rPr>
        <w:t>年 </w:t>
      </w:r>
      <w:r>
        <w:rPr>
          <w:rFonts w:ascii="Times New Roman" w:eastAsia="Times New Roman"/>
        </w:rPr>
        <w:t>8</w:t>
      </w:r>
      <w:r>
        <w:rPr>
          <w:rFonts w:ascii="Times New Roman" w:eastAsia="Times New Roman"/>
          <w:spacing w:val="-15"/>
        </w:rPr>
        <w:t> </w:t>
      </w:r>
      <w:r>
        <w:rPr>
          <w:spacing w:val="-15"/>
        </w:rPr>
        <w:t>月 </w:t>
      </w:r>
      <w:r>
        <w:rPr>
          <w:rFonts w:ascii="Times New Roman" w:eastAsia="Times New Roman"/>
        </w:rPr>
        <w:t>15</w:t>
      </w:r>
      <w:r>
        <w:rPr>
          <w:rFonts w:ascii="Times New Roman" w:eastAsia="Times New Roman"/>
          <w:spacing w:val="12"/>
        </w:rPr>
        <w:t> </w:t>
      </w:r>
      <w:r>
        <w:rPr/>
        <w:t>日，諾亞克成功登錄興櫃，計劃持續推動軟體、耗材及</w:t>
      </w:r>
      <w:r>
        <w:rPr>
          <w:spacing w:val="-4"/>
        </w:rPr>
        <w:t>藥事三大業務的全面整合，以鞏固其在數位健康領域的領導地位。公司提出「成為醫療保健產業的 </w:t>
      </w:r>
      <w:r>
        <w:rPr>
          <w:rFonts w:ascii="Times New Roman" w:eastAsia="Times New Roman"/>
          <w:spacing w:val="-4"/>
        </w:rPr>
        <w:t>Amazon</w:t>
      </w:r>
      <w:r>
        <w:rPr>
          <w:spacing w:val="-4"/>
        </w:rPr>
        <w:t>」的目標，致力於整合數位化資源，藉由創新和服務提升整體產業價值，並推動數位健康產業的創新與轉型。通過引領市場變革，諾亞克不僅期望在國內市場站穩腳步，亦積極尋求國際拓展機會，為全球健康照護</w:t>
      </w:r>
      <w:r>
        <w:rPr>
          <w:spacing w:val="-2"/>
        </w:rPr>
        <w:t>產業的未來發展提供更為全方位的解決方案。</w:t>
      </w:r>
    </w:p>
    <w:p>
      <w:pPr>
        <w:pStyle w:val="BodyText"/>
        <w:spacing w:after="0" w:line="422" w:lineRule="auto"/>
        <w:sectPr>
          <w:pgSz w:w="11910" w:h="16840"/>
          <w:pgMar w:header="0" w:footer="1197" w:top="1780" w:bottom="1380" w:left="1133" w:right="1133"/>
        </w:sectPr>
      </w:pPr>
    </w:p>
    <w:p>
      <w:pPr>
        <w:pStyle w:val="Heading2"/>
        <w:spacing w:line="500" w:lineRule="exact"/>
        <w:ind w:left="571"/>
        <w:rPr>
          <w:position w:val="1"/>
        </w:rPr>
      </w:pPr>
      <w:r>
        <w:rPr>
          <w:b w:val="0"/>
        </w:rPr>
        <w:drawing>
          <wp:inline distT="0" distB="0" distL="0" distR="0">
            <wp:extent cx="398525" cy="145542"/>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74"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56" w:id="57"/>
      <w:bookmarkEnd w:id="57"/>
      <w:r>
        <w:rPr>
          <w:rFonts w:ascii="Times New Roman" w:eastAsia="Times New Roman"/>
          <w:b w:val="0"/>
          <w:spacing w:val="-22"/>
          <w:position w:val="1"/>
          <w:sz w:val="20"/>
        </w:rPr>
      </w:r>
      <w:r>
        <w:rPr>
          <w:spacing w:val="-4"/>
          <w:position w:val="1"/>
        </w:rPr>
        <w:t>產品及服務介紹</w:t>
      </w:r>
    </w:p>
    <w:p>
      <w:pPr>
        <w:pStyle w:val="Heading3"/>
        <w:ind w:left="568"/>
        <w:rPr>
          <w:position w:val="1"/>
        </w:rPr>
      </w:pPr>
      <w:r>
        <w:rPr>
          <w:b w:val="0"/>
        </w:rPr>
        <w:drawing>
          <wp:inline distT="0" distB="0" distL="0" distR="0">
            <wp:extent cx="531114" cy="130301"/>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5" cstate="print"/>
                    <a:stretch>
                      <a:fillRect/>
                    </a:stretch>
                  </pic:blipFill>
                  <pic:spPr>
                    <a:xfrm>
                      <a:off x="0" y="0"/>
                      <a:ext cx="531114" cy="130301"/>
                    </a:xfrm>
                    <a:prstGeom prst="rect">
                      <a:avLst/>
                    </a:prstGeom>
                  </pic:spPr>
                </pic:pic>
              </a:graphicData>
            </a:graphic>
          </wp:inline>
        </w:drawing>
      </w:r>
      <w:r>
        <w:rPr>
          <w:b w:val="0"/>
        </w:rPr>
      </w:r>
      <w:r>
        <w:rPr>
          <w:rFonts w:ascii="Times New Roman" w:eastAsia="Times New Roman"/>
          <w:b w:val="0"/>
          <w:spacing w:val="40"/>
          <w:position w:val="1"/>
          <w:sz w:val="20"/>
        </w:rPr>
        <w:t> </w:t>
      </w:r>
      <w:r>
        <w:rPr>
          <w:rFonts w:ascii="Times New Roman" w:eastAsia="Times New Roman"/>
          <w:position w:val="1"/>
        </w:rPr>
        <w:t>uCare </w:t>
      </w:r>
      <w:r>
        <w:rPr>
          <w:position w:val="1"/>
        </w:rPr>
        <w:t>長照資訊軟體</w:t>
      </w:r>
    </w:p>
    <w:p>
      <w:pPr>
        <w:pStyle w:val="BodyText"/>
        <w:spacing w:line="422" w:lineRule="auto" w:before="419"/>
        <w:ind w:right="682" w:firstLine="479"/>
      </w:pPr>
      <w:r>
        <w:rPr>
          <w:spacing w:val="-2"/>
        </w:rPr>
        <w:t>諾亞克科技的長照資訊軟體以「</w:t>
      </w:r>
      <w:r>
        <w:rPr>
          <w:rFonts w:ascii="Times New Roman" w:eastAsia="Times New Roman"/>
          <w:spacing w:val="-2"/>
        </w:rPr>
        <w:t>uCare</w:t>
      </w:r>
      <w:r>
        <w:rPr>
          <w:spacing w:val="-2"/>
        </w:rPr>
        <w:t>」系統為核心，涵蓋住宿型機構、居</w:t>
      </w:r>
      <w:r>
        <w:rPr>
          <w:spacing w:val="-13"/>
        </w:rPr>
        <w:t>家服務、居家護理及社區日照中心等應用場景。在數位轉型的過程中，強調了「表</w:t>
      </w:r>
      <w:r>
        <w:rPr>
          <w:spacing w:val="-4"/>
        </w:rPr>
        <w:t>單電子化、流程數位化及資源最佳化」三步驟，這些步驟的落實不僅能夠提升運營效率，減少人工操作，亦能優化資源配置，有效提高被照顧者的服務質量。以</w:t>
      </w:r>
      <w:r>
        <w:rPr>
          <w:spacing w:val="-2"/>
        </w:rPr>
        <w:t>下為這三個核心步驟的詳細說明：</w:t>
      </w:r>
    </w:p>
    <w:p>
      <w:pPr>
        <w:pStyle w:val="Heading4"/>
        <w:numPr>
          <w:ilvl w:val="2"/>
          <w:numId w:val="21"/>
        </w:numPr>
        <w:tabs>
          <w:tab w:pos="1528" w:val="left" w:leader="none"/>
        </w:tabs>
        <w:spacing w:line="240" w:lineRule="auto" w:before="96" w:after="0"/>
        <w:ind w:left="1528" w:right="0" w:hanging="480"/>
        <w:jc w:val="left"/>
      </w:pPr>
      <w:r>
        <w:rPr>
          <w:spacing w:val="-2"/>
        </w:rPr>
        <w:t>表單電子化</w:t>
      </w:r>
    </w:p>
    <w:p>
      <w:pPr>
        <w:pStyle w:val="BodyText"/>
        <w:spacing w:line="422" w:lineRule="auto" w:before="285"/>
        <w:ind w:left="1048" w:right="683" w:firstLine="480"/>
      </w:pPr>
      <w:r>
        <w:rPr/>
        <w:drawing>
          <wp:anchor distT="0" distB="0" distL="0" distR="0" allowOverlap="1" layoutInCell="1" locked="0" behindDoc="1" simplePos="0" relativeHeight="485803520">
            <wp:simplePos x="0" y="0"/>
            <wp:positionH relativeFrom="page">
              <wp:posOffset>3312414</wp:posOffset>
            </wp:positionH>
            <wp:positionV relativeFrom="paragraph">
              <wp:posOffset>479537</wp:posOffset>
            </wp:positionV>
            <wp:extent cx="929640" cy="978408"/>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將傳統紙本表單轉換為數位格式，資料的輸入、存取及管理得以更為便</w:t>
      </w:r>
      <w:r>
        <w:rPr>
          <w:spacing w:val="-2"/>
        </w:rPr>
        <w:t>捷，護理團隊可即時掌握住民需求，並降低人工輸入錯誤風險。該系統亦能</w:t>
      </w:r>
      <w:r>
        <w:rPr/>
        <w:t>與其他系統如電子病歷（</w:t>
      </w:r>
      <w:r>
        <w:rPr>
          <w:rFonts w:ascii="Times New Roman" w:eastAsia="Times New Roman"/>
        </w:rPr>
        <w:t>Electronic</w:t>
      </w:r>
      <w:r>
        <w:rPr>
          <w:rFonts w:ascii="Times New Roman" w:eastAsia="Times New Roman"/>
          <w:spacing w:val="-4"/>
        </w:rPr>
        <w:t> </w:t>
      </w:r>
      <w:r>
        <w:rPr>
          <w:rFonts w:ascii="Times New Roman" w:eastAsia="Times New Roman"/>
        </w:rPr>
        <w:t>Medical</w:t>
      </w:r>
      <w:r>
        <w:rPr>
          <w:rFonts w:ascii="Times New Roman" w:eastAsia="Times New Roman"/>
          <w:spacing w:val="-3"/>
        </w:rPr>
        <w:t> </w:t>
      </w:r>
      <w:r>
        <w:rPr>
          <w:rFonts w:ascii="Times New Roman" w:eastAsia="Times New Roman"/>
        </w:rPr>
        <w:t>Record</w:t>
      </w:r>
      <w:r>
        <w:rPr/>
        <w:t>，</w:t>
      </w:r>
      <w:r>
        <w:rPr>
          <w:rFonts w:ascii="Times New Roman" w:eastAsia="Times New Roman"/>
        </w:rPr>
        <w:t>EMR</w:t>
      </w:r>
      <w:r>
        <w:rPr/>
        <w:t>）</w:t>
      </w:r>
      <w:r>
        <w:rPr>
          <w:spacing w:val="-2"/>
        </w:rPr>
        <w:t>及企業資源規劃</w:t>
      </w:r>
    </w:p>
    <w:p>
      <w:pPr>
        <w:pStyle w:val="BodyText"/>
        <w:spacing w:line="304" w:lineRule="exact"/>
        <w:ind w:left="1048"/>
        <w:jc w:val="left"/>
      </w:pPr>
      <w:r>
        <w:rPr/>
        <w:t>（</w:t>
      </w:r>
      <w:r>
        <w:rPr>
          <w:rFonts w:ascii="Times New Roman" w:eastAsia="Times New Roman"/>
        </w:rPr>
        <w:t>Enterprise</w:t>
      </w:r>
      <w:r>
        <w:rPr>
          <w:rFonts w:ascii="Times New Roman" w:eastAsia="Times New Roman"/>
          <w:spacing w:val="-3"/>
        </w:rPr>
        <w:t> </w:t>
      </w:r>
      <w:r>
        <w:rPr>
          <w:rFonts w:ascii="Times New Roman" w:eastAsia="Times New Roman"/>
        </w:rPr>
        <w:t>resource</w:t>
      </w:r>
      <w:r>
        <w:rPr>
          <w:rFonts w:ascii="Times New Roman" w:eastAsia="Times New Roman"/>
          <w:spacing w:val="-3"/>
        </w:rPr>
        <w:t> </w:t>
      </w:r>
      <w:r>
        <w:rPr>
          <w:rFonts w:ascii="Times New Roman" w:eastAsia="Times New Roman"/>
        </w:rPr>
        <w:t>planning</w:t>
      </w:r>
      <w:r>
        <w:rPr/>
        <w:t>，</w:t>
      </w:r>
      <w:r>
        <w:rPr>
          <w:rFonts w:ascii="Times New Roman" w:eastAsia="Times New Roman"/>
        </w:rPr>
        <w:t>ERP</w:t>
      </w:r>
      <w:r>
        <w:rPr/>
        <w:t>）</w:t>
      </w:r>
      <w:r>
        <w:rPr>
          <w:spacing w:val="-1"/>
        </w:rPr>
        <w:t>進行整合，實現資訊流通的便捷性。</w:t>
      </w:r>
    </w:p>
    <w:p>
      <w:pPr>
        <w:pStyle w:val="Heading4"/>
        <w:numPr>
          <w:ilvl w:val="2"/>
          <w:numId w:val="21"/>
        </w:numPr>
        <w:tabs>
          <w:tab w:pos="1528" w:val="left" w:leader="none"/>
        </w:tabs>
        <w:spacing w:line="240" w:lineRule="auto" w:before="262" w:after="0"/>
        <w:ind w:left="1528" w:right="0" w:hanging="480"/>
        <w:jc w:val="left"/>
      </w:pPr>
      <w:r>
        <w:rPr>
          <w:spacing w:val="-2"/>
        </w:rPr>
        <w:t>流程數位化</w:t>
      </w:r>
    </w:p>
    <w:p>
      <w:pPr>
        <w:pStyle w:val="BodyText"/>
        <w:spacing w:line="422" w:lineRule="auto" w:before="286"/>
        <w:ind w:left="1048" w:right="682" w:firstLine="480"/>
      </w:pPr>
      <w:r>
        <w:rPr>
          <w:spacing w:val="-2"/>
        </w:rPr>
        <w:t>長期照護機構內部操作流程的數位化涵蓋住民入住評估、日常照護記錄</w:t>
      </w:r>
      <w:r>
        <w:rPr>
          <w:spacing w:val="-13"/>
        </w:rPr>
        <w:t>及出院結帳等環節。系統整合 </w:t>
      </w:r>
      <w:r>
        <w:rPr>
          <w:rFonts w:ascii="Times New Roman" w:eastAsia="Times New Roman"/>
          <w:spacing w:val="-12"/>
        </w:rPr>
        <w:t>ERP</w:t>
      </w:r>
      <w:r>
        <w:rPr>
          <w:spacing w:val="-20"/>
        </w:rPr>
        <w:t>、銷售時點情報系統</w:t>
      </w:r>
      <w:r>
        <w:rPr>
          <w:spacing w:val="-12"/>
        </w:rPr>
        <w:t>（</w:t>
      </w:r>
      <w:r>
        <w:rPr>
          <w:rFonts w:ascii="Times New Roman" w:eastAsia="Times New Roman"/>
          <w:spacing w:val="-12"/>
        </w:rPr>
        <w:t>Point</w:t>
      </w:r>
      <w:r>
        <w:rPr>
          <w:rFonts w:ascii="Times New Roman" w:eastAsia="Times New Roman"/>
          <w:spacing w:val="-3"/>
        </w:rPr>
        <w:t> </w:t>
      </w:r>
      <w:r>
        <w:rPr>
          <w:rFonts w:ascii="Times New Roman" w:eastAsia="Times New Roman"/>
          <w:spacing w:val="-12"/>
        </w:rPr>
        <w:t>of</w:t>
      </w:r>
      <w:r>
        <w:rPr>
          <w:rFonts w:ascii="Times New Roman" w:eastAsia="Times New Roman"/>
          <w:spacing w:val="4"/>
        </w:rPr>
        <w:t> </w:t>
      </w:r>
      <w:r>
        <w:rPr>
          <w:rFonts w:ascii="Times New Roman" w:eastAsia="Times New Roman"/>
          <w:spacing w:val="15"/>
        </w:rPr>
        <w:t>S</w:t>
      </w:r>
      <w:r>
        <w:rPr>
          <w:rFonts w:ascii="Times New Roman" w:eastAsia="Times New Roman"/>
          <w:spacing w:val="14"/>
        </w:rPr>
        <w:t>a</w:t>
      </w:r>
      <w:r>
        <w:rPr>
          <w:rFonts w:ascii="Times New Roman" w:eastAsia="Times New Roman"/>
          <w:spacing w:val="15"/>
        </w:rPr>
        <w:t>l</w:t>
      </w:r>
      <w:r>
        <w:rPr>
          <w:rFonts w:ascii="Times New Roman" w:eastAsia="Times New Roman"/>
          <w:spacing w:val="-28"/>
        </w:rPr>
        <w:t>e</w:t>
      </w:r>
      <w:r>
        <w:rPr>
          <w:spacing w:val="-26"/>
        </w:rPr>
        <w:t>，</w:t>
      </w:r>
      <w:r>
        <w:rPr>
          <w:rFonts w:ascii="Times New Roman" w:eastAsia="Times New Roman"/>
          <w:spacing w:val="15"/>
        </w:rPr>
        <w:t>P</w:t>
      </w:r>
      <w:r>
        <w:rPr>
          <w:rFonts w:ascii="Times New Roman" w:eastAsia="Times New Roman"/>
          <w:spacing w:val="14"/>
        </w:rPr>
        <w:t>O</w:t>
      </w:r>
      <w:r>
        <w:rPr>
          <w:rFonts w:ascii="Times New Roman" w:eastAsia="Times New Roman"/>
          <w:spacing w:val="15"/>
        </w:rPr>
        <w:t>S</w:t>
      </w:r>
      <w:r>
        <w:rPr>
          <w:spacing w:val="-146"/>
        </w:rPr>
        <w:t>）</w:t>
      </w:r>
      <w:r>
        <w:rPr>
          <w:spacing w:val="-12"/>
        </w:rPr>
        <w:t>、</w:t>
      </w:r>
      <w:r>
        <w:rPr>
          <w:spacing w:val="-2"/>
        </w:rPr>
        <w:t>用藥管理及財務系統，使部門間的資訊得以無縫銜接。例如，護理人員可即時更新住民的生理數據，並與行政部門的財務資訊同步，簡化運營流程。</w:t>
      </w:r>
    </w:p>
    <w:p>
      <w:pPr>
        <w:pStyle w:val="Heading4"/>
        <w:numPr>
          <w:ilvl w:val="2"/>
          <w:numId w:val="21"/>
        </w:numPr>
        <w:tabs>
          <w:tab w:pos="1528" w:val="left" w:leader="none"/>
        </w:tabs>
        <w:spacing w:line="240" w:lineRule="auto" w:before="24" w:after="0"/>
        <w:ind w:left="1528" w:right="0" w:hanging="480"/>
        <w:jc w:val="left"/>
      </w:pPr>
      <w:r>
        <w:rPr>
          <w:spacing w:val="-2"/>
        </w:rPr>
        <w:t>資源最佳化</w:t>
      </w:r>
    </w:p>
    <w:p>
      <w:pPr>
        <w:pStyle w:val="BodyText"/>
        <w:spacing w:line="422" w:lineRule="auto" w:before="286"/>
        <w:ind w:left="1048" w:right="685" w:firstLine="480"/>
      </w:pPr>
      <w:r>
        <w:rPr>
          <w:spacing w:val="-4"/>
        </w:rPr>
        <w:t>藉由大數據分析與 </w:t>
      </w:r>
      <w:r>
        <w:rPr>
          <w:rFonts w:ascii="Times New Roman" w:eastAsia="Times New Roman"/>
        </w:rPr>
        <w:t>AI</w:t>
      </w:r>
      <w:r>
        <w:rPr>
          <w:rFonts w:ascii="Times New Roman" w:eastAsia="Times New Roman"/>
          <w:spacing w:val="27"/>
        </w:rPr>
        <w:t> </w:t>
      </w:r>
      <w:r>
        <w:rPr/>
        <w:t>技術，系統可預測耗材使用量、護理人力配置等</w:t>
      </w:r>
      <w:r>
        <w:rPr>
          <w:spacing w:val="-2"/>
        </w:rPr>
        <w:t>需求，減少資源浪費並降低照護員的負擔。具備 </w:t>
      </w:r>
      <w:r>
        <w:rPr>
          <w:rFonts w:ascii="Times New Roman" w:eastAsia="Times New Roman"/>
        </w:rPr>
        <w:t>AI</w:t>
      </w:r>
      <w:r>
        <w:rPr>
          <w:rFonts w:ascii="Times New Roman" w:eastAsia="Times New Roman"/>
          <w:spacing w:val="27"/>
        </w:rPr>
        <w:t> </w:t>
      </w:r>
      <w:r>
        <w:rPr/>
        <w:t>傷口辨識和語音紀錄模</w:t>
      </w:r>
      <w:r>
        <w:rPr>
          <w:spacing w:val="-2"/>
        </w:rPr>
        <w:t>組，以提升長照機構的服務效率。</w:t>
      </w:r>
    </w:p>
    <w:p>
      <w:pPr>
        <w:pStyle w:val="BodyText"/>
        <w:spacing w:after="0" w:line="422" w:lineRule="auto"/>
        <w:sectPr>
          <w:pgSz w:w="11910" w:h="16840"/>
          <w:pgMar w:header="0" w:footer="1197" w:top="1800" w:bottom="1380" w:left="1133" w:right="1133"/>
        </w:sectPr>
      </w:pPr>
    </w:p>
    <w:p>
      <w:pPr>
        <w:pStyle w:val="Heading3"/>
        <w:spacing w:line="448" w:lineRule="exact" w:before="0"/>
        <w:ind w:left="568"/>
        <w:rPr>
          <w:position w:val="1"/>
        </w:rPr>
      </w:pPr>
      <w:r>
        <w:rPr>
          <w:b w:val="0"/>
        </w:rPr>
        <w:drawing>
          <wp:inline distT="0" distB="0" distL="0" distR="0">
            <wp:extent cx="531114" cy="130301"/>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76" cstate="print"/>
                    <a:stretch>
                      <a:fillRect/>
                    </a:stretch>
                  </pic:blipFill>
                  <pic:spPr>
                    <a:xfrm>
                      <a:off x="0" y="0"/>
                      <a:ext cx="531114"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醫療耗材</w:t>
      </w:r>
    </w:p>
    <w:p>
      <w:pPr>
        <w:pStyle w:val="BodyText"/>
        <w:spacing w:line="422" w:lineRule="auto" w:before="418"/>
        <w:ind w:right="470" w:firstLine="479"/>
        <w:jc w:val="left"/>
      </w:pPr>
      <w:r>
        <w:rPr>
          <w:spacing w:val="-2"/>
        </w:rPr>
        <w:t>諾亞克科技透過旗下子公司，提供多元的醫療耗材產品，包括紗布、棉棒、</w:t>
      </w:r>
      <w:r>
        <w:rPr>
          <w:spacing w:val="-6"/>
        </w:rPr>
        <w:t>導尿包及手術衣等，以滿足不同醫療機構的需求。這些耗材不僅供應給長照機構，也銷售給台灣主要的醫學中心和醫院，例如榮民總醫院、台大醫院及衛生福利部。</w:t>
      </w:r>
      <w:r>
        <w:rPr>
          <w:spacing w:val="-2"/>
        </w:rPr>
        <w:t>為簡化耗材管理，諾亞克將其耗材訂購功能與長照軟體 </w:t>
      </w:r>
      <w:r>
        <w:rPr>
          <w:rFonts w:ascii="Times New Roman" w:eastAsia="Times New Roman"/>
        </w:rPr>
        <w:t>uCare </w:t>
      </w:r>
      <w:r>
        <w:rPr/>
        <w:t>整合，提供一站式</w:t>
      </w:r>
      <w:r>
        <w:rPr>
          <w:spacing w:val="-2"/>
        </w:rPr>
        <w:t>訂購平台，使長照機構能便捷地管理和訂購所需的耗材，進一步提升運營效率並降低成本。</w:t>
      </w:r>
    </w:p>
    <w:p>
      <w:pPr>
        <w:pStyle w:val="Heading3"/>
        <w:spacing w:before="140"/>
        <w:ind w:left="568"/>
        <w:rPr>
          <w:position w:val="1"/>
        </w:rPr>
      </w:pPr>
      <w:r>
        <w:rPr>
          <w:b w:val="0"/>
        </w:rPr>
        <w:drawing>
          <wp:inline distT="0" distB="0" distL="0" distR="0">
            <wp:extent cx="531114" cy="130301"/>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77" cstate="print"/>
                    <a:stretch>
                      <a:fillRect/>
                    </a:stretch>
                  </pic:blipFill>
                  <pic:spPr>
                    <a:xfrm>
                      <a:off x="0" y="0"/>
                      <a:ext cx="531114"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藥事管理</w:t>
      </w:r>
    </w:p>
    <w:p>
      <w:pPr>
        <w:pStyle w:val="BodyText"/>
        <w:spacing w:line="422" w:lineRule="auto" w:before="419"/>
        <w:ind w:right="682" w:firstLine="479"/>
      </w:pPr>
      <w:r>
        <w:rPr/>
        <w:drawing>
          <wp:anchor distT="0" distB="0" distL="0" distR="0" allowOverlap="1" layoutInCell="1" locked="0" behindDoc="1" simplePos="0" relativeHeight="485804032">
            <wp:simplePos x="0" y="0"/>
            <wp:positionH relativeFrom="page">
              <wp:posOffset>3312414</wp:posOffset>
            </wp:positionH>
            <wp:positionV relativeFrom="paragraph">
              <wp:posOffset>632876</wp:posOffset>
            </wp:positionV>
            <wp:extent cx="929640" cy="978408"/>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為擴大業務範疇，諾亞克科技逐步進入藥事領域，並進行戰略性投資，持股 </w:t>
      </w:r>
      <w:r>
        <w:rPr>
          <w:rFonts w:ascii="Times New Roman" w:eastAsia="Times New Roman"/>
          <w:spacing w:val="-2"/>
        </w:rPr>
        <w:t>47.5%</w:t>
      </w:r>
      <w:r>
        <w:rPr>
          <w:spacing w:val="-2"/>
        </w:rPr>
        <w:t>的春天連鎖藥局成為其佈局之一，將數位技術應用至實體藥局業務，實現</w:t>
      </w:r>
      <w:r>
        <w:rPr>
          <w:spacing w:val="-4"/>
        </w:rPr>
        <w:t>線上與線下資源的整合。透過數位化與技術應用，諾亞克計劃將處方箋系統連結</w:t>
      </w:r>
      <w:r>
        <w:rPr>
          <w:spacing w:val="-2"/>
        </w:rPr>
        <w:t>至數位平台，以提升用戶體驗並開發更多加值服務。</w:t>
      </w:r>
    </w:p>
    <w:p>
      <w:pPr>
        <w:pStyle w:val="Heading3"/>
        <w:spacing w:before="141"/>
        <w:ind w:left="568"/>
        <w:rPr>
          <w:position w:val="1"/>
        </w:rPr>
      </w:pPr>
      <w:r>
        <w:rPr>
          <w:b w:val="0"/>
        </w:rPr>
        <w:drawing>
          <wp:inline distT="0" distB="0" distL="0" distR="0">
            <wp:extent cx="531114" cy="130301"/>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78" cstate="print"/>
                    <a:stretch>
                      <a:fillRect/>
                    </a:stretch>
                  </pic:blipFill>
                  <pic:spPr>
                    <a:xfrm>
                      <a:off x="0" y="0"/>
                      <a:ext cx="531114"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進軍美國</w:t>
      </w:r>
    </w:p>
    <w:p>
      <w:pPr>
        <w:pStyle w:val="BodyText"/>
        <w:spacing w:line="422" w:lineRule="auto" w:before="348"/>
        <w:ind w:right="682" w:firstLine="479"/>
      </w:pPr>
      <w:r>
        <w:rPr>
          <w:rFonts w:ascii="Times New Roman" w:eastAsia="Times New Roman"/>
        </w:rPr>
        <w:t>2018</w:t>
      </w:r>
      <w:r>
        <w:rPr>
          <w:rFonts w:ascii="Times New Roman" w:eastAsia="Times New Roman"/>
          <w:spacing w:val="-15"/>
        </w:rPr>
        <w:t> </w:t>
      </w:r>
      <w:r>
        <w:rPr>
          <w:spacing w:val="-2"/>
        </w:rPr>
        <w:t>年，諾亞克科技獲美國長照機構 </w:t>
      </w:r>
      <w:r>
        <w:rPr>
          <w:rFonts w:ascii="Times New Roman" w:eastAsia="Times New Roman"/>
        </w:rPr>
        <w:t>Eva Care Group</w:t>
      </w:r>
      <w:r>
        <w:rPr>
          <w:rFonts w:ascii="Times New Roman" w:eastAsia="Times New Roman"/>
          <w:spacing w:val="40"/>
        </w:rPr>
        <w:t> </w:t>
      </w:r>
      <w:r>
        <w:rPr>
          <w:spacing w:val="-5"/>
        </w:rPr>
        <w:t>投資，並於 </w:t>
      </w:r>
      <w:r>
        <w:rPr>
          <w:rFonts w:ascii="Times New Roman" w:eastAsia="Times New Roman"/>
        </w:rPr>
        <w:t>2022</w:t>
      </w:r>
      <w:r>
        <w:rPr>
          <w:rFonts w:ascii="Times New Roman" w:eastAsia="Times New Roman"/>
          <w:spacing w:val="-4"/>
        </w:rPr>
        <w:t> </w:t>
      </w:r>
      <w:r>
        <w:rPr/>
        <w:t>年</w:t>
      </w:r>
      <w:r>
        <w:rPr>
          <w:spacing w:val="-2"/>
        </w:rPr>
        <w:t>宣布合作協議，啟動併購 </w:t>
      </w:r>
      <w:r>
        <w:rPr>
          <w:rFonts w:ascii="Times New Roman" w:eastAsia="Times New Roman"/>
        </w:rPr>
        <w:t>Fillmore</w:t>
      </w:r>
      <w:r>
        <w:rPr>
          <w:rFonts w:ascii="Times New Roman" w:eastAsia="Times New Roman"/>
          <w:spacing w:val="-15"/>
        </w:rPr>
        <w:t> </w:t>
      </w:r>
      <w:r>
        <w:rPr>
          <w:rFonts w:ascii="Times New Roman" w:eastAsia="Times New Roman"/>
        </w:rPr>
        <w:t>Country</w:t>
      </w:r>
      <w:r>
        <w:rPr>
          <w:rFonts w:ascii="Times New Roman" w:eastAsia="Times New Roman"/>
          <w:spacing w:val="-15"/>
        </w:rPr>
        <w:t> </w:t>
      </w:r>
      <w:r>
        <w:rPr>
          <w:rFonts w:ascii="Times New Roman" w:eastAsia="Times New Roman"/>
        </w:rPr>
        <w:t>Club</w:t>
      </w:r>
      <w:r>
        <w:rPr>
          <w:rFonts w:ascii="Times New Roman" w:eastAsia="Times New Roman"/>
          <w:spacing w:val="40"/>
        </w:rPr>
        <w:t> </w:t>
      </w:r>
      <w:r>
        <w:rPr>
          <w:spacing w:val="-4"/>
        </w:rPr>
        <w:t>的 </w:t>
      </w:r>
      <w:r>
        <w:rPr>
          <w:rFonts w:ascii="Times New Roman" w:eastAsia="Times New Roman"/>
        </w:rPr>
        <w:t>Assisted</w:t>
      </w:r>
      <w:r>
        <w:rPr>
          <w:rFonts w:ascii="Times New Roman" w:eastAsia="Times New Roman"/>
          <w:spacing w:val="-15"/>
        </w:rPr>
        <w:t> </w:t>
      </w:r>
      <w:r>
        <w:rPr>
          <w:rFonts w:ascii="Times New Roman" w:eastAsia="Times New Roman"/>
        </w:rPr>
        <w:t>Living</w:t>
      </w:r>
      <w:r>
        <w:rPr>
          <w:rFonts w:ascii="Times New Roman" w:eastAsia="Times New Roman"/>
          <w:spacing w:val="-8"/>
        </w:rPr>
        <w:t> (</w:t>
      </w:r>
      <w:r>
        <w:rPr>
          <w:rFonts w:ascii="Times New Roman" w:eastAsia="Times New Roman"/>
        </w:rPr>
        <w:t>AL)</w:t>
      </w:r>
      <w:r>
        <w:rPr>
          <w:rFonts w:ascii="Times New Roman" w:eastAsia="Times New Roman"/>
          <w:spacing w:val="40"/>
        </w:rPr>
        <w:t> </w:t>
      </w:r>
      <w:r>
        <w:rPr/>
        <w:t>機構計</w:t>
      </w:r>
      <w:r>
        <w:rPr>
          <w:spacing w:val="-4"/>
        </w:rPr>
        <w:t>畫，進軍美國市場。公司藉此吸取當地經驗，結合十年來在法規調研、品質控制等領域的實績，導入並推廣至美國市場。</w:t>
      </w:r>
      <w:r>
        <w:rPr>
          <w:rFonts w:ascii="Times New Roman" w:eastAsia="Times New Roman"/>
          <w:spacing w:val="-4"/>
        </w:rPr>
        <w:t>2023</w:t>
      </w:r>
      <w:r>
        <w:rPr>
          <w:rFonts w:ascii="Times New Roman" w:eastAsia="Times New Roman"/>
          <w:spacing w:val="-11"/>
        </w:rPr>
        <w:t> </w:t>
      </w:r>
      <w:r>
        <w:rPr>
          <w:spacing w:val="-4"/>
        </w:rPr>
        <w:t>年，推出「</w:t>
      </w:r>
      <w:r>
        <w:rPr>
          <w:rFonts w:ascii="Times New Roman" w:eastAsia="Times New Roman"/>
          <w:spacing w:val="-4"/>
        </w:rPr>
        <w:t>uCare</w:t>
      </w:r>
      <w:r>
        <w:rPr>
          <w:rFonts w:ascii="Times New Roman" w:eastAsia="Times New Roman"/>
          <w:spacing w:val="26"/>
        </w:rPr>
        <w:t> </w:t>
      </w:r>
      <w:r>
        <w:rPr>
          <w:spacing w:val="-4"/>
        </w:rPr>
        <w:t>長照資訊系統國</w:t>
      </w:r>
      <w:r>
        <w:rPr>
          <w:spacing w:val="-14"/>
        </w:rPr>
        <w:t>際版」，進一步推動長照科技的國際化發展。</w:t>
      </w:r>
    </w:p>
    <w:p>
      <w:pPr>
        <w:pStyle w:val="BodyText"/>
        <w:spacing w:after="0" w:line="422" w:lineRule="auto"/>
        <w:sectPr>
          <w:pgSz w:w="11910" w:h="16840"/>
          <w:pgMar w:header="0" w:footer="1197" w:top="1820" w:bottom="1380" w:left="1133" w:right="1133"/>
        </w:sectPr>
      </w:pPr>
    </w:p>
    <w:p>
      <w:pPr>
        <w:pStyle w:val="Heading2"/>
        <w:numPr>
          <w:ilvl w:val="1"/>
          <w:numId w:val="21"/>
        </w:numPr>
        <w:tabs>
          <w:tab w:pos="1047" w:val="left" w:leader="none"/>
        </w:tabs>
        <w:spacing w:line="522" w:lineRule="exact" w:before="0" w:after="0"/>
        <w:ind w:left="1047" w:right="0" w:hanging="478"/>
        <w:jc w:val="left"/>
      </w:pPr>
      <w:bookmarkStart w:name="_bookmark57" w:id="58"/>
      <w:bookmarkEnd w:id="58"/>
      <w:r>
        <w:rPr>
          <w:b w:val="0"/>
        </w:rPr>
      </w:r>
      <w:r>
        <w:rPr>
          <w:spacing w:val="-4"/>
        </w:rPr>
        <w:t>發展歷程</w:t>
      </w:r>
    </w:p>
    <w:p>
      <w:pPr>
        <w:pStyle w:val="BodyText"/>
        <w:spacing w:line="422" w:lineRule="auto" w:before="312"/>
        <w:ind w:right="683" w:firstLine="479"/>
      </w:pPr>
      <w:r>
        <w:rPr>
          <w:spacing w:val="-2"/>
        </w:rPr>
        <w:t>諾亞克科技致力於打造智慧且貼近人性的健康照護解決方案，透過創新服</w:t>
      </w:r>
      <w:r>
        <w:rPr>
          <w:spacing w:val="-4"/>
        </w:rPr>
        <w:t>務模式與跨領域投資，構建健康產業生態圈，並穩居市場占有率的領先地位。在這一過程中，公司不斷擴大產品與服務內容，展現出卓越的市場競爭力與創新實</w:t>
      </w:r>
      <w:r>
        <w:rPr>
          <w:spacing w:val="-6"/>
        </w:rPr>
        <w:t>力。表 </w:t>
      </w:r>
      <w:r>
        <w:rPr>
          <w:rFonts w:ascii="Times New Roman" w:eastAsia="Times New Roman"/>
        </w:rPr>
        <w:t>4.3-1 </w:t>
      </w:r>
      <w:r>
        <w:rPr/>
        <w:t>為公司之歷史沿革：</w:t>
      </w:r>
    </w:p>
    <w:p>
      <w:pPr>
        <w:pStyle w:val="Heading4"/>
        <w:spacing w:before="24"/>
        <w:ind w:left="3730"/>
      </w:pPr>
      <w:bookmarkStart w:name="_bookmark58" w:id="59"/>
      <w:bookmarkEnd w:id="59"/>
      <w:r>
        <w:rPr>
          <w:b w:val="0"/>
        </w:rPr>
      </w:r>
      <w:r>
        <w:rPr>
          <w:spacing w:val="30"/>
        </w:rPr>
        <w:t>表 </w:t>
      </w:r>
      <w:r>
        <w:rPr>
          <w:rFonts w:ascii="Times New Roman" w:eastAsia="Times New Roman"/>
        </w:rPr>
        <w:t>4.3-1</w:t>
      </w:r>
      <w:r>
        <w:rPr>
          <w:rFonts w:ascii="Times New Roman" w:eastAsia="Times New Roman"/>
          <w:spacing w:val="60"/>
        </w:rPr>
        <w:t> </w:t>
      </w:r>
      <w:r>
        <w:rPr>
          <w:spacing w:val="-2"/>
        </w:rPr>
        <w:t>諾亞克歷史沿革</w:t>
      </w:r>
    </w:p>
    <w:p>
      <w:pPr>
        <w:pStyle w:val="BodyText"/>
        <w:spacing w:before="18"/>
        <w:ind w:left="0"/>
        <w:jc w:val="left"/>
        <w:rPr>
          <w:rFonts w:ascii="Microsoft JhengHei"/>
          <w:b/>
          <w:sz w:val="9"/>
        </w:rPr>
      </w:pPr>
    </w:p>
    <w:tbl>
      <w:tblPr>
        <w:tblW w:w="0" w:type="auto"/>
        <w:jc w:val="left"/>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7089"/>
      </w:tblGrid>
      <w:tr>
        <w:trPr>
          <w:trHeight w:val="755" w:hRule="atLeast"/>
        </w:trPr>
        <w:tc>
          <w:tcPr>
            <w:tcW w:w="1555" w:type="dxa"/>
            <w:shd w:val="clear" w:color="auto" w:fill="D0CECE"/>
          </w:tcPr>
          <w:p>
            <w:pPr>
              <w:pStyle w:val="TableParagraph"/>
              <w:spacing w:before="131"/>
              <w:ind w:left="9"/>
              <w:jc w:val="center"/>
              <w:rPr>
                <w:rFonts w:ascii="Microsoft JhengHei" w:eastAsia="Microsoft JhengHei"/>
                <w:b/>
                <w:sz w:val="24"/>
              </w:rPr>
            </w:pPr>
            <w:r>
              <w:rPr>
                <w:rFonts w:ascii="Microsoft JhengHei" w:eastAsia="Microsoft JhengHei"/>
                <w:b/>
                <w:spacing w:val="-3"/>
                <w:sz w:val="24"/>
              </w:rPr>
              <w:t>重要年份</w:t>
            </w:r>
          </w:p>
        </w:tc>
        <w:tc>
          <w:tcPr>
            <w:tcW w:w="7089" w:type="dxa"/>
            <w:shd w:val="clear" w:color="auto" w:fill="D0CECE"/>
          </w:tcPr>
          <w:p>
            <w:pPr>
              <w:pStyle w:val="TableParagraph"/>
              <w:spacing w:before="131"/>
              <w:ind w:left="7"/>
              <w:jc w:val="center"/>
              <w:rPr>
                <w:rFonts w:ascii="Microsoft JhengHei" w:eastAsia="Microsoft JhengHei"/>
                <w:b/>
                <w:sz w:val="24"/>
              </w:rPr>
            </w:pPr>
            <w:r>
              <w:rPr>
                <w:rFonts w:ascii="Microsoft JhengHei" w:eastAsia="Microsoft JhengHei"/>
                <w:b/>
                <w:spacing w:val="-3"/>
                <w:sz w:val="24"/>
              </w:rPr>
              <w:t>企業沿革</w:t>
            </w:r>
          </w:p>
        </w:tc>
      </w:tr>
      <w:tr>
        <w:trPr>
          <w:trHeight w:val="630" w:hRule="atLeast"/>
        </w:trPr>
        <w:tc>
          <w:tcPr>
            <w:tcW w:w="1555" w:type="dxa"/>
          </w:tcPr>
          <w:p>
            <w:pPr>
              <w:pStyle w:val="TableParagraph"/>
              <w:spacing w:before="176"/>
              <w:ind w:left="9"/>
              <w:jc w:val="center"/>
              <w:rPr>
                <w:rFonts w:ascii="Times New Roman"/>
                <w:sz w:val="24"/>
              </w:rPr>
            </w:pPr>
            <w:r>
              <w:rPr>
                <w:rFonts w:ascii="Times New Roman"/>
                <w:spacing w:val="-4"/>
                <w:sz w:val="24"/>
              </w:rPr>
              <w:t>2012</w:t>
            </w:r>
          </w:p>
        </w:tc>
        <w:tc>
          <w:tcPr>
            <w:tcW w:w="7089" w:type="dxa"/>
          </w:tcPr>
          <w:p>
            <w:pPr>
              <w:pStyle w:val="TableParagraph"/>
              <w:spacing w:before="146"/>
              <w:ind w:left="227"/>
              <w:rPr>
                <w:sz w:val="24"/>
              </w:rPr>
            </w:pPr>
            <w:r>
              <w:rPr>
                <w:spacing w:val="-1"/>
                <w:sz w:val="24"/>
              </w:rPr>
              <w:t>公司成立，專注於提供長照資訊軟體服務。</w:t>
            </w:r>
          </w:p>
        </w:tc>
      </w:tr>
      <w:tr>
        <w:trPr>
          <w:trHeight w:val="1295" w:hRule="atLeast"/>
        </w:trPr>
        <w:tc>
          <w:tcPr>
            <w:tcW w:w="1555" w:type="dxa"/>
          </w:tcPr>
          <w:p>
            <w:pPr>
              <w:pStyle w:val="TableParagraph"/>
              <w:spacing w:before="176"/>
              <w:ind w:left="9" w:right="2"/>
              <w:jc w:val="center"/>
              <w:rPr>
                <w:rFonts w:ascii="Times New Roman"/>
                <w:sz w:val="24"/>
              </w:rPr>
            </w:pPr>
            <w:r>
              <w:rPr>
                <w:rFonts w:ascii="Times New Roman"/>
                <w:spacing w:val="-2"/>
                <w:sz w:val="24"/>
              </w:rPr>
              <w:t>2013-</w:t>
            </w:r>
          </w:p>
          <w:p>
            <w:pPr>
              <w:pStyle w:val="TableParagraph"/>
              <w:spacing w:before="245"/>
              <w:ind w:left="9"/>
              <w:jc w:val="center"/>
              <w:rPr>
                <w:rFonts w:ascii="Times New Roman"/>
                <w:sz w:val="24"/>
              </w:rPr>
            </w:pPr>
            <w:r>
              <w:rPr>
                <w:rFonts w:ascii="Times New Roman"/>
                <w:spacing w:val="-4"/>
                <w:sz w:val="24"/>
              </w:rPr>
              <w:t>2015</w:t>
            </w:r>
          </w:p>
        </w:tc>
        <w:tc>
          <w:tcPr>
            <w:tcW w:w="7089" w:type="dxa"/>
          </w:tcPr>
          <w:p>
            <w:pPr>
              <w:pStyle w:val="TableParagraph"/>
              <w:spacing w:line="540" w:lineRule="exact" w:before="19"/>
              <w:ind w:left="227" w:right="395"/>
              <w:rPr>
                <w:sz w:val="24"/>
              </w:rPr>
            </w:pPr>
            <w:r>
              <w:rPr>
                <w:sz w:val="24"/>
              </w:rPr>
              <w:t>陸續推出「</w:t>
            </w:r>
            <w:r>
              <w:rPr>
                <w:rFonts w:ascii="Times New Roman" w:eastAsia="Times New Roman"/>
                <w:sz w:val="24"/>
              </w:rPr>
              <w:t>uCare</w:t>
            </w:r>
            <w:r>
              <w:rPr>
                <w:rFonts w:ascii="Times New Roman" w:eastAsia="Times New Roman"/>
                <w:spacing w:val="23"/>
                <w:sz w:val="24"/>
              </w:rPr>
              <w:t> </w:t>
            </w:r>
            <w:r>
              <w:rPr>
                <w:sz w:val="24"/>
              </w:rPr>
              <w:t>長照資訊軟體住宿型機構版、居家護理版、</w:t>
            </w:r>
            <w:r>
              <w:rPr>
                <w:spacing w:val="-14"/>
                <w:sz w:val="24"/>
              </w:rPr>
              <w:t>居家服務版」，並啟動國際醫療資訊系統的發展計劃。</w:t>
            </w:r>
          </w:p>
        </w:tc>
      </w:tr>
      <w:tr>
        <w:trPr>
          <w:trHeight w:val="628" w:hRule="atLeast"/>
        </w:trPr>
        <w:tc>
          <w:tcPr>
            <w:tcW w:w="1555" w:type="dxa"/>
          </w:tcPr>
          <w:p>
            <w:pPr>
              <w:pStyle w:val="TableParagraph"/>
              <w:spacing w:before="176"/>
              <w:ind w:left="9"/>
              <w:jc w:val="center"/>
              <w:rPr>
                <w:rFonts w:ascii="Times New Roman"/>
                <w:sz w:val="24"/>
              </w:rPr>
            </w:pPr>
            <w:r>
              <w:rPr>
                <w:rFonts w:ascii="Times New Roman"/>
                <w:spacing w:val="-4"/>
                <w:sz w:val="24"/>
              </w:rPr>
              <w:t>2016</w:t>
            </w:r>
          </w:p>
        </w:tc>
        <w:tc>
          <w:tcPr>
            <w:tcW w:w="7089" w:type="dxa"/>
          </w:tcPr>
          <w:p>
            <w:pPr>
              <w:pStyle w:val="TableParagraph"/>
              <w:spacing w:before="146"/>
              <w:ind w:left="227"/>
              <w:rPr>
                <w:sz w:val="24"/>
              </w:rPr>
            </w:pPr>
            <w:r>
              <w:rPr>
                <w:sz w:val="24"/>
              </w:rPr>
              <mc:AlternateContent>
                <mc:Choice Requires="wps">
                  <w:drawing>
                    <wp:anchor distT="0" distB="0" distL="0" distR="0" allowOverlap="1" layoutInCell="1" locked="0" behindDoc="1" simplePos="0" relativeHeight="485804544">
                      <wp:simplePos x="0" y="0"/>
                      <wp:positionH relativeFrom="column">
                        <wp:posOffset>1241044</wp:posOffset>
                      </wp:positionH>
                      <wp:positionV relativeFrom="paragraph">
                        <wp:posOffset>-359029</wp:posOffset>
                      </wp:positionV>
                      <wp:extent cx="929640" cy="97853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929640" cy="978535"/>
                                <a:chExt cx="929640" cy="978535"/>
                              </a:xfrm>
                            </wpg:grpSpPr>
                            <pic:pic>
                              <pic:nvPicPr>
                                <pic:cNvPr id="145" name="Image 145"/>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97.720001pt;margin-top:-28.270004pt;width:73.2pt;height:77.05pt;mso-position-horizontal-relative:column;mso-position-vertical-relative:paragraph;z-index:-17511936" id="docshapegroup20" coordorigin="1954,-565" coordsize="1464,1541">
                      <v:shape style="position:absolute;left:1954;top:-566;width:1464;height:1541" type="#_x0000_t75" id="docshape21" stroked="false">
                        <v:imagedata r:id="rId6" o:title=""/>
                      </v:shape>
                      <w10:wrap type="none"/>
                    </v:group>
                  </w:pict>
                </mc:Fallback>
              </mc:AlternateContent>
            </w:r>
            <w:r>
              <w:rPr>
                <w:spacing w:val="-1"/>
                <w:sz w:val="24"/>
              </w:rPr>
              <w:t>成立醫療耗材事業部，正式進入耗材市場。</w:t>
            </w:r>
          </w:p>
        </w:tc>
      </w:tr>
      <w:tr>
        <w:trPr>
          <w:trHeight w:val="1297" w:hRule="atLeast"/>
        </w:trPr>
        <w:tc>
          <w:tcPr>
            <w:tcW w:w="1555" w:type="dxa"/>
          </w:tcPr>
          <w:p>
            <w:pPr>
              <w:pStyle w:val="TableParagraph"/>
              <w:spacing w:before="179"/>
              <w:ind w:left="9"/>
              <w:jc w:val="center"/>
              <w:rPr>
                <w:rFonts w:ascii="Times New Roman"/>
                <w:sz w:val="24"/>
              </w:rPr>
            </w:pPr>
            <w:r>
              <w:rPr>
                <w:rFonts w:ascii="Times New Roman"/>
                <w:spacing w:val="-4"/>
                <w:sz w:val="24"/>
              </w:rPr>
              <w:t>2018</w:t>
            </w:r>
          </w:p>
        </w:tc>
        <w:tc>
          <w:tcPr>
            <w:tcW w:w="7089" w:type="dxa"/>
          </w:tcPr>
          <w:p>
            <w:pPr>
              <w:pStyle w:val="TableParagraph"/>
              <w:spacing w:line="540" w:lineRule="exact" w:before="21"/>
              <w:ind w:left="227" w:right="248"/>
              <w:rPr>
                <w:sz w:val="24"/>
              </w:rPr>
            </w:pPr>
            <w:r>
              <w:rPr>
                <w:spacing w:val="-1"/>
                <w:sz w:val="24"/>
              </w:rPr>
              <w:t>獲得美國長照機構集團 </w:t>
            </w:r>
            <w:r>
              <w:rPr>
                <w:rFonts w:ascii="Times New Roman" w:eastAsia="Times New Roman"/>
                <w:sz w:val="24"/>
              </w:rPr>
              <w:t>Eva</w:t>
            </w:r>
            <w:r>
              <w:rPr>
                <w:rFonts w:ascii="Times New Roman" w:eastAsia="Times New Roman"/>
                <w:spacing w:val="-8"/>
                <w:sz w:val="24"/>
              </w:rPr>
              <w:t> </w:t>
            </w:r>
            <w:r>
              <w:rPr>
                <w:rFonts w:ascii="Times New Roman" w:eastAsia="Times New Roman"/>
                <w:sz w:val="24"/>
              </w:rPr>
              <w:t>Care</w:t>
            </w:r>
            <w:r>
              <w:rPr>
                <w:rFonts w:ascii="Times New Roman" w:eastAsia="Times New Roman"/>
                <w:spacing w:val="-8"/>
                <w:sz w:val="24"/>
              </w:rPr>
              <w:t> </w:t>
            </w:r>
            <w:r>
              <w:rPr>
                <w:rFonts w:ascii="Times New Roman" w:eastAsia="Times New Roman"/>
                <w:sz w:val="24"/>
              </w:rPr>
              <w:t>Group</w:t>
            </w:r>
            <w:r>
              <w:rPr>
                <w:rFonts w:ascii="Times New Roman" w:eastAsia="Times New Roman"/>
                <w:spacing w:val="40"/>
                <w:sz w:val="24"/>
              </w:rPr>
              <w:t> </w:t>
            </w:r>
            <w:r>
              <w:rPr>
                <w:sz w:val="24"/>
              </w:rPr>
              <w:t>的策略投資，拓展至美</w:t>
            </w:r>
            <w:r>
              <w:rPr>
                <w:spacing w:val="-4"/>
                <w:sz w:val="24"/>
              </w:rPr>
              <w:t>國市場。</w:t>
            </w:r>
          </w:p>
        </w:tc>
      </w:tr>
      <w:tr>
        <w:trPr>
          <w:trHeight w:val="1295" w:hRule="atLeast"/>
        </w:trPr>
        <w:tc>
          <w:tcPr>
            <w:tcW w:w="1555" w:type="dxa"/>
          </w:tcPr>
          <w:p>
            <w:pPr>
              <w:pStyle w:val="TableParagraph"/>
              <w:spacing w:before="176"/>
              <w:ind w:left="9"/>
              <w:jc w:val="center"/>
              <w:rPr>
                <w:rFonts w:ascii="Times New Roman"/>
                <w:sz w:val="24"/>
              </w:rPr>
            </w:pPr>
            <w:r>
              <w:rPr>
                <w:rFonts w:ascii="Times New Roman"/>
                <w:spacing w:val="-4"/>
                <w:sz w:val="24"/>
              </w:rPr>
              <w:t>2020</w:t>
            </w:r>
          </w:p>
        </w:tc>
        <w:tc>
          <w:tcPr>
            <w:tcW w:w="7089" w:type="dxa"/>
          </w:tcPr>
          <w:p>
            <w:pPr>
              <w:pStyle w:val="TableParagraph"/>
              <w:spacing w:line="540" w:lineRule="exact" w:before="19"/>
              <w:ind w:left="227" w:right="275"/>
              <w:rPr>
                <w:sz w:val="24"/>
              </w:rPr>
            </w:pPr>
            <w:r>
              <w:rPr>
                <w:sz w:val="24"/>
              </w:rPr>
              <w:t>推出「</w:t>
            </w:r>
            <w:r>
              <w:rPr>
                <w:rFonts w:ascii="Times New Roman" w:eastAsia="Times New Roman"/>
                <w:sz w:val="24"/>
              </w:rPr>
              <w:t>uCare</w:t>
            </w:r>
            <w:r>
              <w:rPr>
                <w:rFonts w:ascii="Times New Roman" w:eastAsia="Times New Roman"/>
                <w:spacing w:val="23"/>
                <w:sz w:val="24"/>
              </w:rPr>
              <w:t> </w:t>
            </w:r>
            <w:r>
              <w:rPr>
                <w:spacing w:val="-10"/>
                <w:sz w:val="24"/>
              </w:rPr>
              <w:t>長照資訊軟體日照中心版」，並併購耗材通路商建</w:t>
            </w:r>
            <w:r>
              <w:rPr>
                <w:spacing w:val="-2"/>
                <w:sz w:val="24"/>
              </w:rPr>
              <w:t>齊公司，強化供應鏈布局。</w:t>
            </w:r>
          </w:p>
        </w:tc>
      </w:tr>
      <w:tr>
        <w:trPr>
          <w:trHeight w:val="628" w:hRule="atLeast"/>
        </w:trPr>
        <w:tc>
          <w:tcPr>
            <w:tcW w:w="1555" w:type="dxa"/>
          </w:tcPr>
          <w:p>
            <w:pPr>
              <w:pStyle w:val="TableParagraph"/>
              <w:spacing w:before="176"/>
              <w:ind w:left="9"/>
              <w:jc w:val="center"/>
              <w:rPr>
                <w:rFonts w:ascii="Times New Roman"/>
                <w:sz w:val="24"/>
              </w:rPr>
            </w:pPr>
            <w:r>
              <w:rPr>
                <w:rFonts w:ascii="Times New Roman"/>
                <w:spacing w:val="-4"/>
                <w:sz w:val="24"/>
              </w:rPr>
              <w:t>2021</w:t>
            </w:r>
          </w:p>
        </w:tc>
        <w:tc>
          <w:tcPr>
            <w:tcW w:w="7089" w:type="dxa"/>
          </w:tcPr>
          <w:p>
            <w:pPr>
              <w:pStyle w:val="TableParagraph"/>
              <w:spacing w:before="146"/>
              <w:ind w:left="227"/>
              <w:rPr>
                <w:sz w:val="24"/>
              </w:rPr>
            </w:pPr>
            <w:r>
              <w:rPr>
                <w:spacing w:val="-1"/>
                <w:sz w:val="24"/>
              </w:rPr>
              <w:t>併購卓和公司，進一步擴大醫療耗材的生產與製造能力。</w:t>
            </w:r>
          </w:p>
        </w:tc>
      </w:tr>
      <w:tr>
        <w:trPr>
          <w:trHeight w:val="1298" w:hRule="atLeast"/>
        </w:trPr>
        <w:tc>
          <w:tcPr>
            <w:tcW w:w="1555" w:type="dxa"/>
          </w:tcPr>
          <w:p>
            <w:pPr>
              <w:pStyle w:val="TableParagraph"/>
              <w:spacing w:before="179"/>
              <w:ind w:left="9"/>
              <w:jc w:val="center"/>
              <w:rPr>
                <w:rFonts w:ascii="Times New Roman"/>
                <w:sz w:val="24"/>
              </w:rPr>
            </w:pPr>
            <w:r>
              <w:rPr>
                <w:rFonts w:ascii="Times New Roman"/>
                <w:spacing w:val="-4"/>
                <w:sz w:val="24"/>
              </w:rPr>
              <w:t>2022</w:t>
            </w:r>
          </w:p>
        </w:tc>
        <w:tc>
          <w:tcPr>
            <w:tcW w:w="7089" w:type="dxa"/>
          </w:tcPr>
          <w:p>
            <w:pPr>
              <w:pStyle w:val="TableParagraph"/>
              <w:spacing w:line="540" w:lineRule="exact" w:before="22"/>
              <w:ind w:left="227" w:right="369"/>
              <w:rPr>
                <w:sz w:val="24"/>
              </w:rPr>
            </w:pPr>
            <w:r>
              <w:rPr>
                <w:spacing w:val="-2"/>
                <w:sz w:val="24"/>
              </w:rPr>
              <w:t>完成對瑞友資訊股份有限公司的收購，顯著提升市場占有率與業務影響力。</w:t>
            </w:r>
          </w:p>
        </w:tc>
      </w:tr>
      <w:tr>
        <w:trPr>
          <w:trHeight w:val="628" w:hRule="atLeast"/>
        </w:trPr>
        <w:tc>
          <w:tcPr>
            <w:tcW w:w="1555" w:type="dxa"/>
          </w:tcPr>
          <w:p>
            <w:pPr>
              <w:pStyle w:val="TableParagraph"/>
              <w:spacing w:before="176"/>
              <w:ind w:left="9"/>
              <w:jc w:val="center"/>
              <w:rPr>
                <w:rFonts w:ascii="Times New Roman"/>
                <w:sz w:val="24"/>
              </w:rPr>
            </w:pPr>
            <w:r>
              <w:rPr>
                <w:rFonts w:ascii="Times New Roman"/>
                <w:spacing w:val="-4"/>
                <w:sz w:val="24"/>
              </w:rPr>
              <w:t>2023</w:t>
            </w:r>
          </w:p>
        </w:tc>
        <w:tc>
          <w:tcPr>
            <w:tcW w:w="7089" w:type="dxa"/>
          </w:tcPr>
          <w:p>
            <w:pPr>
              <w:pStyle w:val="TableParagraph"/>
              <w:spacing w:before="146"/>
              <w:ind w:left="227"/>
              <w:rPr>
                <w:sz w:val="24"/>
              </w:rPr>
            </w:pPr>
            <w:r>
              <w:rPr>
                <w:sz w:val="24"/>
              </w:rPr>
              <w:t>推出「</w:t>
            </w:r>
            <w:r>
              <w:rPr>
                <w:rFonts w:ascii="Times New Roman" w:eastAsia="Times New Roman"/>
                <w:sz w:val="24"/>
              </w:rPr>
              <w:t>uCare</w:t>
            </w:r>
            <w:r>
              <w:rPr>
                <w:rFonts w:ascii="Times New Roman" w:eastAsia="Times New Roman"/>
                <w:spacing w:val="59"/>
                <w:sz w:val="24"/>
              </w:rPr>
              <w:t> </w:t>
            </w:r>
            <w:r>
              <w:rPr>
                <w:spacing w:val="-11"/>
                <w:sz w:val="24"/>
              </w:rPr>
              <w:t>長照資訊系統國際版」，並策略性投資春天藥局。</w:t>
            </w:r>
          </w:p>
        </w:tc>
      </w:tr>
      <w:tr>
        <w:trPr>
          <w:trHeight w:val="630" w:hRule="atLeast"/>
        </w:trPr>
        <w:tc>
          <w:tcPr>
            <w:tcW w:w="1555" w:type="dxa"/>
          </w:tcPr>
          <w:p>
            <w:pPr>
              <w:pStyle w:val="TableParagraph"/>
              <w:spacing w:before="176"/>
              <w:ind w:left="9"/>
              <w:jc w:val="center"/>
              <w:rPr>
                <w:rFonts w:ascii="Times New Roman"/>
                <w:sz w:val="24"/>
              </w:rPr>
            </w:pPr>
            <w:r>
              <w:rPr>
                <w:rFonts w:ascii="Times New Roman"/>
                <w:spacing w:val="-4"/>
                <w:sz w:val="24"/>
              </w:rPr>
              <w:t>2023</w:t>
            </w:r>
          </w:p>
        </w:tc>
        <w:tc>
          <w:tcPr>
            <w:tcW w:w="7089" w:type="dxa"/>
          </w:tcPr>
          <w:p>
            <w:pPr>
              <w:pStyle w:val="TableParagraph"/>
              <w:spacing w:before="146"/>
              <w:ind w:left="227"/>
              <w:rPr>
                <w:rFonts w:ascii="Times New Roman" w:eastAsia="Times New Roman"/>
                <w:sz w:val="24"/>
              </w:rPr>
            </w:pPr>
            <w:r>
              <w:rPr>
                <w:spacing w:val="-6"/>
                <w:sz w:val="24"/>
              </w:rPr>
              <w:t>登錄興櫃，股票代碼 </w:t>
            </w:r>
            <w:r>
              <w:rPr>
                <w:rFonts w:ascii="Times New Roman" w:eastAsia="Times New Roman"/>
                <w:spacing w:val="-4"/>
                <w:sz w:val="24"/>
              </w:rPr>
              <w:t>7724</w:t>
            </w:r>
          </w:p>
        </w:tc>
      </w:tr>
    </w:tbl>
    <w:p>
      <w:pPr>
        <w:pStyle w:val="BodyText"/>
        <w:spacing w:before="217"/>
        <w:ind w:left="3720"/>
        <w:jc w:val="left"/>
      </w:pPr>
      <w:r>
        <w:rPr>
          <w:spacing w:val="-1"/>
        </w:rPr>
        <w:t>資料來源：本研究整理</w:t>
      </w:r>
    </w:p>
    <w:p>
      <w:pPr>
        <w:pStyle w:val="BodyText"/>
        <w:spacing w:after="0"/>
        <w:jc w:val="left"/>
        <w:sectPr>
          <w:pgSz w:w="11910" w:h="16840"/>
          <w:pgMar w:header="0" w:footer="1197" w:top="1780" w:bottom="1380" w:left="1133" w:right="1133"/>
        </w:sectPr>
      </w:pPr>
    </w:p>
    <w:p>
      <w:pPr>
        <w:pStyle w:val="Heading1"/>
        <w:ind w:right="598"/>
      </w:pPr>
      <w:bookmarkStart w:name="_bookmark59" w:id="60"/>
      <w:bookmarkEnd w:id="60"/>
      <w:r>
        <w:rPr>
          <w:b w:val="0"/>
        </w:rPr>
      </w:r>
      <w:r>
        <w:rPr>
          <w:spacing w:val="-2"/>
        </w:rPr>
        <w:t>第五章、個案分析</w:t>
      </w:r>
    </w:p>
    <w:p>
      <w:pPr>
        <w:pStyle w:val="BodyText"/>
        <w:spacing w:line="422" w:lineRule="auto" w:before="349"/>
        <w:ind w:right="469" w:firstLine="479"/>
        <w:jc w:val="left"/>
      </w:pPr>
      <w:r>
        <w:rPr>
          <w:spacing w:val="-2"/>
        </w:rPr>
        <w:t>本章共分為四個小節，依據本研究架構，第一、二和三節描述了諾亞克科技在組織成長過程中的三個平台拓展方式，深入探討個案公司運用資源和諧之機</w:t>
      </w:r>
      <w:r>
        <w:rPr>
          <w:spacing w:val="80"/>
          <w:w w:val="150"/>
        </w:rPr>
        <w:t> </w:t>
      </w:r>
      <w:r>
        <w:rPr>
          <w:spacing w:val="-6"/>
        </w:rPr>
        <w:t>制，以組織重構和生態關係協調來補足自身不足，逐步建構大健康產業生態系統。</w:t>
      </w:r>
      <w:r>
        <w:rPr>
          <w:spacing w:val="-2"/>
        </w:rPr>
        <w:t>最後於第四節總結分析結果。</w:t>
      </w:r>
    </w:p>
    <w:p>
      <w:pPr>
        <w:pStyle w:val="Heading2"/>
        <w:numPr>
          <w:ilvl w:val="1"/>
          <w:numId w:val="22"/>
        </w:numPr>
        <w:tabs>
          <w:tab w:pos="1047" w:val="left" w:leader="none"/>
        </w:tabs>
        <w:spacing w:line="240" w:lineRule="auto" w:before="103" w:after="0"/>
        <w:ind w:left="1047" w:right="0" w:hanging="478"/>
        <w:jc w:val="left"/>
      </w:pPr>
      <w:bookmarkStart w:name="_bookmark60" w:id="61"/>
      <w:bookmarkEnd w:id="61"/>
      <w:r>
        <w:rPr>
          <w:rFonts w:ascii="Times New Roman" w:eastAsia="Times New Roman"/>
          <w:spacing w:val="-1"/>
        </w:rPr>
      </w:r>
      <w:r>
        <w:rPr>
          <w:spacing w:val="-5"/>
        </w:rPr>
        <w:t>第一階段：初期系統建構</w:t>
      </w:r>
    </w:p>
    <w:p>
      <w:pPr>
        <w:pStyle w:val="Heading2"/>
        <w:spacing w:before="309"/>
        <w:rPr>
          <w:position w:val="1"/>
        </w:rPr>
      </w:pPr>
      <w:r>
        <w:rPr>
          <w:b w:val="0"/>
        </w:rPr>
        <w:drawing>
          <wp:inline distT="0" distB="0" distL="0" distR="0">
            <wp:extent cx="390906" cy="145542"/>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79" cstate="print"/>
                    <a:stretch>
                      <a:fillRect/>
                    </a:stretch>
                  </pic:blipFill>
                  <pic:spPr>
                    <a:xfrm>
                      <a:off x="0" y="0"/>
                      <a:ext cx="390906"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61" w:id="62"/>
      <w:bookmarkEnd w:id="62"/>
      <w:r>
        <w:rPr>
          <w:rFonts w:ascii="Times New Roman" w:eastAsia="Times New Roman"/>
          <w:b w:val="0"/>
          <w:spacing w:val="-12"/>
          <w:position w:val="1"/>
          <w:sz w:val="20"/>
        </w:rPr>
      </w:r>
      <w:r>
        <w:rPr>
          <w:spacing w:val="-2"/>
          <w:position w:val="1"/>
        </w:rPr>
        <w:t>競爭環境</w:t>
      </w:r>
    </w:p>
    <w:p>
      <w:pPr>
        <w:pStyle w:val="Heading4"/>
        <w:spacing w:before="308"/>
      </w:pPr>
      <w:r>
        <w:rPr>
          <w:spacing w:val="-1"/>
        </w:rPr>
        <w:t>長照機構依賴紙本作業</w:t>
      </w:r>
    </w:p>
    <w:p>
      <w:pPr>
        <w:pStyle w:val="BodyText"/>
        <w:spacing w:line="422" w:lineRule="auto" w:before="358"/>
        <w:ind w:right="683" w:firstLine="479"/>
      </w:pPr>
      <w:r>
        <w:rPr/>
        <w:drawing>
          <wp:anchor distT="0" distB="0" distL="0" distR="0" allowOverlap="1" layoutInCell="1" locked="0" behindDoc="1" simplePos="0" relativeHeight="485805056">
            <wp:simplePos x="0" y="0"/>
            <wp:positionH relativeFrom="page">
              <wp:posOffset>3312414</wp:posOffset>
            </wp:positionH>
            <wp:positionV relativeFrom="paragraph">
              <wp:posOffset>251226</wp:posOffset>
            </wp:positionV>
            <wp:extent cx="929640" cy="978408"/>
            <wp:effectExtent l="0" t="0" r="0" b="0"/>
            <wp:wrapNone/>
            <wp:docPr id="147" name="Image 147"/>
            <wp:cNvGraphicFramePr>
              <a:graphicFrameLocks/>
            </wp:cNvGraphicFramePr>
            <a:graphic>
              <a:graphicData uri="http://schemas.openxmlformats.org/drawingml/2006/picture">
                <pic:pic>
                  <pic:nvPicPr>
                    <pic:cNvPr id="147" name="Image 147"/>
                    <pic:cNvPicPr/>
                  </pic:nvPicPr>
                  <pic:blipFill>
                    <a:blip r:embed="rId6" cstate="print"/>
                    <a:stretch>
                      <a:fillRect/>
                    </a:stretch>
                  </pic:blipFill>
                  <pic:spPr>
                    <a:xfrm>
                      <a:off x="0" y="0"/>
                      <a:ext cx="929640" cy="978408"/>
                    </a:xfrm>
                    <a:prstGeom prst="rect">
                      <a:avLst/>
                    </a:prstGeom>
                  </pic:spPr>
                </pic:pic>
              </a:graphicData>
            </a:graphic>
          </wp:anchor>
        </w:drawing>
      </w:r>
      <w:r>
        <w:rPr>
          <w:spacing w:val="-15"/>
        </w:rPr>
        <w:t>在 </w:t>
      </w:r>
      <w:r>
        <w:rPr>
          <w:rFonts w:ascii="Times New Roman" w:eastAsia="Times New Roman"/>
          <w:spacing w:val="-2"/>
        </w:rPr>
        <w:t>2012</w:t>
      </w:r>
      <w:r>
        <w:rPr>
          <w:rFonts w:ascii="Times New Roman" w:eastAsia="Times New Roman"/>
          <w:spacing w:val="-12"/>
        </w:rPr>
        <w:t> </w:t>
      </w:r>
      <w:r>
        <w:rPr>
          <w:spacing w:val="-2"/>
        </w:rPr>
        <w:t>年左右，臺灣的長期照護體系尚處於發展階段，大部分長照機構仍</w:t>
      </w:r>
      <w:r>
        <w:rPr>
          <w:spacing w:val="-4"/>
        </w:rPr>
        <w:t>高度依賴手寫紀錄作業。這種紙本作業模式在一定程度上維持了操作的簡易性，但也暴露出許多限制，例如資料的共享困難、記錄的準確性不足，以及無法進行有效的數據分析。紙本作業模式對護理人員的工作帶來了額外的行政負擔。他們必須花費大量時間在記錄、整理和管理紙本資料上，導致能夠專注於核心照護工</w:t>
      </w:r>
      <w:r>
        <w:rPr>
          <w:spacing w:val="-2"/>
        </w:rPr>
        <w:t>作的時間被壓縮。</w:t>
      </w:r>
    </w:p>
    <w:p>
      <w:pPr>
        <w:pStyle w:val="BodyText"/>
        <w:spacing w:line="422" w:lineRule="auto" w:before="101"/>
        <w:ind w:right="683" w:firstLine="479"/>
      </w:pPr>
      <w:r>
        <w:rPr>
          <w:spacing w:val="-9"/>
        </w:rPr>
        <w:t>此時， </w:t>
      </w:r>
      <w:r>
        <w:rPr>
          <w:rFonts w:ascii="Times New Roman" w:eastAsia="Times New Roman"/>
          <w:spacing w:val="-2"/>
        </w:rPr>
        <w:t>CDA</w:t>
      </w:r>
      <w:r>
        <w:rPr>
          <w:rFonts w:ascii="Times New Roman" w:eastAsia="Times New Roman"/>
          <w:spacing w:val="-13"/>
        </w:rPr>
        <w:t> </w:t>
      </w:r>
      <w:r>
        <w:rPr>
          <w:spacing w:val="-2"/>
        </w:rPr>
        <w:t>標準在醫療院所逐步被採用，它提供了一種結構化、標準化的</w:t>
      </w:r>
      <w:r>
        <w:rPr/>
        <w:t>數據格式，有助於醫療機構之間實現數據的有效交換與共享。</w:t>
      </w:r>
      <w:r>
        <w:rPr>
          <w:rFonts w:ascii="Times New Roman" w:eastAsia="Times New Roman"/>
        </w:rPr>
        <w:t>SaaS </w:t>
      </w:r>
      <w:r>
        <w:rPr/>
        <w:t>平台的特性</w:t>
      </w:r>
      <w:r>
        <w:rPr>
          <w:spacing w:val="-8"/>
        </w:rPr>
        <w:t>有機會將 </w:t>
      </w:r>
      <w:r>
        <w:rPr>
          <w:rFonts w:ascii="Times New Roman" w:eastAsia="Times New Roman"/>
          <w:spacing w:val="-2"/>
        </w:rPr>
        <w:t>CDA</w:t>
      </w:r>
      <w:r>
        <w:rPr>
          <w:rFonts w:ascii="Times New Roman" w:eastAsia="Times New Roman"/>
          <w:spacing w:val="-13"/>
        </w:rPr>
        <w:t> </w:t>
      </w:r>
      <w:r>
        <w:rPr>
          <w:spacing w:val="-2"/>
        </w:rPr>
        <w:t>作為數據交換的核心技術廣泛應用於醫療系統中，進一步推動醫療應用的互通性，促進了整個長期照護體系的數位轉型。</w:t>
      </w:r>
    </w:p>
    <w:p>
      <w:pPr>
        <w:spacing w:line="405" w:lineRule="auto" w:before="94"/>
        <w:ind w:left="1701" w:right="1696" w:firstLine="480"/>
        <w:jc w:val="both"/>
        <w:rPr>
          <w:sz w:val="25"/>
        </w:rPr>
      </w:pPr>
      <w:r>
        <w:rPr>
          <w:spacing w:val="-10"/>
          <w:sz w:val="25"/>
        </w:rPr>
        <w:t>「因為在 </w:t>
      </w:r>
      <w:r>
        <w:rPr>
          <w:rFonts w:ascii="Times New Roman" w:eastAsia="Times New Roman"/>
          <w:i/>
          <w:spacing w:val="-6"/>
          <w:sz w:val="24"/>
        </w:rPr>
        <w:t>12</w:t>
      </w:r>
      <w:r>
        <w:rPr>
          <w:rFonts w:ascii="Times New Roman" w:eastAsia="Times New Roman"/>
          <w:i/>
          <w:spacing w:val="-9"/>
          <w:sz w:val="24"/>
        </w:rPr>
        <w:t> </w:t>
      </w:r>
      <w:r>
        <w:rPr>
          <w:spacing w:val="-6"/>
          <w:sz w:val="25"/>
        </w:rPr>
        <w:t>年前那個時候，其實很多長照單位他們是</w:t>
      </w:r>
      <w:r>
        <w:rPr>
          <w:spacing w:val="-12"/>
          <w:sz w:val="25"/>
        </w:rPr>
        <w:t>完全就是紙本化，所以那時候我們很簡單的想法，這東西應</w:t>
      </w:r>
      <w:r>
        <w:rPr>
          <w:spacing w:val="-13"/>
          <w:sz w:val="25"/>
        </w:rPr>
        <w:t>該要用一個網頁就可以把它處理掉。」</w:t>
      </w:r>
      <w:r>
        <w:rPr>
          <w:spacing w:val="-6"/>
          <w:sz w:val="25"/>
        </w:rPr>
        <w:t>（林恩羽研發副總， </w:t>
      </w:r>
      <w:r>
        <w:rPr>
          <w:rFonts w:ascii="Times New Roman" w:eastAsia="Times New Roman"/>
          <w:i/>
          <w:sz w:val="24"/>
        </w:rPr>
        <w:t>2024 </w:t>
      </w:r>
      <w:r>
        <w:rPr>
          <w:sz w:val="25"/>
        </w:rPr>
        <w:t>訪談資料）</w:t>
      </w:r>
    </w:p>
    <w:p>
      <w:pPr>
        <w:spacing w:after="0" w:line="405" w:lineRule="auto"/>
        <w:jc w:val="both"/>
        <w:rPr>
          <w:sz w:val="25"/>
        </w:rPr>
        <w:sectPr>
          <w:pgSz w:w="11910" w:h="16840"/>
          <w:pgMar w:header="0" w:footer="1197" w:top="1780" w:bottom="1380" w:left="1133" w:right="1133"/>
        </w:sectPr>
      </w:pPr>
    </w:p>
    <w:p>
      <w:pPr>
        <w:pStyle w:val="Heading4"/>
        <w:spacing w:line="389" w:lineRule="exact"/>
      </w:pPr>
      <w:r>
        <w:rPr>
          <w:spacing w:val="-1"/>
        </w:rPr>
        <w:t>系統往往以個案形式出現，難以互通</w:t>
      </w:r>
    </w:p>
    <w:p>
      <w:pPr>
        <w:pStyle w:val="BodyText"/>
        <w:spacing w:line="422" w:lineRule="auto" w:before="358"/>
        <w:ind w:right="683" w:firstLine="479"/>
      </w:pPr>
      <w:r>
        <w:rPr>
          <w:spacing w:val="-2"/>
        </w:rPr>
        <w:t>台灣長期照護領域中的資訊系統多以個案形式開發，難以實現跨平台或跨</w:t>
      </w:r>
      <w:r>
        <w:rPr>
          <w:spacing w:val="-4"/>
        </w:rPr>
        <w:t>機構的整合性，這導致了諸多問題，包括重複輸入、資料更新延遲，以及跨機構協作困難。以電子化系統為例，其設計初衷在於提升工作效率，減輕照服員的負</w:t>
      </w:r>
      <w:r>
        <w:rPr>
          <w:spacing w:val="-4"/>
        </w:rPr>
        <w:t>擔，但實際運作卻往往事與願違。照服員仍需先以紙本方式記錄，再將紙本資料手動輸入電子系統，這種繁瑣的流程不僅增加了工作量，還延長了資料處理的時間。此外，某些電子系統雖具備自動記錄功能，但在跨平台應用時仍需進行逐筆</w:t>
      </w:r>
      <w:r>
        <w:rPr>
          <w:spacing w:val="-2"/>
        </w:rPr>
        <w:t>資料轉移，導致即時更新能力受到限制。</w:t>
      </w:r>
    </w:p>
    <w:p>
      <w:pPr>
        <w:spacing w:line="405" w:lineRule="auto" w:before="90"/>
        <w:ind w:left="1701" w:right="1701" w:firstLine="480"/>
        <w:jc w:val="both"/>
        <w:rPr>
          <w:sz w:val="25"/>
        </w:rPr>
      </w:pPr>
      <w:r>
        <w:rPr>
          <w:spacing w:val="-12"/>
          <w:sz w:val="25"/>
        </w:rPr>
        <w:t>「很多其他資訊廠商可能只專注於機構系統，或者只做</w:t>
      </w:r>
      <w:r>
        <w:rPr>
          <w:spacing w:val="-16"/>
          <w:sz w:val="25"/>
        </w:rPr>
        <w:t>居家服務的系統。」</w:t>
      </w:r>
      <w:r>
        <w:rPr>
          <w:spacing w:val="-2"/>
          <w:sz w:val="25"/>
        </w:rPr>
        <w:t>（林恩羽研發副總，</w:t>
      </w:r>
      <w:r>
        <w:rPr>
          <w:rFonts w:ascii="Times New Roman" w:eastAsia="Times New Roman"/>
          <w:i/>
          <w:spacing w:val="-2"/>
          <w:sz w:val="24"/>
        </w:rPr>
        <w:t>2023</w:t>
      </w:r>
      <w:r>
        <w:rPr>
          <w:rFonts w:ascii="Times New Roman" w:eastAsia="Times New Roman"/>
          <w:i/>
          <w:spacing w:val="-13"/>
          <w:sz w:val="24"/>
        </w:rPr>
        <w:t> </w:t>
      </w:r>
      <w:r>
        <w:rPr>
          <w:spacing w:val="-2"/>
          <w:sz w:val="25"/>
        </w:rPr>
        <w:t>訪談資料）</w:t>
      </w:r>
    </w:p>
    <w:p>
      <w:pPr>
        <w:pStyle w:val="Heading2"/>
        <w:spacing w:before="112"/>
        <w:rPr>
          <w:position w:val="1"/>
        </w:rPr>
      </w:pPr>
      <w:r>
        <w:rPr>
          <w:position w:val="1"/>
        </w:rPr>
        <w:drawing>
          <wp:anchor distT="0" distB="0" distL="0" distR="0" allowOverlap="1" layoutInCell="1" locked="0" behindDoc="1" simplePos="0" relativeHeight="485805568">
            <wp:simplePos x="0" y="0"/>
            <wp:positionH relativeFrom="page">
              <wp:posOffset>3312414</wp:posOffset>
            </wp:positionH>
            <wp:positionV relativeFrom="paragraph">
              <wp:posOffset>74189</wp:posOffset>
            </wp:positionV>
            <wp:extent cx="929640" cy="978408"/>
            <wp:effectExtent l="0" t="0" r="0" b="0"/>
            <wp:wrapNone/>
            <wp:docPr id="148" name="Image 148"/>
            <wp:cNvGraphicFramePr>
              <a:graphicFrameLocks/>
            </wp:cNvGraphicFramePr>
            <a:graphic>
              <a:graphicData uri="http://schemas.openxmlformats.org/drawingml/2006/picture">
                <pic:pic>
                  <pic:nvPicPr>
                    <pic:cNvPr id="148" name="Image 148"/>
                    <pic:cNvPicPr/>
                  </pic:nvPicPr>
                  <pic:blipFill>
                    <a:blip r:embed="rId6" cstate="print"/>
                    <a:stretch>
                      <a:fillRect/>
                    </a:stretch>
                  </pic:blipFill>
                  <pic:spPr>
                    <a:xfrm>
                      <a:off x="0" y="0"/>
                      <a:ext cx="929640" cy="978408"/>
                    </a:xfrm>
                    <a:prstGeom prst="rect">
                      <a:avLst/>
                    </a:prstGeom>
                  </pic:spPr>
                </pic:pic>
              </a:graphicData>
            </a:graphic>
          </wp:anchor>
        </w:drawing>
      </w:r>
      <w:r>
        <w:rPr>
          <w:b w:val="0"/>
        </w:rPr>
        <w:drawing>
          <wp:inline distT="0" distB="0" distL="0" distR="0">
            <wp:extent cx="397002" cy="145541"/>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80" cstate="print"/>
                    <a:stretch>
                      <a:fillRect/>
                    </a:stretch>
                  </pic:blipFill>
                  <pic:spPr>
                    <a:xfrm>
                      <a:off x="0" y="0"/>
                      <a:ext cx="397002" cy="145541"/>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62" w:id="63"/>
      <w:bookmarkEnd w:id="63"/>
      <w:r>
        <w:rPr>
          <w:rFonts w:ascii="Times New Roman" w:eastAsia="Times New Roman"/>
          <w:b w:val="0"/>
          <w:spacing w:val="-22"/>
          <w:position w:val="1"/>
          <w:sz w:val="20"/>
        </w:rPr>
      </w:r>
      <w:r>
        <w:rPr>
          <w:spacing w:val="-2"/>
          <w:position w:val="1"/>
        </w:rPr>
        <w:t>組織策略</w:t>
      </w:r>
    </w:p>
    <w:p>
      <w:pPr>
        <w:pStyle w:val="BodyText"/>
        <w:spacing w:line="422" w:lineRule="auto" w:before="387"/>
        <w:ind w:right="683" w:firstLine="479"/>
      </w:pPr>
      <w:r>
        <w:rPr>
          <w:spacing w:val="-6"/>
        </w:rPr>
        <w:t>在新開發階段，市場上缺乏類似產品可供參考，諾亞克選擇以「需求採用」</w:t>
      </w:r>
      <w:r>
        <w:rPr>
          <w:spacing w:val="-4"/>
        </w:rPr>
        <w:t>作為產品開發和市場拓展的策略基石。這種以需求為導向的開發模式，使諾亞克的產品在功能上更加實用且精準，與市場需求高度契合。與其他同業公司相比，諾亞克的產品開發策略更注重整合性服務的價值。同時，諾亞克在早期建立的使用者需求資料庫與市場反饋機制，成為其迭代開發的重要資產。這些資產確保其</w:t>
      </w:r>
      <w:r>
        <w:rPr>
          <w:spacing w:val="-2"/>
        </w:rPr>
        <w:t>產品能隨著市場需求的變化而不斷進步，進一步強化了未來的技術升級和市場擴展的資源基礎。</w:t>
      </w:r>
    </w:p>
    <w:p>
      <w:pPr>
        <w:spacing w:line="405" w:lineRule="auto" w:before="90"/>
        <w:ind w:left="1701" w:right="1699" w:firstLine="480"/>
        <w:jc w:val="both"/>
        <w:rPr>
          <w:sz w:val="25"/>
        </w:rPr>
      </w:pPr>
      <w:r>
        <w:rPr>
          <w:spacing w:val="-12"/>
          <w:sz w:val="25"/>
        </w:rPr>
        <w:t>「回到十年前，當我們第一次為護理之家開發資訊系統時，是我、執行長和副總三個人親自到護理站蹲點。觀察他們的工作流程，我們公司的產品從來不是關在辦公室裡自己</w:t>
      </w:r>
      <w:r>
        <w:rPr>
          <w:spacing w:val="-27"/>
          <w:sz w:val="25"/>
        </w:rPr>
        <w:t>想像出來的，而是從實際需求中得來的。</w:t>
      </w:r>
      <w:r>
        <w:rPr>
          <w:spacing w:val="-224"/>
          <w:sz w:val="25"/>
        </w:rPr>
        <w:t>」</w:t>
      </w:r>
      <w:r>
        <w:rPr>
          <w:spacing w:val="-14"/>
          <w:sz w:val="25"/>
        </w:rPr>
        <w:t>（</w:t>
      </w:r>
      <w:r>
        <w:rPr>
          <w:spacing w:val="-20"/>
          <w:sz w:val="25"/>
        </w:rPr>
        <w:t>林恩羽研發副總，</w:t>
      </w:r>
      <w:r>
        <w:rPr>
          <w:spacing w:val="-14"/>
          <w:sz w:val="25"/>
        </w:rPr>
        <w:t> </w:t>
      </w:r>
      <w:r>
        <w:rPr>
          <w:rFonts w:ascii="Times New Roman" w:eastAsia="Times New Roman"/>
          <w:i/>
          <w:sz w:val="24"/>
        </w:rPr>
        <w:t>2024 </w:t>
      </w:r>
      <w:r>
        <w:rPr>
          <w:sz w:val="25"/>
        </w:rPr>
        <w:t>訪談資料）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3953" cy="145542"/>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81" cstate="print"/>
                    <a:stretch>
                      <a:fillRect/>
                    </a:stretch>
                  </pic:blipFill>
                  <pic:spPr>
                    <a:xfrm>
                      <a:off x="0" y="0"/>
                      <a:ext cx="393953" cy="145542"/>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63" w:id="64"/>
      <w:bookmarkEnd w:id="64"/>
      <w:r>
        <w:rPr>
          <w:rFonts w:ascii="Times New Roman" w:eastAsia="Times New Roman"/>
          <w:b w:val="0"/>
          <w:spacing w:val="-17"/>
          <w:position w:val="1"/>
          <w:sz w:val="20"/>
        </w:rPr>
      </w:r>
      <w:r>
        <w:rPr>
          <w:spacing w:val="-2"/>
          <w:position w:val="1"/>
        </w:rPr>
        <w:t>市場邊界</w:t>
      </w:r>
    </w:p>
    <w:p>
      <w:pPr>
        <w:pStyle w:val="Heading3"/>
        <w:rPr>
          <w:position w:val="1"/>
        </w:rPr>
      </w:pPr>
      <w:r>
        <w:rPr>
          <w:b w:val="0"/>
        </w:rPr>
        <w:drawing>
          <wp:inline distT="0" distB="0" distL="0" distR="0">
            <wp:extent cx="529590" cy="130301"/>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82"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市場跨界探索</w:t>
      </w:r>
    </w:p>
    <w:p>
      <w:pPr>
        <w:pStyle w:val="Heading4"/>
        <w:spacing w:before="340"/>
      </w:pPr>
      <w:r>
        <w:rPr>
          <w:spacing w:val="-1"/>
        </w:rPr>
        <w:t>醫療與資訊技術的溝通鴻溝</w:t>
      </w:r>
    </w:p>
    <w:p>
      <w:pPr>
        <w:pStyle w:val="BodyText"/>
        <w:spacing w:line="422" w:lineRule="auto" w:before="358"/>
        <w:ind w:right="683" w:firstLine="479"/>
      </w:pPr>
      <w:r>
        <w:rPr>
          <w:spacing w:val="-6"/>
        </w:rPr>
        <w:t>臺灣在醫療與資訊技術兩個領域均展現了卓越的發展實力。然而，這兩個領</w:t>
      </w:r>
      <w:r>
        <w:rPr>
          <w:spacing w:val="-4"/>
        </w:rPr>
        <w:t>域的專業人士在知識基礎、思維模式和工作流程上存在顯著差異，使得醫療資訊系統的開發與實施過程中常出現溝通不暢、誤解甚至衝突的現象。這種溝通鴻溝</w:t>
      </w:r>
      <w:r>
        <w:rPr>
          <w:spacing w:val="-2"/>
        </w:rPr>
        <w:t>成為數位化轉型與智能醫療發展的一大障礙。</w:t>
      </w:r>
    </w:p>
    <w:p>
      <w:pPr>
        <w:pStyle w:val="BodyText"/>
        <w:spacing w:line="422" w:lineRule="auto" w:before="104"/>
        <w:ind w:right="683" w:firstLine="479"/>
      </w:pPr>
      <w:r>
        <w:rPr/>
        <w:drawing>
          <wp:anchor distT="0" distB="0" distL="0" distR="0" allowOverlap="1" layoutInCell="1" locked="0" behindDoc="1" simplePos="0" relativeHeight="485806080">
            <wp:simplePos x="0" y="0"/>
            <wp:positionH relativeFrom="page">
              <wp:posOffset>3312414</wp:posOffset>
            </wp:positionH>
            <wp:positionV relativeFrom="paragraph">
              <wp:posOffset>706994</wp:posOffset>
            </wp:positionV>
            <wp:extent cx="929640" cy="978408"/>
            <wp:effectExtent l="0" t="0" r="0" b="0"/>
            <wp:wrapNone/>
            <wp:docPr id="152" name="Image 152"/>
            <wp:cNvGraphicFramePr>
              <a:graphicFrameLocks/>
            </wp:cNvGraphicFramePr>
            <a:graphic>
              <a:graphicData uri="http://schemas.openxmlformats.org/drawingml/2006/picture">
                <pic:pic>
                  <pic:nvPicPr>
                    <pic:cNvPr id="152" name="Image 152"/>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醫療專業人士通常更專注於臨床需求、患者安全和醫療流程的效率，對資訊</w:t>
      </w:r>
      <w:r>
        <w:rPr>
          <w:spacing w:val="-4"/>
        </w:rPr>
        <w:t>技術的了解相對有限。而資訊技術專家則傾向於從技術可行性、系統性能和數據結構的角度來看待問題，對醫療現場的細節和實際需求缺乏深入理解。例如，醫</w:t>
      </w:r>
      <w:r>
        <w:rPr/>
        <w:t>療人員可能提出某些工作流程的具體需求，但資訊技術團隊在系統設計時可能</w:t>
      </w:r>
      <w:r>
        <w:rPr>
          <w:spacing w:val="-2"/>
        </w:rPr>
        <w:t>更關注技術實現的便利性，導致系統功能與臨床實際需求之間出現差距。</w:t>
      </w:r>
    </w:p>
    <w:p>
      <w:pPr>
        <w:pStyle w:val="BodyText"/>
        <w:spacing w:line="422" w:lineRule="auto" w:before="102"/>
        <w:ind w:right="683" w:firstLine="479"/>
      </w:pPr>
      <w:r>
        <w:rPr>
          <w:spacing w:val="-2"/>
        </w:rPr>
        <w:t>這種跨領域的差異也體現在語言和概念的不同上。醫療人員習慣使用醫學</w:t>
      </w:r>
      <w:r>
        <w:rPr>
          <w:spacing w:val="-4"/>
        </w:rPr>
        <w:t>術語和臨床語境，而資訊技術專家則偏向技術術語和系統架構設計。這不僅影響</w:t>
      </w:r>
      <w:r>
        <w:rPr>
          <w:spacing w:val="-2"/>
        </w:rPr>
        <w:t>了雙方在需求定義階段的精準溝通，也對系統實施後的優化與改進形成挑戰。</w:t>
      </w:r>
    </w:p>
    <w:p>
      <w:pPr>
        <w:spacing w:line="405" w:lineRule="auto" w:before="94"/>
        <w:ind w:left="1701" w:right="1641" w:firstLine="480"/>
        <w:jc w:val="both"/>
        <w:rPr>
          <w:sz w:val="25"/>
        </w:rPr>
      </w:pPr>
      <w:r>
        <w:rPr>
          <w:spacing w:val="-8"/>
          <w:sz w:val="25"/>
        </w:rPr>
        <w:t>「當時我和家緯（合夥人）一起創業，我們兩個之前都在醫院工作，他是醫生，而我是工程師。雖然我們都來自醫療領域，但溝通上經常出現問題。他說的我不見得聽得懂，而我說的他也未必理解。這種溝通差距在醫療院所中非常常見，尤其是這兩個領域都是台灣最頂尖的專業群體。因此，</w:t>
      </w:r>
      <w:r>
        <w:rPr>
          <w:spacing w:val="-12"/>
          <w:sz w:val="25"/>
        </w:rPr>
        <w:t>我們一開始就想為這個問題做點什麼，於是決定創業。</w:t>
      </w:r>
      <w:r>
        <w:rPr>
          <w:spacing w:val="-161"/>
          <w:sz w:val="25"/>
        </w:rPr>
        <w:t>」</w:t>
      </w:r>
      <w:r>
        <w:rPr>
          <w:spacing w:val="-12"/>
          <w:sz w:val="25"/>
        </w:rPr>
        <w:t>（沈</w:t>
      </w:r>
      <w:r>
        <w:rPr>
          <w:spacing w:val="-2"/>
          <w:sz w:val="25"/>
        </w:rPr>
        <w:t>家平執行長，天下雜誌資料）</w:t>
      </w:r>
    </w:p>
    <w:p>
      <w:pPr>
        <w:spacing w:after="0" w:line="405" w:lineRule="auto"/>
        <w:jc w:val="both"/>
        <w:rPr>
          <w:sz w:val="25"/>
        </w:rPr>
        <w:sectPr>
          <w:pgSz w:w="11910" w:h="16840"/>
          <w:pgMar w:header="0" w:footer="1197" w:top="1800" w:bottom="1380" w:left="1133" w:right="1133"/>
        </w:sectPr>
      </w:pPr>
    </w:p>
    <w:p>
      <w:pPr>
        <w:pStyle w:val="Heading4"/>
        <w:spacing w:line="389" w:lineRule="exact"/>
      </w:pPr>
      <w:r>
        <w:rPr>
          <w:spacing w:val="-1"/>
        </w:rPr>
        <w:t>遠距照護的嘗試與轉型</w:t>
      </w:r>
    </w:p>
    <w:p>
      <w:pPr>
        <w:pStyle w:val="BodyText"/>
        <w:spacing w:line="422" w:lineRule="auto" w:before="358"/>
        <w:ind w:right="682" w:firstLine="479"/>
      </w:pPr>
      <w:r>
        <w:rPr>
          <w:spacing w:val="-6"/>
        </w:rPr>
        <w:t>在創立之初，諾亞克原本的市場策略是聚焦於遠距照護領域，特別是生理數</w:t>
      </w:r>
      <w:r>
        <w:rPr/>
        <w:t>據的即時上傳與監測。然而，</w:t>
      </w:r>
      <w:r>
        <w:rPr>
          <w:rFonts w:ascii="Times New Roman" w:eastAsia="Times New Roman"/>
        </w:rPr>
        <w:t>10 </w:t>
      </w:r>
      <w:r>
        <w:rPr/>
        <w:t>年前的市場環境尚不成熟，主要表現在硬體設</w:t>
      </w:r>
      <w:r>
        <w:rPr>
          <w:spacing w:val="-4"/>
        </w:rPr>
        <w:t>備的不完善以及法規制度的限制。當時遠距照護的需求尚未被廣泛接受，且支持技術的基礎設施也無法滿足商業化運營的需求。在實際執行過程中，這些外部挑戰促使諾亞克重新審視自身的定位與發展方向。經過一段時間的探索，團隊意識</w:t>
      </w:r>
      <w:r>
        <w:rPr>
          <w:spacing w:val="-4"/>
        </w:rPr>
        <w:t>到，遠距照護的市場需求較低，無法有效帶動整體業務發展。因此，公司正重新</w:t>
      </w:r>
      <w:r>
        <w:rPr>
          <w:spacing w:val="-2"/>
        </w:rPr>
        <w:t>思考將自身技術運用在其他領域。</w:t>
      </w:r>
    </w:p>
    <w:p>
      <w:pPr>
        <w:spacing w:line="405" w:lineRule="auto" w:before="90"/>
        <w:ind w:left="1701" w:right="1640" w:firstLine="480"/>
        <w:jc w:val="both"/>
        <w:rPr>
          <w:sz w:val="25"/>
        </w:rPr>
      </w:pPr>
      <w:r>
        <w:rPr>
          <w:sz w:val="25"/>
        </w:rPr>
        <w:drawing>
          <wp:anchor distT="0" distB="0" distL="0" distR="0" allowOverlap="1" layoutInCell="1" locked="0" behindDoc="1" simplePos="0" relativeHeight="485806592">
            <wp:simplePos x="0" y="0"/>
            <wp:positionH relativeFrom="page">
              <wp:posOffset>3312414</wp:posOffset>
            </wp:positionH>
            <wp:positionV relativeFrom="paragraph">
              <wp:posOffset>818826</wp:posOffset>
            </wp:positionV>
            <wp:extent cx="929640" cy="978408"/>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6" cstate="print"/>
                    <a:stretch>
                      <a:fillRect/>
                    </a:stretch>
                  </pic:blipFill>
                  <pic:spPr>
                    <a:xfrm>
                      <a:off x="0" y="0"/>
                      <a:ext cx="929640" cy="978408"/>
                    </a:xfrm>
                    <a:prstGeom prst="rect">
                      <a:avLst/>
                    </a:prstGeom>
                  </pic:spPr>
                </pic:pic>
              </a:graphicData>
            </a:graphic>
          </wp:anchor>
        </w:drawing>
      </w:r>
      <w:r>
        <w:rPr>
          <w:spacing w:val="-8"/>
          <w:sz w:val="25"/>
        </w:rPr>
        <w:t>「當初我們創立據點時，原本的構想是要做遠距照護，主要聚焦在生理數據的上傳。然而在實際執行過程中，我們</w:t>
      </w:r>
      <w:r>
        <w:rPr>
          <w:spacing w:val="-12"/>
          <w:sz w:val="25"/>
        </w:rPr>
        <w:t>發現這個方向市場並沒有起來，做不太出來。</w:t>
      </w:r>
      <w:r>
        <w:rPr>
          <w:spacing w:val="-159"/>
          <w:sz w:val="25"/>
        </w:rPr>
        <w:t>」</w:t>
      </w:r>
      <w:r>
        <w:rPr>
          <w:spacing w:val="-12"/>
          <w:sz w:val="25"/>
        </w:rPr>
        <w:t>（林恩羽研發</w:t>
      </w:r>
      <w:r>
        <w:rPr>
          <w:sz w:val="25"/>
        </w:rPr>
        <w:t>副總，</w:t>
      </w:r>
      <w:r>
        <w:rPr>
          <w:rFonts w:ascii="Times New Roman" w:eastAsia="Times New Roman"/>
          <w:i/>
          <w:sz w:val="24"/>
        </w:rPr>
        <w:t>2024 </w:t>
      </w:r>
      <w:r>
        <w:rPr>
          <w:sz w:val="25"/>
        </w:rPr>
        <w:t>訪談資料）</w:t>
      </w:r>
    </w:p>
    <w:p>
      <w:pPr>
        <w:pStyle w:val="Heading4"/>
        <w:spacing w:before="106"/>
      </w:pPr>
      <w:r>
        <w:rPr>
          <w:spacing w:val="-1"/>
        </w:rPr>
        <w:t>市場缺乏專屬於居家護理的系統</w:t>
      </w:r>
    </w:p>
    <w:p>
      <w:pPr>
        <w:pStyle w:val="BodyText"/>
        <w:spacing w:line="422" w:lineRule="auto" w:before="358"/>
        <w:ind w:right="685" w:firstLine="479"/>
      </w:pPr>
      <w:r>
        <w:rPr>
          <w:spacing w:val="-2"/>
        </w:rPr>
        <w:t>許多居家護理所為了進行健保申報而依賴老舊的診所系統，這些系統多為</w:t>
      </w:r>
      <w:r>
        <w:rPr>
          <w:spacing w:val="-6"/>
        </w:rPr>
        <w:t>過時的且介面並不直觀，與當代技術的發展脫節。此外，除了健保申報使用系統</w:t>
      </w:r>
      <w:r>
        <w:rPr>
          <w:spacing w:val="-5"/>
        </w:rPr>
        <w:t>外，個案管理仍依賴 </w:t>
      </w:r>
      <w:r>
        <w:rPr>
          <w:rFonts w:ascii="Times New Roman" w:eastAsia="Times New Roman"/>
          <w:spacing w:val="-2"/>
        </w:rPr>
        <w:t>Excel</w:t>
      </w:r>
      <w:r>
        <w:rPr>
          <w:rFonts w:ascii="Times New Roman" w:eastAsia="Times New Roman"/>
          <w:spacing w:val="-13"/>
        </w:rPr>
        <w:t> </w:t>
      </w:r>
      <w:r>
        <w:rPr>
          <w:spacing w:val="-15"/>
        </w:rPr>
        <w:t>或 </w:t>
      </w:r>
      <w:r>
        <w:rPr>
          <w:rFonts w:ascii="Times New Roman" w:eastAsia="Times New Roman"/>
          <w:spacing w:val="-2"/>
        </w:rPr>
        <w:t>Word</w:t>
      </w:r>
      <w:r>
        <w:rPr>
          <w:rFonts w:ascii="Times New Roman" w:eastAsia="Times New Roman"/>
          <w:spacing w:val="-13"/>
        </w:rPr>
        <w:t> </w:t>
      </w:r>
      <w:r>
        <w:rPr>
          <w:spacing w:val="-2"/>
        </w:rPr>
        <w:t>等手動方式，效率低且易出錯。這引起了諾</w:t>
      </w:r>
      <w:r>
        <w:rPr>
          <w:spacing w:val="-6"/>
        </w:rPr>
        <w:t>亞克的注意。看見這種情況，研發團隊決定進軍居家護理領域，尋找改進和革新</w:t>
      </w:r>
      <w:r>
        <w:rPr>
          <w:spacing w:val="-4"/>
        </w:rPr>
        <w:t>的空間。</w:t>
      </w:r>
    </w:p>
    <w:p>
      <w:pPr>
        <w:spacing w:line="405" w:lineRule="auto" w:before="92"/>
        <w:ind w:left="1701" w:right="1697" w:firstLine="480"/>
        <w:jc w:val="both"/>
        <w:rPr>
          <w:sz w:val="25"/>
        </w:rPr>
      </w:pPr>
      <w:r>
        <w:rPr>
          <w:spacing w:val="-12"/>
          <w:sz w:val="25"/>
        </w:rPr>
        <w:t>「居家護理所在使用診所系統進行健保申報，這些診所</w:t>
      </w:r>
      <w:r>
        <w:rPr>
          <w:spacing w:val="-16"/>
          <w:sz w:val="25"/>
        </w:rPr>
        <w:t>系統通常很老舊，還是類似 </w:t>
      </w:r>
      <w:r>
        <w:rPr>
          <w:rFonts w:ascii="Times New Roman" w:eastAsia="Times New Roman"/>
          <w:i/>
          <w:spacing w:val="-16"/>
          <w:sz w:val="24"/>
        </w:rPr>
        <w:t>DOS</w:t>
      </w:r>
      <w:r>
        <w:rPr>
          <w:rFonts w:ascii="Times New Roman" w:eastAsia="Times New Roman"/>
          <w:i/>
          <w:spacing w:val="2"/>
          <w:sz w:val="24"/>
        </w:rPr>
        <w:t> </w:t>
      </w:r>
      <w:r>
        <w:rPr>
          <w:spacing w:val="-16"/>
          <w:sz w:val="25"/>
        </w:rPr>
        <w:t>介面的藍綠色畫面。當時我</w:t>
      </w:r>
      <w:r>
        <w:rPr>
          <w:spacing w:val="-15"/>
          <w:sz w:val="25"/>
        </w:rPr>
        <w:t>們覺得非常不可思議，因為已經到了 </w:t>
      </w:r>
      <w:r>
        <w:rPr>
          <w:rFonts w:ascii="Times New Roman" w:eastAsia="Times New Roman"/>
          <w:i/>
          <w:spacing w:val="-14"/>
          <w:sz w:val="24"/>
        </w:rPr>
        <w:t>2015</w:t>
      </w:r>
      <w:r>
        <w:rPr>
          <w:spacing w:val="-14"/>
          <w:sz w:val="25"/>
        </w:rPr>
        <w:t>、</w:t>
      </w:r>
      <w:r>
        <w:rPr>
          <w:rFonts w:ascii="Times New Roman" w:eastAsia="Times New Roman"/>
          <w:i/>
          <w:spacing w:val="-14"/>
          <w:sz w:val="24"/>
        </w:rPr>
        <w:t>2016</w:t>
      </w:r>
      <w:r>
        <w:rPr>
          <w:rFonts w:ascii="Times New Roman" w:eastAsia="Times New Roman"/>
          <w:i/>
          <w:spacing w:val="5"/>
          <w:sz w:val="24"/>
        </w:rPr>
        <w:t> </w:t>
      </w:r>
      <w:r>
        <w:rPr>
          <w:spacing w:val="-14"/>
          <w:sz w:val="25"/>
        </w:rPr>
        <w:t>年，</w:t>
      </w:r>
      <w:r>
        <w:rPr>
          <w:rFonts w:ascii="Times New Roman" w:eastAsia="Times New Roman"/>
          <w:i/>
          <w:spacing w:val="-14"/>
          <w:sz w:val="24"/>
        </w:rPr>
        <w:t>iPhone5</w:t>
      </w:r>
      <w:r>
        <w:rPr>
          <w:spacing w:val="-12"/>
          <w:sz w:val="25"/>
        </w:rPr>
        <w:t>都已經出來了，台灣的醫療界卻還在用這麼傳統的系統。因此，我們決定切入居家護理這一塊，看看是否有我們可以改</w:t>
      </w:r>
    </w:p>
    <w:p>
      <w:pPr>
        <w:spacing w:line="314" w:lineRule="exact" w:before="0"/>
        <w:ind w:left="1701" w:right="0" w:firstLine="0"/>
        <w:jc w:val="both"/>
        <w:rPr>
          <w:sz w:val="25"/>
        </w:rPr>
      </w:pPr>
      <w:r>
        <w:rPr>
          <w:spacing w:val="-29"/>
          <w:sz w:val="25"/>
        </w:rPr>
        <w:t>變的地方。」</w:t>
      </w:r>
      <w:r>
        <w:rPr>
          <w:spacing w:val="-10"/>
          <w:sz w:val="25"/>
        </w:rPr>
        <w:t>（林恩羽研發副總，</w:t>
      </w:r>
      <w:r>
        <w:rPr>
          <w:rFonts w:ascii="Times New Roman" w:eastAsia="Times New Roman"/>
          <w:i/>
          <w:spacing w:val="-10"/>
          <w:sz w:val="24"/>
        </w:rPr>
        <w:t>2023</w:t>
      </w:r>
      <w:r>
        <w:rPr>
          <w:rFonts w:ascii="Times New Roman" w:eastAsia="Times New Roman"/>
          <w:i/>
          <w:spacing w:val="30"/>
          <w:sz w:val="24"/>
        </w:rPr>
        <w:t> </w:t>
      </w:r>
      <w:r>
        <w:rPr>
          <w:spacing w:val="-10"/>
          <w:sz w:val="25"/>
        </w:rPr>
        <w:t>訪談資料）</w:t>
      </w:r>
    </w:p>
    <w:p>
      <w:pPr>
        <w:spacing w:after="0" w:line="314" w:lineRule="exact"/>
        <w:jc w:val="both"/>
        <w:rPr>
          <w:sz w:val="25"/>
        </w:rPr>
        <w:sectPr>
          <w:pgSz w:w="11910" w:h="16840"/>
          <w:pgMar w:header="0" w:footer="1197" w:top="1760" w:bottom="1380" w:left="1133" w:right="1133"/>
        </w:sectPr>
      </w:pPr>
    </w:p>
    <w:p>
      <w:pPr>
        <w:pStyle w:val="Heading3"/>
        <w:spacing w:line="448" w:lineRule="exact" w:before="0"/>
        <w:rPr>
          <w:position w:val="1"/>
        </w:rPr>
      </w:pPr>
      <w:r>
        <w:rPr>
          <w:b w:val="0"/>
        </w:rPr>
        <w:drawing>
          <wp:inline distT="0" distB="0" distL="0" distR="0">
            <wp:extent cx="529590" cy="130301"/>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83"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市場跨界資源行動</w:t>
      </w:r>
    </w:p>
    <w:p>
      <w:pPr>
        <w:pStyle w:val="Heading4"/>
        <w:spacing w:before="339"/>
      </w:pPr>
      <w:r>
        <w:rPr/>
        <w:t>尋找新商業模式</w:t>
      </w:r>
      <w:r>
        <w:rPr>
          <w:rFonts w:ascii="Times New Roman" w:eastAsia="Times New Roman"/>
        </w:rPr>
        <w:t>-</w:t>
      </w:r>
      <w:r>
        <w:rPr>
          <w:spacing w:val="-2"/>
        </w:rPr>
        <w:t>紙本電子化</w:t>
      </w:r>
    </w:p>
    <w:p>
      <w:pPr>
        <w:pStyle w:val="BodyText"/>
        <w:spacing w:line="422" w:lineRule="auto" w:before="358"/>
        <w:ind w:right="683" w:firstLine="479"/>
      </w:pPr>
      <w:r>
        <w:rPr>
          <w:spacing w:val="-6"/>
        </w:rPr>
        <w:t>在探索新商業模式的過程中，諾亞克注意到長照單位普遍依賴紙本作業，並</w:t>
      </w:r>
      <w:r>
        <w:rPr>
          <w:spacing w:val="-4"/>
        </w:rPr>
        <w:t>且政府部門在此方面也有相當大的需求。為了滿足這個市場需求，諾亞克選擇以政府專案作為切入點，專注於開發新技術。應對這一挑戰的策略是採用簡單而有效的創新方法，即在數位化轉型中以使用者為核心，利用網頁技術打造輕便且易</w:t>
      </w:r>
      <w:r>
        <w:rPr>
          <w:spacing w:val="-2"/>
        </w:rPr>
        <w:t>於操作的平台。</w:t>
      </w:r>
    </w:p>
    <w:p>
      <w:pPr>
        <w:spacing w:line="405" w:lineRule="auto" w:before="93"/>
        <w:ind w:left="1701" w:right="1701" w:firstLine="480"/>
        <w:jc w:val="left"/>
        <w:rPr>
          <w:sz w:val="25"/>
        </w:rPr>
      </w:pPr>
      <w:r>
        <w:rPr>
          <w:spacing w:val="-8"/>
          <w:sz w:val="25"/>
        </w:rPr>
        <w:t>「我們意外發現了另一個巨大的商機</w:t>
      </w:r>
      <w:r>
        <w:rPr>
          <w:rFonts w:ascii="Times New Roman" w:hAnsi="Times New Roman" w:eastAsia="Times New Roman"/>
          <w:i/>
          <w:spacing w:val="-8"/>
          <w:sz w:val="24"/>
        </w:rPr>
        <w:t>——</w:t>
      </w:r>
      <w:r>
        <w:rPr>
          <w:spacing w:val="-8"/>
          <w:sz w:val="25"/>
        </w:rPr>
        <w:t>表單電子化。</w:t>
      </w:r>
      <w:r>
        <w:rPr>
          <w:spacing w:val="-12"/>
          <w:sz w:val="25"/>
        </w:rPr>
        <w:t>於是決定以政府專案作為切入點，開發新的技術來滿足這個</w:t>
      </w:r>
    </w:p>
    <w:p>
      <w:pPr>
        <w:spacing w:line="405" w:lineRule="auto" w:before="0"/>
        <w:ind w:left="1701" w:right="1700" w:firstLine="0"/>
        <w:jc w:val="left"/>
        <w:rPr>
          <w:sz w:val="25"/>
        </w:rPr>
      </w:pPr>
      <w:r>
        <w:rPr>
          <w:sz w:val="25"/>
        </w:rPr>
        <w:drawing>
          <wp:anchor distT="0" distB="0" distL="0" distR="0" allowOverlap="1" layoutInCell="1" locked="0" behindDoc="1" simplePos="0" relativeHeight="485807104">
            <wp:simplePos x="0" y="0"/>
            <wp:positionH relativeFrom="page">
              <wp:posOffset>3312414</wp:posOffset>
            </wp:positionH>
            <wp:positionV relativeFrom="paragraph">
              <wp:posOffset>188439</wp:posOffset>
            </wp:positionV>
            <wp:extent cx="929640" cy="978408"/>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6" cstate="print"/>
                    <a:stretch>
                      <a:fillRect/>
                    </a:stretch>
                  </pic:blipFill>
                  <pic:spPr>
                    <a:xfrm>
                      <a:off x="0" y="0"/>
                      <a:ext cx="929640" cy="978408"/>
                    </a:xfrm>
                    <a:prstGeom prst="rect">
                      <a:avLst/>
                    </a:prstGeom>
                  </pic:spPr>
                </pic:pic>
              </a:graphicData>
            </a:graphic>
          </wp:anchor>
        </w:drawing>
      </w:r>
      <w:r>
        <w:rPr>
          <w:sz w:val="25"/>
        </w:rPr>
        <mc:AlternateContent>
          <mc:Choice Requires="wps">
            <w:drawing>
              <wp:anchor distT="0" distB="0" distL="0" distR="0" allowOverlap="1" layoutInCell="1" locked="0" behindDoc="1" simplePos="0" relativeHeight="485807616">
                <wp:simplePos x="0" y="0"/>
                <wp:positionH relativeFrom="page">
                  <wp:posOffset>1800098</wp:posOffset>
                </wp:positionH>
                <wp:positionV relativeFrom="paragraph">
                  <wp:posOffset>10766</wp:posOffset>
                </wp:positionV>
                <wp:extent cx="3452495" cy="20002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3452495" cy="200025"/>
                        </a:xfrm>
                        <a:custGeom>
                          <a:avLst/>
                          <a:gdLst/>
                          <a:ahLst/>
                          <a:cxnLst/>
                          <a:rect l="l" t="t" r="r" b="b"/>
                          <a:pathLst>
                            <a:path w="3452495" h="200025">
                              <a:moveTo>
                                <a:pt x="3452495" y="0"/>
                              </a:moveTo>
                              <a:lnTo>
                                <a:pt x="0" y="0"/>
                              </a:lnTo>
                              <a:lnTo>
                                <a:pt x="0" y="199644"/>
                              </a:lnTo>
                              <a:lnTo>
                                <a:pt x="3452495" y="199644"/>
                              </a:lnTo>
                              <a:lnTo>
                                <a:pt x="345249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141.740005pt;margin-top:.847734pt;width:271.850pt;height:15.72pt;mso-position-horizontal-relative:page;mso-position-vertical-relative:paragraph;z-index:-17508864" id="docshape22" filled="true" fillcolor="#ffffff" stroked="false">
                <v:fill type="solid"/>
                <w10:wrap type="none"/>
              </v:rect>
            </w:pict>
          </mc:Fallback>
        </mc:AlternateContent>
      </w:r>
      <w:r>
        <w:rPr>
          <w:spacing w:val="-14"/>
          <w:sz w:val="25"/>
        </w:rPr>
        <w:t>市場。這個決定讓我們找到了一個穩定的發展方向。</w:t>
      </w:r>
      <w:r>
        <w:rPr>
          <w:spacing w:val="-161"/>
          <w:sz w:val="25"/>
        </w:rPr>
        <w:t>」</w:t>
      </w:r>
      <w:r>
        <w:rPr>
          <w:spacing w:val="-14"/>
          <w:sz w:val="25"/>
        </w:rPr>
        <w:t>（林恩</w:t>
      </w:r>
      <w:r>
        <w:rPr>
          <w:sz w:val="25"/>
        </w:rPr>
        <w:t>羽研發副總，</w:t>
      </w:r>
      <w:r>
        <w:rPr>
          <w:rFonts w:ascii="Times New Roman" w:eastAsia="Times New Roman"/>
          <w:i/>
          <w:sz w:val="24"/>
        </w:rPr>
        <w:t>2024 </w:t>
      </w:r>
      <w:r>
        <w:rPr>
          <w:sz w:val="25"/>
        </w:rPr>
        <w:t>訪談資料）</w:t>
      </w:r>
    </w:p>
    <w:p>
      <w:pPr>
        <w:pStyle w:val="Heading4"/>
        <w:spacing w:before="106"/>
      </w:pPr>
      <w:r>
        <w:rPr/>
        <mc:AlternateContent>
          <mc:Choice Requires="wps">
            <w:drawing>
              <wp:anchor distT="0" distB="0" distL="0" distR="0" allowOverlap="1" layoutInCell="1" locked="0" behindDoc="1" simplePos="0" relativeHeight="485808128">
                <wp:simplePos x="0" y="0"/>
                <wp:positionH relativeFrom="page">
                  <wp:posOffset>1080820</wp:posOffset>
                </wp:positionH>
                <wp:positionV relativeFrom="paragraph">
                  <wp:posOffset>123328</wp:posOffset>
                </wp:positionV>
                <wp:extent cx="4018279" cy="20002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4018279" cy="200025"/>
                        </a:xfrm>
                        <a:custGeom>
                          <a:avLst/>
                          <a:gdLst/>
                          <a:ahLst/>
                          <a:cxnLst/>
                          <a:rect l="l" t="t" r="r" b="b"/>
                          <a:pathLst>
                            <a:path w="4018279" h="200025">
                              <a:moveTo>
                                <a:pt x="4017899" y="0"/>
                              </a:moveTo>
                              <a:lnTo>
                                <a:pt x="0" y="0"/>
                              </a:lnTo>
                              <a:lnTo>
                                <a:pt x="0" y="199948"/>
                              </a:lnTo>
                              <a:lnTo>
                                <a:pt x="4017899" y="199948"/>
                              </a:lnTo>
                              <a:lnTo>
                                <a:pt x="401789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85.103996pt;margin-top:9.710922pt;width:316.37pt;height:15.744pt;mso-position-horizontal-relative:page;mso-position-vertical-relative:paragraph;z-index:-17508352" id="docshape23" filled="true" fillcolor="#ffffff" stroked="false">
                <v:fill type="solid"/>
                <w10:wrap type="none"/>
              </v:rect>
            </w:pict>
          </mc:Fallback>
        </mc:AlternateContent>
      </w:r>
      <w:r>
        <w:rPr/>
        <w:t>辨識出一站式服務需求</w:t>
      </w:r>
      <w:r>
        <w:rPr>
          <w:rFonts w:ascii="Times New Roman" w:eastAsia="Times New Roman"/>
        </w:rPr>
        <w:t>-</w:t>
      </w:r>
      <w:r>
        <w:rPr>
          <w:spacing w:val="-1"/>
        </w:rPr>
        <w:t>日照、居家護理、住宿服務串聯服務</w:t>
      </w:r>
    </w:p>
    <w:p>
      <w:pPr>
        <w:pStyle w:val="BodyText"/>
        <w:spacing w:line="422" w:lineRule="auto" w:before="357"/>
        <w:ind w:right="683" w:firstLine="479"/>
      </w:pPr>
      <w:r>
        <w:rPr>
          <w:spacing w:val="-6"/>
        </w:rPr>
        <w:t>在辨識長照產業的多元需求時，諾亞克發現此領域涵蓋日照中心、居家護理</w:t>
      </w:r>
      <w:r>
        <w:rPr>
          <w:spacing w:val="-4"/>
        </w:rPr>
        <w:t>及住宿服務等不同層面，且需實現服務的串聯和整合。為此，諾亞克致力於提供跨專業的電子化記錄，促進被照顧者與照顧者及家屬之間的有效溝通，讓照護團隊能精準掌握被照顧者的需求，提供完善的服務，並提升家屬的滿意度。在這樣的背景下，諾亞克預計推出一站式雲端軟體，不僅協助中央與地方政府實現社政</w:t>
      </w:r>
      <w:r>
        <w:rPr>
          <w:spacing w:val="-2"/>
        </w:rPr>
        <w:t>與衛政領域的數位化轉型，還構建穩定且整合的系統架構。</w:t>
      </w:r>
    </w:p>
    <w:p>
      <w:pPr>
        <w:spacing w:line="405" w:lineRule="auto" w:before="92"/>
        <w:ind w:left="1701" w:right="1699" w:firstLine="480"/>
        <w:jc w:val="both"/>
        <w:rPr>
          <w:sz w:val="25"/>
        </w:rPr>
      </w:pPr>
      <w:r>
        <w:rPr>
          <w:spacing w:val="-12"/>
          <w:sz w:val="25"/>
        </w:rPr>
        <w:t>「當我們進入長照資訊化後，才發現這是一個非常大的領域，涵蓋了居家、社區、機構等不同的類別，非常值得深</w:t>
      </w:r>
      <w:r>
        <w:rPr>
          <w:spacing w:val="-16"/>
          <w:sz w:val="25"/>
        </w:rPr>
        <w:t>耕。我們最終選擇以軟體服務的方式進入市場，提供 </w:t>
      </w:r>
      <w:r>
        <w:rPr>
          <w:rFonts w:ascii="Times New Roman" w:eastAsia="Times New Roman"/>
          <w:i/>
          <w:spacing w:val="-16"/>
          <w:sz w:val="24"/>
        </w:rPr>
        <w:t>SaaS</w:t>
      </w:r>
      <w:r>
        <w:rPr>
          <w:rFonts w:ascii="Times New Roman" w:eastAsia="Times New Roman"/>
          <w:i/>
          <w:spacing w:val="2"/>
          <w:sz w:val="24"/>
        </w:rPr>
        <w:t> </w:t>
      </w:r>
      <w:r>
        <w:rPr>
          <w:spacing w:val="-16"/>
          <w:sz w:val="25"/>
        </w:rPr>
        <w:t>服</w:t>
      </w:r>
      <w:r>
        <w:rPr>
          <w:spacing w:val="-14"/>
          <w:sz w:val="25"/>
        </w:rPr>
        <w:t>務，並在這個過程中逐步建立自己的發展方向。</w:t>
      </w:r>
      <w:r>
        <w:rPr>
          <w:spacing w:val="-161"/>
          <w:sz w:val="25"/>
        </w:rPr>
        <w:t>」</w:t>
      </w:r>
      <w:r>
        <w:rPr>
          <w:spacing w:val="-14"/>
          <w:sz w:val="25"/>
        </w:rPr>
        <w:t>（林恩羽研</w:t>
      </w:r>
      <w:r>
        <w:rPr>
          <w:sz w:val="25"/>
        </w:rPr>
        <w:t>發副總，</w:t>
      </w:r>
      <w:r>
        <w:rPr>
          <w:rFonts w:ascii="Times New Roman" w:eastAsia="Times New Roman"/>
          <w:i/>
          <w:sz w:val="24"/>
        </w:rPr>
        <w:t>2024 </w:t>
      </w:r>
      <w:r>
        <w:rPr>
          <w:sz w:val="25"/>
        </w:rPr>
        <w:t>訪談資料）</w:t>
      </w:r>
    </w:p>
    <w:p>
      <w:pPr>
        <w:spacing w:after="0" w:line="405" w:lineRule="auto"/>
        <w:jc w:val="both"/>
        <w:rPr>
          <w:sz w:val="25"/>
        </w:rPr>
        <w:sectPr>
          <w:pgSz w:w="11910" w:h="16840"/>
          <w:pgMar w:header="0" w:footer="1197" w:top="1820" w:bottom="1380" w:left="1133" w:right="1133"/>
        </w:sectPr>
      </w:pPr>
    </w:p>
    <w:p>
      <w:pPr>
        <w:pStyle w:val="Heading2"/>
        <w:spacing w:line="500" w:lineRule="exact"/>
        <w:rPr>
          <w:position w:val="1"/>
        </w:rPr>
      </w:pPr>
      <w:r>
        <w:rPr>
          <w:b w:val="0"/>
        </w:rPr>
        <w:drawing>
          <wp:inline distT="0" distB="0" distL="0" distR="0">
            <wp:extent cx="398525" cy="145542"/>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84"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64" w:id="65"/>
      <w:bookmarkEnd w:id="65"/>
      <w:r>
        <w:rPr>
          <w:rFonts w:ascii="Times New Roman" w:eastAsia="Times New Roman"/>
          <w:b w:val="0"/>
          <w:spacing w:val="-24"/>
          <w:position w:val="1"/>
          <w:sz w:val="20"/>
        </w:rPr>
      </w:r>
      <w:r>
        <w:rPr>
          <w:spacing w:val="-2"/>
          <w:position w:val="1"/>
        </w:rPr>
        <w:t>知識邊界</w:t>
      </w:r>
    </w:p>
    <w:p>
      <w:pPr>
        <w:pStyle w:val="Heading3"/>
        <w:rPr>
          <w:position w:val="1"/>
        </w:rPr>
      </w:pPr>
      <w:r>
        <w:rPr>
          <w:b w:val="0"/>
        </w:rPr>
        <w:drawing>
          <wp:inline distT="0" distB="0" distL="0" distR="0">
            <wp:extent cx="529590" cy="130301"/>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85"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知識跨界探索</w:t>
      </w:r>
    </w:p>
    <w:p>
      <w:pPr>
        <w:pStyle w:val="Heading4"/>
        <w:spacing w:before="340"/>
      </w:pPr>
      <w:r>
        <w:rPr>
          <w:spacing w:val="-1"/>
        </w:rPr>
        <w:t>無法清晰掌握如何減輕照服員負擔或提升溝通效率等核心需求</w:t>
      </w:r>
    </w:p>
    <w:p>
      <w:pPr>
        <w:pStyle w:val="BodyText"/>
        <w:spacing w:line="422" w:lineRule="auto" w:before="358"/>
        <w:ind w:right="683" w:firstLine="479"/>
      </w:pPr>
      <w:r>
        <w:rPr/>
        <w:drawing>
          <wp:anchor distT="0" distB="0" distL="0" distR="0" allowOverlap="1" layoutInCell="1" locked="0" behindDoc="1" simplePos="0" relativeHeight="485808640">
            <wp:simplePos x="0" y="0"/>
            <wp:positionH relativeFrom="page">
              <wp:posOffset>3312414</wp:posOffset>
            </wp:positionH>
            <wp:positionV relativeFrom="paragraph">
              <wp:posOffset>2308972</wp:posOffset>
            </wp:positionV>
            <wp:extent cx="929640" cy="978408"/>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諾亞克的知識邊界主要體現在對長照機構實際需求缺乏深入理解，尤其在</w:t>
      </w:r>
      <w:r>
        <w:rPr>
          <w:spacing w:val="-4"/>
        </w:rPr>
        <w:t>專業知識與需求掌握上仍然不足。雖然團隊成員具備醫療相關背景，部分成員來自台大醫療實驗室，但這些經驗多集中於醫療研究與技術層面，對於長照機構的日常運作和需求了解有限。在進入長照產業的初期，他們對長照機構的實際操作和工作流程缺乏認識，包括護理資訊的記錄方式、日常工作中的溝通方法、以及護理人員的工作適應需求，這使得團隊難以及時開發符合需求的系統功能，無法</w:t>
      </w:r>
      <w:r>
        <w:rPr>
          <w:spacing w:val="-2"/>
        </w:rPr>
        <w:t>清晰掌握如何減輕照服員負擔或提升溝通效率等核心需求，這些往往需要深入現場才能得知。</w:t>
      </w:r>
    </w:p>
    <w:p>
      <w:pPr>
        <w:spacing w:line="405" w:lineRule="auto" w:before="89"/>
        <w:ind w:left="1701" w:right="1699" w:firstLine="480"/>
        <w:jc w:val="both"/>
        <w:rPr>
          <w:sz w:val="25"/>
        </w:rPr>
      </w:pPr>
      <w:r>
        <w:rPr>
          <w:spacing w:val="-2"/>
          <w:sz w:val="25"/>
        </w:rPr>
        <w:t>「然後我覺得那時候我們比較辛苦的是真的對這個產</w:t>
      </w:r>
      <w:r>
        <w:rPr>
          <w:spacing w:val="-12"/>
          <w:sz w:val="25"/>
        </w:rPr>
        <w:t>業也真的不熟，所以我們就找了一個客戶，他也願意提供他</w:t>
      </w:r>
      <w:r>
        <w:rPr>
          <w:spacing w:val="-16"/>
          <w:sz w:val="25"/>
        </w:rPr>
        <w:t>們的表單給我們。」</w:t>
      </w:r>
      <w:r>
        <w:rPr>
          <w:spacing w:val="-2"/>
          <w:sz w:val="25"/>
        </w:rPr>
        <w:t>（林恩羽研發副總，</w:t>
      </w:r>
      <w:r>
        <w:rPr>
          <w:rFonts w:ascii="Times New Roman" w:eastAsia="Times New Roman"/>
          <w:i/>
          <w:spacing w:val="-2"/>
          <w:sz w:val="24"/>
        </w:rPr>
        <w:t>2024</w:t>
      </w:r>
      <w:r>
        <w:rPr>
          <w:rFonts w:ascii="Times New Roman" w:eastAsia="Times New Roman"/>
          <w:i/>
          <w:spacing w:val="-13"/>
          <w:sz w:val="24"/>
        </w:rPr>
        <w:t> </w:t>
      </w:r>
      <w:r>
        <w:rPr>
          <w:spacing w:val="-2"/>
          <w:sz w:val="25"/>
        </w:rPr>
        <w:t>訪談資料）</w:t>
      </w:r>
    </w:p>
    <w:p>
      <w:pPr>
        <w:pStyle w:val="Heading3"/>
        <w:spacing w:before="80"/>
        <w:rPr>
          <w:position w:val="1"/>
        </w:rPr>
      </w:pPr>
      <w:r>
        <w:rPr>
          <w:b w:val="0"/>
        </w:rPr>
        <w:drawing>
          <wp:inline distT="0" distB="0" distL="0" distR="0">
            <wp:extent cx="529590" cy="130301"/>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86"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知識跨界資源行動</w:t>
      </w:r>
    </w:p>
    <w:p>
      <w:pPr>
        <w:pStyle w:val="Heading4"/>
        <w:spacing w:before="340"/>
      </w:pPr>
      <w:r>
        <w:rPr>
          <w:spacing w:val="-1"/>
        </w:rPr>
        <w:t>取得具跨領域專業背景的人才</w:t>
      </w:r>
    </w:p>
    <w:p>
      <w:pPr>
        <w:pStyle w:val="BodyText"/>
        <w:spacing w:line="422" w:lineRule="auto" w:before="358"/>
        <w:ind w:right="683" w:firstLine="479"/>
      </w:pPr>
      <w:r>
        <w:rPr>
          <w:spacing w:val="-6"/>
        </w:rPr>
        <w:t>在聘請工程師時，諾亞克特別重視候選人是否具備健康產業的相關經驗。許</w:t>
      </w:r>
      <w:r>
        <w:rPr>
          <w:spacing w:val="-4"/>
        </w:rPr>
        <w:t>多工程師曾在醫院的資訊部門工作過，或是在其他遠距照護公司任職，甚至有些人擁有與健康產業相關的學科背景。因此，對諾亞克而言，對健康照護產業的基本認識成為招聘的核心條件之一，找人才不僅要求程式能力強，還必須了解客戶</w:t>
      </w:r>
      <w:r>
        <w:rPr>
          <w:spacing w:val="-2"/>
        </w:rPr>
        <w:t>的需求，以確保服務的質量和滿意度。</w:t>
      </w:r>
    </w:p>
    <w:p>
      <w:pPr>
        <w:pStyle w:val="BodyText"/>
        <w:spacing w:after="0" w:line="422" w:lineRule="auto"/>
        <w:sectPr>
          <w:pgSz w:w="11910" w:h="16840"/>
          <w:pgMar w:header="0" w:footer="1197" w:top="1800" w:bottom="1380" w:left="1133" w:right="1133"/>
        </w:sectPr>
      </w:pPr>
    </w:p>
    <w:p>
      <w:pPr>
        <w:pStyle w:val="BodyText"/>
        <w:spacing w:line="422" w:lineRule="auto" w:before="27"/>
        <w:ind w:right="683" w:firstLine="479"/>
      </w:pPr>
      <w:r>
        <w:rPr>
          <w:spacing w:val="-6"/>
        </w:rPr>
        <w:t>此外，諾亞克的業務和客服團隊擁有多樣的專業背景，包括公共衛生與護理</w:t>
      </w:r>
      <w:r>
        <w:rPr>
          <w:spacing w:val="-4"/>
        </w:rPr>
        <w:t>相關的學歷或經驗。例如，公司的業務團隊中有一位成員擁有護理師證照。這樣</w:t>
      </w:r>
      <w:r>
        <w:rPr/>
        <w:t>的專業背景確保了與客戶溝通時不會出現理解上的困難，在發展產品時也可以</w:t>
      </w:r>
      <w:r>
        <w:rPr>
          <w:spacing w:val="-2"/>
        </w:rPr>
        <w:t>照顧到更多面向的需求。</w:t>
      </w:r>
    </w:p>
    <w:p>
      <w:pPr>
        <w:spacing w:line="405" w:lineRule="auto" w:before="93"/>
        <w:ind w:left="1701" w:right="1701" w:firstLine="480"/>
        <w:jc w:val="both"/>
        <w:rPr>
          <w:sz w:val="25"/>
        </w:rPr>
      </w:pPr>
      <w:r>
        <w:rPr>
          <w:spacing w:val="-12"/>
          <w:sz w:val="25"/>
        </w:rPr>
        <w:t>「這樣的經驗讓我們不用再額外解釋基本概念，例如上血壓和下血壓的差異。對我們來說，找人才不僅是要求程式</w:t>
      </w:r>
      <w:r>
        <w:rPr>
          <w:spacing w:val="-27"/>
          <w:sz w:val="25"/>
        </w:rPr>
        <w:t>能力強，更重要的是要懂得客戶的需求。</w:t>
      </w:r>
      <w:r>
        <w:rPr>
          <w:spacing w:val="-224"/>
          <w:sz w:val="25"/>
        </w:rPr>
        <w:t>」</w:t>
      </w:r>
      <w:r>
        <w:rPr>
          <w:spacing w:val="-14"/>
          <w:sz w:val="25"/>
        </w:rPr>
        <w:t>（</w:t>
      </w:r>
      <w:r>
        <w:rPr>
          <w:spacing w:val="-20"/>
          <w:sz w:val="25"/>
        </w:rPr>
        <w:t>林恩羽研發副總，</w:t>
      </w:r>
      <w:r>
        <w:rPr>
          <w:spacing w:val="-14"/>
          <w:sz w:val="25"/>
        </w:rPr>
        <w:t> </w:t>
      </w:r>
      <w:r>
        <w:rPr>
          <w:rFonts w:ascii="Times New Roman" w:eastAsia="Times New Roman"/>
          <w:i/>
          <w:sz w:val="24"/>
        </w:rPr>
        <w:t>2023 </w:t>
      </w:r>
      <w:r>
        <w:rPr>
          <w:sz w:val="25"/>
        </w:rPr>
        <w:t>訪談資料）</w:t>
      </w:r>
    </w:p>
    <w:p>
      <w:pPr>
        <w:pStyle w:val="Heading4"/>
        <w:spacing w:before="106"/>
      </w:pPr>
      <w:r>
        <w:rPr>
          <w:spacing w:val="-1"/>
        </w:rPr>
        <w:t>取得實地需求，引導初期開發</w:t>
      </w:r>
    </w:p>
    <w:p>
      <w:pPr>
        <w:pStyle w:val="BodyText"/>
        <w:spacing w:line="422" w:lineRule="auto" w:before="358"/>
        <w:ind w:right="683" w:firstLine="479"/>
      </w:pPr>
      <w:r>
        <w:rPr/>
        <w:drawing>
          <wp:anchor distT="0" distB="0" distL="0" distR="0" allowOverlap="1" layoutInCell="1" locked="0" behindDoc="1" simplePos="0" relativeHeight="485809152">
            <wp:simplePos x="0" y="0"/>
            <wp:positionH relativeFrom="page">
              <wp:posOffset>3312414</wp:posOffset>
            </wp:positionH>
            <wp:positionV relativeFrom="paragraph">
              <wp:posOffset>525373</wp:posOffset>
            </wp:positionV>
            <wp:extent cx="929640" cy="978408"/>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在開發資訊系統的初期階段，諾亞克的執行長及副總鄭詩靜與林恩羽親自</w:t>
      </w:r>
      <w:r>
        <w:rPr>
          <w:spacing w:val="-4"/>
        </w:rPr>
        <w:t>前往護理站進行實地觀察。他們深入護理工作現場，仔細觀察工作流程，了解護理人員如何填寫表單、完成日常操作，並探究這些行為背後的需求與目的。這段</w:t>
      </w:r>
      <w:r>
        <w:rPr>
          <w:spacing w:val="-2"/>
        </w:rPr>
        <w:t>兩三個月的深入觀察為系統的雛形開發提供了關鍵的實地數據，讓他們能夠設計出符合護理現場需求的功能。這種磨合與調整使得後續許多機構在使用系統時，深感系統正是滿足其日常需求的理想工具。</w:t>
      </w:r>
    </w:p>
    <w:p>
      <w:pPr>
        <w:spacing w:line="405" w:lineRule="auto" w:before="91"/>
        <w:ind w:left="1701" w:right="1699" w:firstLine="480"/>
        <w:jc w:val="both"/>
        <w:rPr>
          <w:sz w:val="25"/>
        </w:rPr>
      </w:pPr>
      <w:r>
        <w:rPr>
          <w:spacing w:val="-10"/>
          <w:sz w:val="25"/>
        </w:rPr>
        <w:t>「</w:t>
      </w:r>
      <w:r>
        <w:rPr>
          <w:rFonts w:ascii="Times New Roman" w:eastAsia="Times New Roman"/>
          <w:i/>
          <w:spacing w:val="-10"/>
          <w:sz w:val="24"/>
        </w:rPr>
        <w:t>1600</w:t>
      </w:r>
      <w:r>
        <w:rPr>
          <w:rFonts w:ascii="Times New Roman" w:eastAsia="Times New Roman"/>
          <w:i/>
          <w:spacing w:val="-5"/>
          <w:sz w:val="24"/>
        </w:rPr>
        <w:t> </w:t>
      </w:r>
      <w:r>
        <w:rPr>
          <w:spacing w:val="-22"/>
          <w:sz w:val="25"/>
        </w:rPr>
        <w:t>間住宿型機構裡，我們親自拜訪過 </w:t>
      </w:r>
      <w:r>
        <w:rPr>
          <w:rFonts w:ascii="Times New Roman" w:eastAsia="Times New Roman"/>
          <w:i/>
          <w:spacing w:val="-10"/>
          <w:sz w:val="24"/>
        </w:rPr>
        <w:t>1000</w:t>
      </w:r>
      <w:r>
        <w:rPr>
          <w:rFonts w:ascii="Times New Roman" w:eastAsia="Times New Roman"/>
          <w:i/>
          <w:spacing w:val="-5"/>
          <w:sz w:val="24"/>
        </w:rPr>
        <w:t> </w:t>
      </w:r>
      <w:r>
        <w:rPr>
          <w:spacing w:val="-23"/>
          <w:sz w:val="25"/>
        </w:rPr>
        <w:t>間以上，</w:t>
      </w:r>
      <w:r>
        <w:rPr>
          <w:spacing w:val="-12"/>
          <w:sz w:val="25"/>
        </w:rPr>
        <w:t>我可以從氣味、走道的寬度、尿布的品牌，推算各機構的服</w:t>
      </w:r>
      <w:r>
        <w:rPr>
          <w:spacing w:val="-16"/>
          <w:sz w:val="25"/>
        </w:rPr>
        <w:t>務品質跟價格結構。」</w:t>
      </w:r>
      <w:r>
        <w:rPr>
          <w:spacing w:val="-4"/>
          <w:sz w:val="25"/>
        </w:rPr>
        <w:t>（沈家平執行長，天下雜誌資料）</w:t>
      </w:r>
    </w:p>
    <w:p>
      <w:pPr>
        <w:pStyle w:val="Heading4"/>
        <w:spacing w:before="107"/>
      </w:pPr>
      <w:r>
        <w:rPr>
          <w:spacing w:val="-1"/>
        </w:rPr>
        <w:t>建構以使用者為核心的回饋與優化流程</w:t>
      </w:r>
    </w:p>
    <w:p>
      <w:pPr>
        <w:pStyle w:val="BodyText"/>
        <w:spacing w:line="422" w:lineRule="auto" w:before="358"/>
        <w:ind w:right="686" w:firstLine="479"/>
      </w:pPr>
      <w:r>
        <w:rPr>
          <w:spacing w:val="-2"/>
        </w:rPr>
        <w:t>諾亞克積極與客戶保持緊密互動，藉由配合評鑑老師和業務團隊中的護理</w:t>
      </w:r>
      <w:r>
        <w:rPr>
          <w:spacing w:val="-6"/>
        </w:rPr>
        <w:t>師，定期進行使用者關懷，了解客戶的實際使用情況與需求。這些交流的目的在</w:t>
      </w:r>
      <w:r>
        <w:rPr>
          <w:spacing w:val="-2"/>
        </w:rPr>
        <w:t>於發現系統可能存在的使用障礙或不便之處，並針對性地進行調整和改進。</w:t>
      </w:r>
    </w:p>
    <w:p>
      <w:pPr>
        <w:pStyle w:val="BodyText"/>
        <w:spacing w:after="0" w:line="422" w:lineRule="auto"/>
        <w:sectPr>
          <w:pgSz w:w="11910" w:h="16840"/>
          <w:pgMar w:header="0" w:footer="1197" w:top="1760" w:bottom="1380" w:left="1133" w:right="1133"/>
        </w:sectPr>
      </w:pPr>
    </w:p>
    <w:p>
      <w:pPr>
        <w:pStyle w:val="BodyText"/>
        <w:spacing w:line="422" w:lineRule="auto" w:before="27"/>
        <w:ind w:right="682" w:firstLine="479"/>
      </w:pPr>
      <w:r>
        <w:rPr>
          <w:spacing w:val="-2"/>
        </w:rPr>
        <w:t>為了確保開發資源的有效利用，諾亞克會將客戶提出的相似需求或遇到的</w:t>
      </w:r>
      <w:r>
        <w:rPr>
          <w:spacing w:val="-8"/>
        </w:rPr>
        <w:t>問題加以整合，優先交由工程團隊開發。例如，「智能電子白板」的概念最初來</w:t>
      </w:r>
      <w:r>
        <w:rPr>
          <w:spacing w:val="-4"/>
        </w:rPr>
        <w:t>自清福養老院的需求。諾亞克根據該需求進行開發，將長輩的照護資訊整合到電子白板中，以便安排每日行程，並透過畫面及聲音提醒照服員，真正將資訊化技</w:t>
      </w:r>
      <w:r>
        <w:rPr>
          <w:spacing w:val="-3"/>
        </w:rPr>
        <w:t>術應用於照護工作中，減輕照服員的負擔。此系統還參加了 </w:t>
      </w:r>
      <w:r>
        <w:rPr>
          <w:rFonts w:ascii="Times New Roman" w:eastAsia="Times New Roman"/>
          <w:spacing w:val="-2"/>
        </w:rPr>
        <w:t>SNQ</w:t>
      </w:r>
      <w:r>
        <w:rPr>
          <w:rFonts w:ascii="Times New Roman" w:eastAsia="Times New Roman"/>
          <w:spacing w:val="-10"/>
        </w:rPr>
        <w:t> </w:t>
      </w:r>
      <w:r>
        <w:rPr>
          <w:spacing w:val="-2"/>
        </w:rPr>
        <w:t>國家品質獎並獲獎，展示出諾亞克在產品創新上的成就。</w:t>
      </w:r>
    </w:p>
    <w:p>
      <w:pPr>
        <w:spacing w:line="405" w:lineRule="auto" w:before="91"/>
        <w:ind w:left="1701" w:right="1701" w:firstLine="480"/>
        <w:jc w:val="both"/>
        <w:rPr>
          <w:sz w:val="25"/>
        </w:rPr>
      </w:pPr>
      <w:r>
        <w:rPr>
          <w:spacing w:val="-12"/>
          <w:sz w:val="25"/>
        </w:rPr>
        <w:t>「我們常常和客戶討論，問他們如果我們做這樣的功能是否有需求。通常客戶會說這個功能還好，但他們會告訴我</w:t>
      </w:r>
      <w:r>
        <w:rPr>
          <w:spacing w:val="-17"/>
          <w:sz w:val="25"/>
        </w:rPr>
        <w:t>們更需要什麼。」</w:t>
      </w:r>
      <w:r>
        <w:rPr>
          <w:spacing w:val="-2"/>
          <w:sz w:val="25"/>
        </w:rPr>
        <w:t>（林恩羽研發副總，</w:t>
      </w:r>
      <w:r>
        <w:rPr>
          <w:rFonts w:ascii="Times New Roman" w:eastAsia="Times New Roman"/>
          <w:i/>
          <w:spacing w:val="-2"/>
          <w:sz w:val="24"/>
        </w:rPr>
        <w:t>2023</w:t>
      </w:r>
      <w:r>
        <w:rPr>
          <w:rFonts w:ascii="Times New Roman" w:eastAsia="Times New Roman"/>
          <w:i/>
          <w:spacing w:val="-10"/>
          <w:sz w:val="24"/>
        </w:rPr>
        <w:t> </w:t>
      </w:r>
      <w:r>
        <w:rPr>
          <w:spacing w:val="-2"/>
          <w:sz w:val="25"/>
        </w:rPr>
        <w:t>訪談資料）</w:t>
      </w:r>
    </w:p>
    <w:p>
      <w:pPr>
        <w:pStyle w:val="Heading4"/>
        <w:spacing w:before="107"/>
      </w:pPr>
      <w:r>
        <w:rPr>
          <w:spacing w:val="-1"/>
        </w:rPr>
        <w:t>承接政府專案取得市場先機</w:t>
      </w:r>
    </w:p>
    <w:p>
      <w:pPr>
        <w:pStyle w:val="BodyText"/>
        <w:spacing w:line="422" w:lineRule="auto" w:before="358"/>
        <w:ind w:right="682" w:firstLine="479"/>
      </w:pPr>
      <w:r>
        <w:rPr/>
        <w:drawing>
          <wp:anchor distT="0" distB="0" distL="0" distR="0" allowOverlap="1" layoutInCell="1" locked="0" behindDoc="1" simplePos="0" relativeHeight="485809664">
            <wp:simplePos x="0" y="0"/>
            <wp:positionH relativeFrom="page">
              <wp:posOffset>3312414</wp:posOffset>
            </wp:positionH>
            <wp:positionV relativeFrom="paragraph">
              <wp:posOffset>182427</wp:posOffset>
            </wp:positionV>
            <wp:extent cx="929640" cy="978408"/>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台灣醫療資訊的繁榮發展，很大程度上受惠於健保政策的支持，將資訊化程</w:t>
      </w:r>
      <w:r>
        <w:rPr>
          <w:spacing w:val="-7"/>
        </w:rPr>
        <w:t>度推向全球領先水平。據統計，台灣的醫療資訊化率高達 </w:t>
      </w:r>
      <w:r>
        <w:rPr>
          <w:rFonts w:ascii="Times New Roman" w:eastAsia="Times New Roman"/>
          <w:spacing w:val="-6"/>
        </w:rPr>
        <w:t>80%</w:t>
      </w:r>
      <w:r>
        <w:rPr>
          <w:spacing w:val="-6"/>
        </w:rPr>
        <w:t>以上，顯著超越美</w:t>
      </w:r>
      <w:r>
        <w:rPr>
          <w:spacing w:val="-10"/>
        </w:rPr>
        <w:t>國的 </w:t>
      </w:r>
      <w:r>
        <w:rPr>
          <w:rFonts w:ascii="Times New Roman" w:eastAsia="Times New Roman"/>
        </w:rPr>
        <w:t>50%-60%</w:t>
      </w:r>
      <w:r>
        <w:rPr/>
        <w:t>。在此背景下，政府政策的變動對諾亞克產生了深遠影響，例如</w:t>
      </w:r>
      <w:r>
        <w:rPr>
          <w:spacing w:val="-12"/>
        </w:rPr>
        <w:t>長照 </w:t>
      </w:r>
      <w:r>
        <w:rPr>
          <w:rFonts w:ascii="Times New Roman" w:eastAsia="Times New Roman"/>
          <w:spacing w:val="-4"/>
        </w:rPr>
        <w:t>2.0</w:t>
      </w:r>
      <w:r>
        <w:rPr>
          <w:rFonts w:ascii="Times New Roman" w:eastAsia="Times New Roman"/>
          <w:spacing w:val="-11"/>
        </w:rPr>
        <w:t> </w:t>
      </w:r>
      <w:r>
        <w:rPr>
          <w:spacing w:val="-4"/>
        </w:rPr>
        <w:t>政策、衛福部的全人評估系統、</w:t>
      </w:r>
      <w:r>
        <w:rPr>
          <w:rFonts w:ascii="Times New Roman" w:eastAsia="Times New Roman"/>
          <w:spacing w:val="-4"/>
        </w:rPr>
        <w:t>ISO27001</w:t>
      </w:r>
      <w:r>
        <w:rPr>
          <w:rFonts w:ascii="Times New Roman" w:eastAsia="Times New Roman"/>
          <w:spacing w:val="-1"/>
        </w:rPr>
        <w:t> </w:t>
      </w:r>
      <w:r>
        <w:rPr>
          <w:spacing w:val="-8"/>
        </w:rPr>
        <w:t>認證及最新的 </w:t>
      </w:r>
      <w:r>
        <w:rPr>
          <w:rFonts w:ascii="Times New Roman" w:eastAsia="Times New Roman"/>
          <w:spacing w:val="-4"/>
        </w:rPr>
        <w:t>ISO27701</w:t>
      </w:r>
      <w:r>
        <w:rPr>
          <w:rFonts w:ascii="Times New Roman" w:eastAsia="Times New Roman"/>
          <w:spacing w:val="15"/>
        </w:rPr>
        <w:t> </w:t>
      </w:r>
      <w:r>
        <w:rPr>
          <w:spacing w:val="-4"/>
        </w:rPr>
        <w:t>隱私</w:t>
      </w:r>
      <w:r>
        <w:rPr>
          <w:spacing w:val="-2"/>
        </w:rPr>
        <w:t>資訊安全認證等規範，驅使公司不斷精進技術，以符合日趨嚴格的標準。</w:t>
      </w:r>
    </w:p>
    <w:p>
      <w:pPr>
        <w:pStyle w:val="BodyText"/>
        <w:spacing w:line="422" w:lineRule="auto" w:before="102"/>
        <w:ind w:right="683" w:firstLine="479"/>
      </w:pPr>
      <w:r>
        <w:rPr>
          <w:spacing w:val="-6"/>
        </w:rPr>
        <w:t>與政府合作不僅為諾亞克帶來穩定收入，也使公司能深入洞察政策方向，進</w:t>
      </w:r>
      <w:r>
        <w:rPr>
          <w:spacing w:val="-4"/>
        </w:rPr>
        <w:t>而提前預測需求並進行產品研發。例如，政府可能要求開發新系統供機構上傳補助資料，或是希望促進特定技術的發展。這些專案合作讓諾亞克得以迅速掌握政</w:t>
      </w:r>
      <w:r>
        <w:rPr>
          <w:spacing w:val="-8"/>
        </w:rPr>
        <w:t>策需求，甚至「比客戶更早了解客戶的需求所在」，從而穩固其在醫療資訊產業</w:t>
      </w:r>
      <w:r>
        <w:rPr>
          <w:spacing w:val="-2"/>
        </w:rPr>
        <w:t>中的競爭地位。</w:t>
      </w:r>
    </w:p>
    <w:p>
      <w:pPr>
        <w:spacing w:line="405" w:lineRule="auto" w:before="88"/>
        <w:ind w:left="1701" w:right="1700" w:firstLine="480"/>
        <w:jc w:val="both"/>
        <w:rPr>
          <w:sz w:val="25"/>
        </w:rPr>
      </w:pPr>
      <w:r>
        <w:rPr>
          <w:spacing w:val="-8"/>
          <w:sz w:val="25"/>
        </w:rPr>
        <w:t>「</w:t>
      </w:r>
      <w:r>
        <w:rPr>
          <w:rFonts w:ascii="Times New Roman" w:eastAsia="Times New Roman"/>
          <w:i/>
          <w:spacing w:val="-8"/>
          <w:sz w:val="24"/>
        </w:rPr>
        <w:t>2021</w:t>
      </w:r>
      <w:r>
        <w:rPr>
          <w:rFonts w:ascii="Times New Roman" w:eastAsia="Times New Roman"/>
          <w:i/>
          <w:sz w:val="24"/>
        </w:rPr>
        <w:t> </w:t>
      </w:r>
      <w:r>
        <w:rPr>
          <w:spacing w:val="-17"/>
          <w:sz w:val="25"/>
        </w:rPr>
        <w:t>年政府推出「支付審查系統」，我們是第一批進</w:t>
      </w:r>
      <w:r>
        <w:rPr>
          <w:spacing w:val="-12"/>
          <w:sz w:val="25"/>
        </w:rPr>
        <w:t>行驗證的四家廠商之一。我們總是希望在新政策推行時，能</w:t>
      </w:r>
      <w:r>
        <w:rPr>
          <w:spacing w:val="-27"/>
          <w:sz w:val="25"/>
        </w:rPr>
        <w:t>夠率先參與，並將其融入我們的產品中。</w:t>
      </w:r>
      <w:r>
        <w:rPr>
          <w:spacing w:val="-224"/>
          <w:sz w:val="25"/>
        </w:rPr>
        <w:t>」</w:t>
      </w:r>
      <w:r>
        <w:rPr>
          <w:spacing w:val="-14"/>
          <w:sz w:val="25"/>
        </w:rPr>
        <w:t>（</w:t>
      </w:r>
      <w:r>
        <w:rPr>
          <w:spacing w:val="-20"/>
          <w:sz w:val="25"/>
        </w:rPr>
        <w:t>林恩羽研發副總，</w:t>
      </w:r>
      <w:r>
        <w:rPr>
          <w:spacing w:val="-14"/>
          <w:sz w:val="25"/>
        </w:rPr>
        <w:t> </w:t>
      </w:r>
      <w:r>
        <w:rPr>
          <w:rFonts w:ascii="Times New Roman" w:eastAsia="Times New Roman"/>
          <w:i/>
          <w:sz w:val="24"/>
        </w:rPr>
        <w:t>2024 </w:t>
      </w:r>
      <w:r>
        <w:rPr>
          <w:sz w:val="25"/>
        </w:rPr>
        <w:t>訪談資料）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8525" cy="145542"/>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87"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65" w:id="66"/>
      <w:bookmarkEnd w:id="66"/>
      <w:r>
        <w:rPr>
          <w:rFonts w:ascii="Times New Roman" w:eastAsia="Times New Roman"/>
          <w:b w:val="0"/>
          <w:spacing w:val="-24"/>
          <w:position w:val="1"/>
          <w:sz w:val="20"/>
        </w:rPr>
      </w:r>
      <w:r>
        <w:rPr>
          <w:spacing w:val="-2"/>
          <w:position w:val="1"/>
        </w:rPr>
        <w:t>技術邊界</w:t>
      </w:r>
    </w:p>
    <w:p>
      <w:pPr>
        <w:pStyle w:val="Heading3"/>
        <w:rPr>
          <w:position w:val="1"/>
        </w:rPr>
      </w:pPr>
      <w:r>
        <w:rPr>
          <w:b w:val="0"/>
        </w:rPr>
        <w:drawing>
          <wp:inline distT="0" distB="0" distL="0" distR="0">
            <wp:extent cx="529590" cy="130301"/>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88"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技術跨界探索</w:t>
      </w:r>
    </w:p>
    <w:p>
      <w:pPr>
        <w:pStyle w:val="Heading4"/>
        <w:spacing w:before="340"/>
      </w:pPr>
      <w:r>
        <w:rPr>
          <w:spacing w:val="-1"/>
        </w:rPr>
        <w:t>專業功能缺乏技術輔助</w:t>
      </w:r>
    </w:p>
    <w:p>
      <w:pPr>
        <w:pStyle w:val="BodyText"/>
        <w:spacing w:line="422" w:lineRule="auto" w:before="358"/>
        <w:ind w:right="683" w:firstLine="479"/>
      </w:pPr>
      <w:r>
        <w:rPr>
          <w:spacing w:val="-6"/>
        </w:rPr>
        <w:t>在初期，公司主要聚焦於生理數據的自動上傳與數據整合解決方案。然而，</w:t>
      </w:r>
      <w:r>
        <w:rPr>
          <w:spacing w:val="-4"/>
        </w:rPr>
        <w:t>隨著科技迅速進步，在面臨市場需求變化、新技術導入或進行外部技術合作時，公司缺乏專業人員而無法及時應對，導致無法有效支撐新產品的開發需求。這些技術對於提升整合能力至關重要，尤其在設備整合、協作開發和應用擴展等方面</w:t>
      </w:r>
      <w:r>
        <w:rPr>
          <w:spacing w:val="-2"/>
        </w:rPr>
        <w:t>尤為關鍵。</w:t>
      </w:r>
    </w:p>
    <w:p>
      <w:pPr>
        <w:spacing w:line="405" w:lineRule="auto" w:before="92"/>
        <w:ind w:left="1701" w:right="1700" w:firstLine="480"/>
        <w:jc w:val="both"/>
        <w:rPr>
          <w:sz w:val="25"/>
        </w:rPr>
      </w:pPr>
      <w:r>
        <w:rPr>
          <w:sz w:val="25"/>
        </w:rPr>
        <w:drawing>
          <wp:anchor distT="0" distB="0" distL="0" distR="0" allowOverlap="1" layoutInCell="1" locked="0" behindDoc="1" simplePos="0" relativeHeight="485810176">
            <wp:simplePos x="0" y="0"/>
            <wp:positionH relativeFrom="page">
              <wp:posOffset>3312414</wp:posOffset>
            </wp:positionH>
            <wp:positionV relativeFrom="paragraph">
              <wp:posOffset>363332</wp:posOffset>
            </wp:positionV>
            <wp:extent cx="929640" cy="978408"/>
            <wp:effectExtent l="0" t="0" r="0" b="0"/>
            <wp:wrapNone/>
            <wp:docPr id="166" name="Image 166"/>
            <wp:cNvGraphicFramePr>
              <a:graphicFrameLocks/>
            </wp:cNvGraphicFramePr>
            <a:graphic>
              <a:graphicData uri="http://schemas.openxmlformats.org/drawingml/2006/picture">
                <pic:pic>
                  <pic:nvPicPr>
                    <pic:cNvPr id="166" name="Image 166"/>
                    <pic:cNvPicPr/>
                  </pic:nvPicPr>
                  <pic:blipFill>
                    <a:blip r:embed="rId6" cstate="print"/>
                    <a:stretch>
                      <a:fillRect/>
                    </a:stretch>
                  </pic:blipFill>
                  <pic:spPr>
                    <a:xfrm>
                      <a:off x="0" y="0"/>
                      <a:ext cx="929640" cy="978408"/>
                    </a:xfrm>
                    <a:prstGeom prst="rect">
                      <a:avLst/>
                    </a:prstGeom>
                  </pic:spPr>
                </pic:pic>
              </a:graphicData>
            </a:graphic>
          </wp:anchor>
        </w:drawing>
      </w:r>
      <w:r>
        <w:rPr>
          <w:spacing w:val="-13"/>
          <w:sz w:val="25"/>
        </w:rPr>
        <w:t>「到 </w:t>
      </w:r>
      <w:r>
        <w:rPr>
          <w:rFonts w:ascii="Times New Roman" w:eastAsia="Times New Roman"/>
          <w:i/>
          <w:spacing w:val="-6"/>
          <w:sz w:val="24"/>
        </w:rPr>
        <w:t>2021</w:t>
      </w:r>
      <w:r>
        <w:rPr>
          <w:rFonts w:ascii="Times New Roman" w:eastAsia="Times New Roman"/>
          <w:i/>
          <w:spacing w:val="-9"/>
          <w:sz w:val="24"/>
        </w:rPr>
        <w:t> </w:t>
      </w:r>
      <w:r>
        <w:rPr>
          <w:spacing w:val="-6"/>
          <w:sz w:val="25"/>
        </w:rPr>
        <w:t>年，才真的有針對醫護去做的一個語音的辨</w:t>
      </w:r>
      <w:r>
        <w:rPr>
          <w:spacing w:val="-12"/>
          <w:sz w:val="25"/>
        </w:rPr>
        <w:t>識的模型。一開始是在恩主公醫院測的，可是在恩主公醫院的病房裡面測都是護理的人，我們拿到長照機構裡面它又是</w:t>
      </w:r>
      <w:r>
        <w:rPr>
          <w:spacing w:val="-20"/>
          <w:sz w:val="25"/>
        </w:rPr>
        <w:t>一塌糊塗。」</w:t>
      </w:r>
      <w:r>
        <w:rPr>
          <w:sz w:val="25"/>
        </w:rPr>
        <w:t>（林恩羽研發副總，</w:t>
      </w:r>
      <w:r>
        <w:rPr>
          <w:rFonts w:ascii="Times New Roman" w:eastAsia="Times New Roman"/>
          <w:i/>
          <w:sz w:val="24"/>
        </w:rPr>
        <w:t>2024</w:t>
      </w:r>
      <w:r>
        <w:rPr>
          <w:rFonts w:ascii="Times New Roman" w:eastAsia="Times New Roman"/>
          <w:i/>
          <w:spacing w:val="-15"/>
          <w:sz w:val="24"/>
        </w:rPr>
        <w:t> </w:t>
      </w:r>
      <w:r>
        <w:rPr>
          <w:sz w:val="25"/>
        </w:rPr>
        <w:t>訪談資料）</w:t>
      </w:r>
    </w:p>
    <w:p>
      <w:pPr>
        <w:pStyle w:val="Heading3"/>
        <w:spacing w:before="79"/>
        <w:rPr>
          <w:position w:val="1"/>
        </w:rPr>
      </w:pPr>
      <w:r>
        <w:rPr>
          <w:b w:val="0"/>
        </w:rPr>
        <w:drawing>
          <wp:inline distT="0" distB="0" distL="0" distR="0">
            <wp:extent cx="529590" cy="130301"/>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89"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技術跨界資源行動</w:t>
      </w:r>
    </w:p>
    <w:p>
      <w:pPr>
        <w:pStyle w:val="Heading4"/>
        <w:spacing w:before="340"/>
      </w:pPr>
      <w:r>
        <w:rPr/>
        <w:t>建構 </w:t>
      </w:r>
      <w:r>
        <w:rPr>
          <w:rFonts w:ascii="Times New Roman" w:eastAsia="Times New Roman"/>
        </w:rPr>
        <w:t>API </w:t>
      </w:r>
      <w:r>
        <w:rPr>
          <w:spacing w:val="-3"/>
        </w:rPr>
        <w:t>整合方案</w:t>
      </w:r>
    </w:p>
    <w:p>
      <w:pPr>
        <w:pStyle w:val="BodyText"/>
        <w:spacing w:line="422" w:lineRule="auto" w:before="358"/>
        <w:ind w:right="683" w:firstLine="479"/>
      </w:pPr>
      <w:r>
        <w:rPr>
          <w:spacing w:val="-6"/>
        </w:rPr>
        <w:t>諾亞克創立之初專注於生理數據的自動上傳，成功減少紙本作業的不便。然</w:t>
      </w:r>
      <w:r>
        <w:rPr>
          <w:spacing w:val="-4"/>
        </w:rPr>
        <w:t>而，在業務拓展過程中，諾亞克發現，各類設備與系統的差異導致無法實現無縫對接，部分設備雖支援數據上傳，但介面設計不佳，影響了整體流程的順暢性。基於此挑戰，諾亞克選擇不開發自有品牌的硬體生態系，而是聚焦於數位流程整合，嘗試出最合適的設備與服務商，進一步優化其合作模式。例如，智慧床墊等設備由客戶直接向廠商購買，諾亞克則提供系統串接服務，不向客戶收取硬體費</w:t>
      </w:r>
      <w:r>
        <w:rPr>
          <w:spacing w:val="-9"/>
        </w:rPr>
        <w:t>用。透過靈活的 </w:t>
      </w:r>
      <w:r>
        <w:rPr>
          <w:rFonts w:ascii="Times New Roman" w:eastAsia="Times New Roman"/>
          <w:spacing w:val="-6"/>
        </w:rPr>
        <w:t>API</w:t>
      </w:r>
      <w:r>
        <w:rPr>
          <w:rFonts w:ascii="Times New Roman" w:eastAsia="Times New Roman"/>
          <w:spacing w:val="-9"/>
        </w:rPr>
        <w:t> </w:t>
      </w:r>
      <w:r>
        <w:rPr>
          <w:spacing w:val="-6"/>
        </w:rPr>
        <w:t>對接，實現跨品牌、跨系統的數據整合，滿足多樣化的設備</w:t>
      </w:r>
      <w:r>
        <w:rPr>
          <w:spacing w:val="-4"/>
        </w:rPr>
        <w:t>需求。</w:t>
      </w:r>
    </w:p>
    <w:p>
      <w:pPr>
        <w:pStyle w:val="BodyText"/>
        <w:spacing w:after="0" w:line="422" w:lineRule="auto"/>
        <w:sectPr>
          <w:pgSz w:w="11910" w:h="16840"/>
          <w:pgMar w:header="0" w:footer="1197" w:top="1800" w:bottom="1380" w:left="1133" w:right="1133"/>
        </w:sectPr>
      </w:pPr>
    </w:p>
    <w:p>
      <w:pPr>
        <w:spacing w:line="405" w:lineRule="auto" w:before="37"/>
        <w:ind w:left="1701" w:right="1697" w:firstLine="480"/>
        <w:jc w:val="both"/>
        <w:rPr>
          <w:sz w:val="25"/>
        </w:rPr>
      </w:pPr>
      <w:r>
        <w:rPr>
          <w:spacing w:val="-12"/>
          <w:sz w:val="25"/>
        </w:rPr>
        <w:t>「我們的系統演變成透過 </w:t>
      </w:r>
      <w:r>
        <w:rPr>
          <w:rFonts w:ascii="Times New Roman" w:eastAsia="Times New Roman"/>
          <w:i/>
          <w:spacing w:val="-10"/>
          <w:sz w:val="24"/>
        </w:rPr>
        <w:t>Wi-Fi</w:t>
      </w:r>
      <w:r>
        <w:rPr>
          <w:rFonts w:ascii="Times New Roman" w:eastAsia="Times New Roman"/>
          <w:i/>
          <w:spacing w:val="13"/>
          <w:sz w:val="24"/>
        </w:rPr>
        <w:t> </w:t>
      </w:r>
      <w:r>
        <w:rPr>
          <w:spacing w:val="-10"/>
          <w:sz w:val="25"/>
        </w:rPr>
        <w:t>傳輸的全合一系統，並</w:t>
      </w:r>
      <w:r>
        <w:rPr>
          <w:spacing w:val="-15"/>
          <w:sz w:val="25"/>
        </w:rPr>
        <w:t>且與藍牙設備連接，透過 </w:t>
      </w:r>
      <w:r>
        <w:rPr>
          <w:rFonts w:ascii="Times New Roman" w:eastAsia="Times New Roman"/>
          <w:i/>
          <w:spacing w:val="-14"/>
          <w:sz w:val="24"/>
        </w:rPr>
        <w:t>iPad</w:t>
      </w:r>
      <w:r>
        <w:rPr>
          <w:rFonts w:ascii="Times New Roman" w:eastAsia="Times New Roman"/>
          <w:i/>
          <w:spacing w:val="-1"/>
          <w:sz w:val="24"/>
        </w:rPr>
        <w:t> </w:t>
      </w:r>
      <w:r>
        <w:rPr>
          <w:spacing w:val="-14"/>
          <w:sz w:val="25"/>
        </w:rPr>
        <w:t>傳送數據。這樣的系統的操作邏輯設計更符合醫護人員的需求</w:t>
      </w:r>
      <w:r>
        <w:rPr>
          <w:spacing w:val="-212"/>
          <w:sz w:val="25"/>
        </w:rPr>
        <w:t>」</w:t>
      </w:r>
      <w:r>
        <w:rPr>
          <w:spacing w:val="-14"/>
          <w:sz w:val="25"/>
        </w:rPr>
        <w:t>（林恩羽研發副總，</w:t>
      </w:r>
      <w:r>
        <w:rPr>
          <w:rFonts w:ascii="Times New Roman" w:eastAsia="Times New Roman"/>
          <w:i/>
          <w:spacing w:val="-14"/>
          <w:sz w:val="24"/>
        </w:rPr>
        <w:t>2024</w:t>
      </w:r>
      <w:r>
        <w:rPr>
          <w:rFonts w:ascii="Times New Roman" w:eastAsia="Times New Roman"/>
          <w:i/>
          <w:sz w:val="24"/>
        </w:rPr>
        <w:t> </w:t>
      </w:r>
      <w:r>
        <w:rPr>
          <w:spacing w:val="-14"/>
          <w:sz w:val="25"/>
        </w:rPr>
        <w:t>訪</w:t>
      </w:r>
      <w:r>
        <w:rPr>
          <w:spacing w:val="-4"/>
          <w:sz w:val="25"/>
        </w:rPr>
        <w:t>談資料）</w:t>
      </w:r>
    </w:p>
    <w:p>
      <w:pPr>
        <w:pStyle w:val="Heading4"/>
        <w:spacing w:before="105"/>
      </w:pPr>
      <w:r>
        <w:rPr/>
        <w:t>取得外部 </w:t>
      </w:r>
      <w:r>
        <w:rPr>
          <w:rFonts w:ascii="Times New Roman" w:eastAsia="Times New Roman"/>
        </w:rPr>
        <w:t>AI </w:t>
      </w:r>
      <w:r>
        <w:rPr>
          <w:spacing w:val="-5"/>
        </w:rPr>
        <w:t>技術</w:t>
      </w:r>
    </w:p>
    <w:p>
      <w:pPr>
        <w:pStyle w:val="BodyText"/>
        <w:spacing w:line="422" w:lineRule="auto" w:before="358"/>
        <w:ind w:right="682" w:firstLine="479"/>
      </w:pPr>
      <w:r>
        <w:rPr/>
        <w:t>諾亞克最初構想利用語音辨識技術讓護理人員能直接說出護理記錄，但在</w:t>
      </w:r>
      <w:r>
        <w:rPr>
          <w:spacing w:val="-4"/>
        </w:rPr>
        <w:t>實際操作中發現許多問題。台灣的護理記錄需要混合中文、英文、數字以及專業</w:t>
      </w:r>
      <w:r>
        <w:rPr/>
        <w:t>術語，例如血壓記錄「</w:t>
      </w:r>
      <w:r>
        <w:rPr>
          <w:rFonts w:ascii="Times New Roman" w:eastAsia="Times New Roman"/>
        </w:rPr>
        <w:t>120</w:t>
      </w:r>
      <w:r>
        <w:rPr>
          <w:rFonts w:ascii="Times New Roman" w:eastAsia="Times New Roman"/>
          <w:spacing w:val="-15"/>
        </w:rPr>
        <w:t> </w:t>
      </w:r>
      <w:r>
        <w:rPr>
          <w:rFonts w:ascii="Times New Roman" w:eastAsia="Times New Roman"/>
        </w:rPr>
        <w:t>over</w:t>
      </w:r>
      <w:r>
        <w:rPr>
          <w:rFonts w:ascii="Times New Roman" w:eastAsia="Times New Roman"/>
          <w:spacing w:val="-6"/>
        </w:rPr>
        <w:t> </w:t>
      </w:r>
      <w:r>
        <w:rPr>
          <w:rFonts w:ascii="Times New Roman" w:eastAsia="Times New Roman"/>
        </w:rPr>
        <w:t>80 mmHg</w:t>
      </w:r>
      <w:r>
        <w:rPr>
          <w:spacing w:val="-38"/>
        </w:rPr>
        <w:t>」，對 </w:t>
      </w:r>
      <w:r>
        <w:rPr>
          <w:rFonts w:ascii="Times New Roman" w:eastAsia="Times New Roman"/>
        </w:rPr>
        <w:t>Siri</w:t>
      </w:r>
      <w:r>
        <w:rPr>
          <w:rFonts w:ascii="Times New Roman" w:eastAsia="Times New Roman"/>
          <w:spacing w:val="-5"/>
        </w:rPr>
        <w:t> </w:t>
      </w:r>
      <w:r>
        <w:rPr/>
        <w:t>而言辨識困難，導致記錄內</w:t>
      </w:r>
      <w:r>
        <w:rPr>
          <w:spacing w:val="-2"/>
        </w:rPr>
        <w:t>容混亂，無法達到實際需求。</w:t>
      </w:r>
    </w:p>
    <w:p>
      <w:pPr>
        <w:pStyle w:val="BodyText"/>
        <w:spacing w:line="422" w:lineRule="auto" w:before="104"/>
        <w:ind w:right="683" w:firstLine="479"/>
      </w:pPr>
      <w:r>
        <w:rPr/>
        <w:drawing>
          <wp:anchor distT="0" distB="0" distL="0" distR="0" allowOverlap="1" layoutInCell="1" locked="0" behindDoc="1" simplePos="0" relativeHeight="485810688">
            <wp:simplePos x="0" y="0"/>
            <wp:positionH relativeFrom="page">
              <wp:posOffset>3312414</wp:posOffset>
            </wp:positionH>
            <wp:positionV relativeFrom="paragraph">
              <wp:posOffset>364083</wp:posOffset>
            </wp:positionV>
            <wp:extent cx="929640" cy="978408"/>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而台灣長照機構又可分為護理之家和老人福利機構，不同場域的護理人員</w:t>
      </w:r>
      <w:r>
        <w:rPr>
          <w:spacing w:val="-4"/>
        </w:rPr>
        <w:t>所用的語言也有所差異。老人福利機構的護理記錄語氣輕鬆，類似於敘事，記錄</w:t>
      </w:r>
      <w:r>
        <w:rPr>
          <w:spacing w:val="-19"/>
        </w:rPr>
        <w:t>生活狀況，例如：「早上 </w:t>
      </w:r>
      <w:r>
        <w:rPr>
          <w:rFonts w:ascii="Times New Roman" w:eastAsia="Times New Roman"/>
          <w:spacing w:val="-4"/>
        </w:rPr>
        <w:t>7</w:t>
      </w:r>
      <w:r>
        <w:rPr>
          <w:rFonts w:ascii="Times New Roman" w:eastAsia="Times New Roman"/>
          <w:spacing w:val="-11"/>
        </w:rPr>
        <w:t> </w:t>
      </w:r>
      <w:r>
        <w:rPr>
          <w:spacing w:val="-4"/>
        </w:rPr>
        <w:t>點起床心情不錯，下午有提到想見兒子</w:t>
      </w:r>
      <w:r>
        <w:rPr>
          <w:spacing w:val="-25"/>
        </w:rPr>
        <w:t>」。但在護理之</w:t>
      </w:r>
      <w:r>
        <w:rPr>
          <w:spacing w:val="-4"/>
        </w:rPr>
        <w:t>家中，語音記錄則更偏專業化，內容涉及特定醫療操作與器材細節，如更換導尿</w:t>
      </w:r>
      <w:r>
        <w:rPr>
          <w:spacing w:val="-2"/>
        </w:rPr>
        <w:t>管的尺寸和材質。針對這些需求，標準的語音模型往往無法精確識別。</w:t>
      </w:r>
    </w:p>
    <w:p>
      <w:pPr>
        <w:pStyle w:val="BodyText"/>
        <w:spacing w:line="422" w:lineRule="auto" w:before="102"/>
        <w:ind w:right="683" w:firstLine="479"/>
      </w:pPr>
      <w:r>
        <w:rPr>
          <w:spacing w:val="-11"/>
        </w:rPr>
        <w:t>直到 </w:t>
      </w:r>
      <w:r>
        <w:rPr>
          <w:rFonts w:ascii="Times New Roman" w:eastAsia="Times New Roman"/>
          <w:spacing w:val="-2"/>
        </w:rPr>
        <w:t>2021</w:t>
      </w:r>
      <w:r>
        <w:rPr>
          <w:rFonts w:ascii="Times New Roman" w:eastAsia="Times New Roman"/>
          <w:spacing w:val="-12"/>
        </w:rPr>
        <w:t> </w:t>
      </w:r>
      <w:r>
        <w:rPr>
          <w:spacing w:val="-2"/>
        </w:rPr>
        <w:t>年，台灣才針對醫護領域開發了語音辨識模型。然而，當模型應</w:t>
      </w:r>
      <w:r>
        <w:rPr>
          <w:spacing w:val="-4"/>
        </w:rPr>
        <w:t>用於長照機構時，效果依然不佳。為解決此問題，諾亞克開始與陽明交大合作，</w:t>
      </w:r>
      <w:r>
        <w:rPr>
          <w:spacing w:val="-2"/>
        </w:rPr>
        <w:t>將累積十年的的護理記錄文本交由學術團隊，並邀請護理系學生及護理師等相</w:t>
      </w:r>
      <w:r>
        <w:rPr>
          <w:spacing w:val="-4"/>
        </w:rPr>
        <w:t>關人員進行錄音，以重新訓練模型，歷時近一年，終於成功開發出更準確的語音</w:t>
      </w:r>
      <w:r>
        <w:rPr>
          <w:spacing w:val="-2"/>
        </w:rPr>
        <w:t>辨識系統，增添了「語音筆記本」功能，以滿足長照單位的特定需求。</w:t>
      </w:r>
    </w:p>
    <w:p>
      <w:pPr>
        <w:spacing w:line="405" w:lineRule="auto" w:before="86"/>
        <w:ind w:left="1701" w:right="1700" w:firstLine="480"/>
        <w:jc w:val="both"/>
        <w:rPr>
          <w:sz w:val="25"/>
        </w:rPr>
      </w:pPr>
      <w:r>
        <w:rPr>
          <w:spacing w:val="-10"/>
          <w:sz w:val="25"/>
        </w:rPr>
        <w:t>「在老人服機構裡面一般的語音模型</w:t>
      </w:r>
      <w:r>
        <w:rPr>
          <w:rFonts w:ascii="Times New Roman" w:eastAsia="Times New Roman"/>
          <w:i/>
          <w:spacing w:val="-10"/>
          <w:sz w:val="24"/>
        </w:rPr>
        <w:t>ok</w:t>
      </w:r>
      <w:r>
        <w:rPr>
          <w:spacing w:val="-10"/>
          <w:sz w:val="25"/>
        </w:rPr>
        <w:t>，可是到護理之</w:t>
      </w:r>
      <w:r>
        <w:rPr>
          <w:spacing w:val="-26"/>
          <w:sz w:val="25"/>
        </w:rPr>
        <w:t>家就不行，因為他就會講說：「噢今天幫他換冷尿管，啊他那</w:t>
      </w:r>
      <w:r>
        <w:rPr>
          <w:spacing w:val="-16"/>
          <w:sz w:val="25"/>
        </w:rPr>
        <w:t>個管徑多少，然後材質是什麼</w:t>
      </w:r>
      <w:r>
        <w:rPr>
          <w:spacing w:val="-29"/>
          <w:sz w:val="25"/>
        </w:rPr>
        <w:t>」，那個就會需要特別去做一個</w:t>
      </w:r>
      <w:r>
        <w:rPr>
          <w:spacing w:val="-17"/>
          <w:sz w:val="25"/>
        </w:rPr>
        <w:t>訓練才有辦法辨識的出來。」</w:t>
      </w:r>
      <w:r>
        <w:rPr>
          <w:spacing w:val="-8"/>
          <w:sz w:val="25"/>
        </w:rPr>
        <w:t>（林恩羽研發副總，</w:t>
      </w:r>
      <w:r>
        <w:rPr>
          <w:rFonts w:ascii="Times New Roman" w:eastAsia="Times New Roman"/>
          <w:i/>
          <w:spacing w:val="-8"/>
          <w:sz w:val="24"/>
        </w:rPr>
        <w:t>2024</w:t>
      </w:r>
      <w:r>
        <w:rPr>
          <w:rFonts w:ascii="Times New Roman" w:eastAsia="Times New Roman"/>
          <w:i/>
          <w:spacing w:val="-2"/>
          <w:sz w:val="24"/>
        </w:rPr>
        <w:t> </w:t>
      </w:r>
      <w:r>
        <w:rPr>
          <w:spacing w:val="-8"/>
          <w:sz w:val="25"/>
        </w:rPr>
        <w:t>訪談</w:t>
      </w:r>
      <w:r>
        <w:rPr>
          <w:spacing w:val="-4"/>
          <w:sz w:val="25"/>
        </w:rPr>
        <w:t>資料）</w:t>
      </w:r>
    </w:p>
    <w:p>
      <w:pPr>
        <w:spacing w:after="0" w:line="405" w:lineRule="auto"/>
        <w:jc w:val="both"/>
        <w:rPr>
          <w:sz w:val="25"/>
        </w:rPr>
        <w:sectPr>
          <w:pgSz w:w="11910" w:h="16840"/>
          <w:pgMar w:header="0" w:footer="1197" w:top="1740" w:bottom="1380" w:left="1133" w:right="1133"/>
        </w:sectPr>
      </w:pPr>
    </w:p>
    <w:p>
      <w:pPr>
        <w:pStyle w:val="Heading2"/>
        <w:spacing w:line="500" w:lineRule="exact"/>
        <w:rPr>
          <w:position w:val="1"/>
        </w:rPr>
      </w:pPr>
      <w:r>
        <w:rPr>
          <w:b w:val="0"/>
        </w:rPr>
        <w:drawing>
          <wp:inline distT="0" distB="0" distL="0" distR="0">
            <wp:extent cx="400050" cy="145542"/>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90" cstate="print"/>
                    <a:stretch>
                      <a:fillRect/>
                    </a:stretch>
                  </pic:blipFill>
                  <pic:spPr>
                    <a:xfrm>
                      <a:off x="0" y="0"/>
                      <a:ext cx="400050" cy="145542"/>
                    </a:xfrm>
                    <a:prstGeom prst="rect">
                      <a:avLst/>
                    </a:prstGeom>
                  </pic:spPr>
                </pic:pic>
              </a:graphicData>
            </a:graphic>
          </wp:inline>
        </w:drawing>
      </w:r>
      <w:r>
        <w:rPr>
          <w:b w:val="0"/>
        </w:rPr>
      </w:r>
      <w:r>
        <w:rPr>
          <w:rFonts w:ascii="Times New Roman" w:eastAsia="Times New Roman"/>
          <w:b w:val="0"/>
          <w:spacing w:val="23"/>
          <w:position w:val="1"/>
          <w:sz w:val="20"/>
        </w:rPr>
        <w:t> </w:t>
      </w:r>
      <w:bookmarkStart w:name="_bookmark66" w:id="67"/>
      <w:bookmarkEnd w:id="67"/>
      <w:r>
        <w:rPr>
          <w:rFonts w:ascii="Times New Roman" w:eastAsia="Times New Roman"/>
          <w:b w:val="0"/>
          <w:spacing w:val="23"/>
          <w:position w:val="1"/>
          <w:sz w:val="20"/>
        </w:rPr>
      </w:r>
      <w:r>
        <w:rPr>
          <w:spacing w:val="-4"/>
          <w:position w:val="1"/>
        </w:rPr>
        <w:t>數位服務的拓展</w:t>
      </w:r>
    </w:p>
    <w:p>
      <w:pPr>
        <w:pStyle w:val="Heading4"/>
        <w:spacing w:before="307"/>
      </w:pPr>
      <w:r>
        <w:rPr>
          <w:spacing w:val="-1"/>
        </w:rPr>
        <w:t>全台唯一一家無須切換網頁或帳號的一站式長照系統整合</w:t>
      </w:r>
    </w:p>
    <w:p>
      <w:pPr>
        <w:pStyle w:val="BodyText"/>
        <w:spacing w:line="422" w:lineRule="auto" w:before="358"/>
        <w:ind w:right="683" w:firstLine="479"/>
      </w:pPr>
      <w:r>
        <w:rPr>
          <w:spacing w:val="-2"/>
        </w:rPr>
        <w:t>諾亞克的長照系統在整合度上具有顯著特色，特別是在集團式經營的長照</w:t>
      </w:r>
      <w:r>
        <w:rPr>
          <w:spacing w:val="-4"/>
        </w:rPr>
        <w:t>單位中顯現出優勢。無論是住宿機構、居護、日照中心還是居服單位，使用者只需登入一次，便能在不同場景中無縫切換操作，無需反覆登出或更換網址來查詢個案資料。這樣的整合，簡化了各單位的管理流程，讓使用者僅需學習一套系統</w:t>
      </w:r>
      <w:r>
        <w:rPr>
          <w:spacing w:val="-2"/>
        </w:rPr>
        <w:t>便能應對多元需求。</w:t>
      </w:r>
    </w:p>
    <w:p>
      <w:pPr>
        <w:pStyle w:val="BodyText"/>
        <w:spacing w:line="422" w:lineRule="auto" w:before="102"/>
        <w:ind w:right="683" w:firstLine="479"/>
      </w:pPr>
      <w:r>
        <w:rPr/>
        <w:drawing>
          <wp:anchor distT="0" distB="0" distL="0" distR="0" allowOverlap="1" layoutInCell="1" locked="0" behindDoc="1" simplePos="0" relativeHeight="485811200">
            <wp:simplePos x="0" y="0"/>
            <wp:positionH relativeFrom="page">
              <wp:posOffset>3312414</wp:posOffset>
            </wp:positionH>
            <wp:positionV relativeFrom="paragraph">
              <wp:posOffset>934757</wp:posOffset>
            </wp:positionV>
            <wp:extent cx="929640" cy="978408"/>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此外，諾亞克針對不同長照服務場景提供了多元化的產品和工具，包括便捷</w:t>
      </w:r>
      <w:r>
        <w:rPr>
          <w:spacing w:val="-1"/>
        </w:rPr>
        <w:t>的居家服務管理平台、日間照顧的家屬聯絡 </w:t>
      </w:r>
      <w:r>
        <w:rPr>
          <w:rFonts w:ascii="Times New Roman" w:eastAsia="Times New Roman"/>
        </w:rPr>
        <w:t>APP</w:t>
      </w:r>
      <w:r>
        <w:rPr/>
        <w:t>，以及社區托育服務的派車系</w:t>
      </w:r>
      <w:r>
        <w:rPr>
          <w:spacing w:val="-4"/>
        </w:rPr>
        <w:t>統等，協助各單位管理資源並提升營運效率。這種一站式的系統整合在台灣市場中較為獨特，涵蓋了從機構、社區到個人層面的廣泛服務範疇，不僅長照單位帶</w:t>
      </w:r>
      <w:r>
        <w:rPr>
          <w:spacing w:val="-2"/>
        </w:rPr>
        <w:t>來了高效便捷的管理方式，更在台灣長照市場中建立了不可動搖的競爭優勢。</w:t>
      </w:r>
    </w:p>
    <w:p>
      <w:pPr>
        <w:spacing w:line="405" w:lineRule="auto" w:before="165"/>
        <w:ind w:left="1048" w:right="1043" w:firstLine="480"/>
        <w:jc w:val="both"/>
        <w:rPr>
          <w:sz w:val="25"/>
        </w:rPr>
      </w:pPr>
      <w:r>
        <w:rPr>
          <w:spacing w:val="-8"/>
          <w:sz w:val="25"/>
        </w:rPr>
        <w:t>「我們公司的優勢在於對這類功能的整合速度非常快。我知道有些同業可能需要兩個禮拜到一個月的時間來完成對接，但我們公司可以在</w:t>
      </w:r>
      <w:r>
        <w:rPr>
          <w:spacing w:val="-19"/>
          <w:sz w:val="25"/>
        </w:rPr>
        <w:t>兩天內完成。」</w:t>
      </w:r>
      <w:r>
        <w:rPr>
          <w:spacing w:val="-2"/>
          <w:sz w:val="25"/>
        </w:rPr>
        <w:t>（林恩羽研發副總，</w:t>
      </w:r>
      <w:r>
        <w:rPr>
          <w:rFonts w:ascii="Times New Roman" w:eastAsia="Times New Roman"/>
          <w:i/>
          <w:spacing w:val="-2"/>
          <w:sz w:val="24"/>
        </w:rPr>
        <w:t>2023</w:t>
      </w:r>
      <w:r>
        <w:rPr>
          <w:rFonts w:ascii="Times New Roman" w:eastAsia="Times New Roman"/>
          <w:i/>
          <w:spacing w:val="-3"/>
          <w:sz w:val="24"/>
        </w:rPr>
        <w:t> </w:t>
      </w:r>
      <w:r>
        <w:rPr>
          <w:spacing w:val="-2"/>
          <w:sz w:val="25"/>
        </w:rPr>
        <w:t>訪談資料）</w:t>
      </w:r>
    </w:p>
    <w:p>
      <w:pPr>
        <w:spacing w:line="405" w:lineRule="auto" w:before="176"/>
        <w:ind w:left="689" w:right="683" w:firstLine="479"/>
        <w:jc w:val="both"/>
        <w:rPr>
          <w:sz w:val="25"/>
        </w:rPr>
      </w:pPr>
      <w:r>
        <w:rPr>
          <w:spacing w:val="-8"/>
          <w:sz w:val="25"/>
        </w:rPr>
        <w:t>「我們是全台灣唯一一家涵蓋各種長照單位使用系統的公司，包含住宿式</w:t>
      </w:r>
      <w:r>
        <w:rPr>
          <w:spacing w:val="-14"/>
          <w:sz w:val="25"/>
        </w:rPr>
        <w:t>機構、居家服務以及居家護理。全台灣目前真的只有我們一家做到這種整合，這</w:t>
      </w:r>
      <w:r>
        <w:rPr>
          <w:spacing w:val="-17"/>
          <w:sz w:val="25"/>
        </w:rPr>
        <w:t>不是誇大其辭。」</w:t>
      </w:r>
      <w:r>
        <w:rPr>
          <w:spacing w:val="-2"/>
          <w:sz w:val="25"/>
        </w:rPr>
        <w:t>（林恩羽研發副總，</w:t>
      </w:r>
      <w:r>
        <w:rPr>
          <w:rFonts w:ascii="Times New Roman" w:eastAsia="Times New Roman"/>
          <w:i/>
          <w:spacing w:val="-2"/>
          <w:sz w:val="24"/>
        </w:rPr>
        <w:t>2023</w:t>
      </w:r>
      <w:r>
        <w:rPr>
          <w:rFonts w:ascii="Times New Roman" w:eastAsia="Times New Roman"/>
          <w:i/>
          <w:spacing w:val="-11"/>
          <w:sz w:val="24"/>
        </w:rPr>
        <w:t> </w:t>
      </w:r>
      <w:r>
        <w:rPr>
          <w:spacing w:val="-2"/>
          <w:sz w:val="25"/>
        </w:rPr>
        <w:t>訪談資料）</w:t>
      </w:r>
    </w:p>
    <w:p>
      <w:pPr>
        <w:spacing w:after="0" w:line="405" w:lineRule="auto"/>
        <w:jc w:val="both"/>
        <w:rPr>
          <w:sz w:val="25"/>
        </w:rPr>
        <w:sectPr>
          <w:pgSz w:w="11910" w:h="16840"/>
          <w:pgMar w:header="0" w:footer="1197" w:top="1800" w:bottom="1380" w:left="1133" w:right="1133"/>
        </w:sectPr>
      </w:pPr>
    </w:p>
    <w:p>
      <w:pPr>
        <w:pStyle w:val="Heading2"/>
        <w:spacing w:line="500" w:lineRule="exact"/>
        <w:rPr>
          <w:position w:val="1"/>
        </w:rPr>
      </w:pPr>
      <w:r>
        <w:rPr>
          <w:b w:val="0"/>
        </w:rPr>
        <w:drawing>
          <wp:inline distT="0" distB="0" distL="0" distR="0">
            <wp:extent cx="401574" cy="145542"/>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91" cstate="print"/>
                    <a:stretch>
                      <a:fillRect/>
                    </a:stretch>
                  </pic:blipFill>
                  <pic:spPr>
                    <a:xfrm>
                      <a:off x="0" y="0"/>
                      <a:ext cx="401574" cy="145542"/>
                    </a:xfrm>
                    <a:prstGeom prst="rect">
                      <a:avLst/>
                    </a:prstGeom>
                  </pic:spPr>
                </pic:pic>
              </a:graphicData>
            </a:graphic>
          </wp:inline>
        </w:drawing>
      </w:r>
      <w:r>
        <w:rPr>
          <w:b w:val="0"/>
        </w:rPr>
      </w:r>
      <w:r>
        <w:rPr>
          <w:rFonts w:ascii="Times New Roman" w:eastAsia="Times New Roman"/>
          <w:b w:val="0"/>
          <w:position w:val="1"/>
          <w:sz w:val="20"/>
        </w:rPr>
        <w:t> </w:t>
      </w:r>
      <w:bookmarkStart w:name="_bookmark67" w:id="68"/>
      <w:bookmarkEnd w:id="68"/>
      <w:r>
        <w:rPr>
          <w:rFonts w:ascii="Times New Roman" w:eastAsia="Times New Roman"/>
          <w:b w:val="0"/>
          <w:spacing w:val="21"/>
          <w:position w:val="1"/>
          <w:sz w:val="20"/>
        </w:rPr>
      </w:r>
      <w:r>
        <w:rPr>
          <w:spacing w:val="-2"/>
          <w:position w:val="1"/>
        </w:rPr>
        <w:t>第一階段小結</w:t>
      </w:r>
    </w:p>
    <w:p>
      <w:pPr>
        <w:pStyle w:val="BodyText"/>
        <w:spacing w:line="422" w:lineRule="auto" w:before="386"/>
        <w:ind w:right="788" w:firstLine="479"/>
      </w:pPr>
      <w:r>
        <w:rPr>
          <w:spacing w:val="-2"/>
        </w:rPr>
        <w:t>在公司發展的初期階段，企業僅具備基礎的技術資源，而競爭環境對組織的發展方向產生了深遠影響。通過市場跨界探索，公司確立了具體且精確的發展路線。然而，由於初期對使用者需求的理解尚不充分，企業選擇深入長照場域進行實地觀察和蹲點，這是一種在資源有限、社會資本不足的情況下，以最低成本建構最適合使用者需求方案的有效策略。在這一階段，資源的獲取顯得尤為重要，無論是專業人才、政府支持，還是機構合作，這些都成為企業建立知識基礎的重要途徑。</w:t>
      </w:r>
    </w:p>
    <w:p>
      <w:pPr>
        <w:pStyle w:val="BodyText"/>
        <w:spacing w:line="422" w:lineRule="auto" w:before="100"/>
        <w:ind w:right="683" w:firstLine="479"/>
      </w:pPr>
      <w:r>
        <w:rPr/>
        <w:drawing>
          <wp:anchor distT="0" distB="0" distL="0" distR="0" allowOverlap="1" layoutInCell="1" locked="0" behindDoc="1" simplePos="0" relativeHeight="485811712">
            <wp:simplePos x="0" y="0"/>
            <wp:positionH relativeFrom="page">
              <wp:posOffset>3312414</wp:posOffset>
            </wp:positionH>
            <wp:positionV relativeFrom="paragraph">
              <wp:posOffset>704842</wp:posOffset>
            </wp:positionV>
            <wp:extent cx="929640" cy="978408"/>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隨著市場方向逐漸明確且產業專業知識的積累，公司開始將已有的資源轉</w:t>
      </w:r>
      <w:r>
        <w:rPr>
          <w:spacing w:val="-7"/>
        </w:rPr>
        <w:t>化為具體的 </w:t>
      </w:r>
      <w:r>
        <w:rPr>
          <w:rFonts w:ascii="Times New Roman" w:eastAsia="Times New Roman"/>
          <w:spacing w:val="-2"/>
        </w:rPr>
        <w:t>SaaS</w:t>
      </w:r>
      <w:r>
        <w:rPr>
          <w:rFonts w:ascii="Times New Roman" w:eastAsia="Times New Roman"/>
          <w:spacing w:val="-9"/>
        </w:rPr>
        <w:t> </w:t>
      </w:r>
      <w:r>
        <w:rPr>
          <w:spacing w:val="-2"/>
        </w:rPr>
        <w:t>產品內容。在這個過程中，內部團隊在產品開發中不斷發現現</w:t>
      </w:r>
      <w:r>
        <w:rPr>
          <w:spacing w:val="-4"/>
        </w:rPr>
        <w:t>有技術的不足，進而向外部尋求技術支援，逐步補強產品能力。同時，企業遵循相似的發展模式，從機構照護、護理照護延伸至居家照護，將不同層面的照護需求整合到統一的產品架構中。最終，這些資源和能力被系統化整合，成功開發出一款一站式的長照資訊系統，不僅滿足了市場需求，還成為企業在長照產業中的</w:t>
      </w:r>
      <w:r>
        <w:rPr>
          <w:spacing w:val="-2"/>
        </w:rPr>
        <w:t>境爭優勢基礎。本研究將諾亞克第一階段市場拓展相關分析整理如表 </w:t>
      </w:r>
      <w:r>
        <w:rPr>
          <w:rFonts w:ascii="Times New Roman" w:eastAsia="Times New Roman"/>
        </w:rPr>
        <w:t>5.1.7-1</w:t>
      </w:r>
      <w:r>
        <w:rPr/>
        <w:t>。</w:t>
      </w:r>
    </w:p>
    <w:p>
      <w:pPr>
        <w:pStyle w:val="BodyText"/>
        <w:spacing w:after="0" w:line="422" w:lineRule="auto"/>
        <w:sectPr>
          <w:pgSz w:w="11910" w:h="16840"/>
          <w:pgMar w:header="0" w:footer="1197" w:top="1800" w:bottom="1380" w:left="1133" w:right="1133"/>
        </w:sectPr>
      </w:pPr>
    </w:p>
    <w:p>
      <w:pPr>
        <w:pStyle w:val="Heading4"/>
        <w:spacing w:line="409" w:lineRule="exact"/>
        <w:ind w:left="597" w:right="118"/>
        <w:jc w:val="center"/>
      </w:pPr>
      <w:bookmarkStart w:name="_bookmark68" w:id="69"/>
      <w:bookmarkEnd w:id="69"/>
      <w:r>
        <w:rPr>
          <w:b w:val="0"/>
        </w:rPr>
      </w:r>
      <w:r>
        <w:rPr>
          <w:spacing w:val="30"/>
        </w:rPr>
        <w:t>表 </w:t>
      </w:r>
      <w:r>
        <w:rPr>
          <w:rFonts w:ascii="Times New Roman" w:eastAsia="Times New Roman"/>
        </w:rPr>
        <w:t>5.1.7-1</w:t>
      </w:r>
      <w:r>
        <w:rPr>
          <w:rFonts w:ascii="Times New Roman" w:eastAsia="Times New Roman"/>
          <w:spacing w:val="60"/>
        </w:rPr>
        <w:t> </w:t>
      </w:r>
      <w:r>
        <w:rPr>
          <w:spacing w:val="-2"/>
        </w:rPr>
        <w:t>第一階段分析表</w:t>
      </w:r>
    </w:p>
    <w:p>
      <w:pPr>
        <w:pStyle w:val="BodyText"/>
        <w:spacing w:before="17"/>
        <w:ind w:left="0"/>
        <w:jc w:val="left"/>
        <w:rPr>
          <w:rFonts w:ascii="Microsoft JhengHei"/>
          <w:b/>
          <w:sz w:val="9"/>
        </w:r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435"/>
        <w:gridCol w:w="6574"/>
      </w:tblGrid>
      <w:tr>
        <w:trPr>
          <w:trHeight w:val="899" w:hRule="atLeast"/>
        </w:trPr>
        <w:tc>
          <w:tcPr>
            <w:tcW w:w="2205" w:type="dxa"/>
            <w:gridSpan w:val="2"/>
            <w:shd w:val="clear" w:color="auto" w:fill="D0CECE"/>
          </w:tcPr>
          <w:p>
            <w:pPr>
              <w:pStyle w:val="TableParagraph"/>
              <w:spacing w:before="203"/>
              <w:ind w:left="218" w:right="4"/>
              <w:jc w:val="center"/>
              <w:rPr>
                <w:rFonts w:ascii="Microsoft JhengHei" w:eastAsia="Microsoft JhengHei"/>
                <w:b/>
                <w:sz w:val="24"/>
              </w:rPr>
            </w:pPr>
            <w:r>
              <w:rPr>
                <w:rFonts w:ascii="Microsoft JhengHei" w:eastAsia="Microsoft JhengHei"/>
                <w:b/>
                <w:spacing w:val="-5"/>
                <w:sz w:val="24"/>
              </w:rPr>
              <w:t>理論</w:t>
            </w:r>
          </w:p>
        </w:tc>
        <w:tc>
          <w:tcPr>
            <w:tcW w:w="6574" w:type="dxa"/>
            <w:shd w:val="clear" w:color="auto" w:fill="D0CECE"/>
          </w:tcPr>
          <w:p>
            <w:pPr>
              <w:pStyle w:val="TableParagraph"/>
              <w:spacing w:before="203"/>
              <w:ind w:left="19"/>
              <w:jc w:val="center"/>
              <w:rPr>
                <w:rFonts w:ascii="Microsoft JhengHei" w:eastAsia="Microsoft JhengHei"/>
                <w:b/>
                <w:sz w:val="24"/>
              </w:rPr>
            </w:pPr>
            <w:r>
              <w:rPr>
                <w:rFonts w:ascii="Microsoft JhengHei" w:eastAsia="Microsoft JhengHei"/>
                <w:b/>
                <w:spacing w:val="-3"/>
                <w:sz w:val="24"/>
              </w:rPr>
              <w:t>觀察重點</w:t>
            </w:r>
          </w:p>
        </w:tc>
      </w:tr>
      <w:tr>
        <w:trPr>
          <w:trHeight w:val="2627" w:hRule="atLeast"/>
        </w:trPr>
        <w:tc>
          <w:tcPr>
            <w:tcW w:w="2205" w:type="dxa"/>
            <w:gridSpan w:val="2"/>
          </w:tcPr>
          <w:p>
            <w:pPr>
              <w:pStyle w:val="TableParagraph"/>
              <w:rPr>
                <w:rFonts w:ascii="Microsoft JhengHei"/>
                <w:b/>
                <w:sz w:val="24"/>
              </w:rPr>
            </w:pPr>
          </w:p>
          <w:p>
            <w:pPr>
              <w:pStyle w:val="TableParagraph"/>
              <w:spacing w:before="184"/>
              <w:rPr>
                <w:rFonts w:ascii="Microsoft JhengHei"/>
                <w:b/>
                <w:sz w:val="24"/>
              </w:rPr>
            </w:pPr>
          </w:p>
          <w:p>
            <w:pPr>
              <w:pStyle w:val="TableParagraph"/>
              <w:spacing w:before="1"/>
              <w:ind w:left="621"/>
              <w:rPr>
                <w:rFonts w:ascii="Microsoft JhengHei" w:eastAsia="Microsoft JhengHei"/>
                <w:b/>
                <w:sz w:val="24"/>
              </w:rPr>
            </w:pPr>
            <w:r>
              <w:rPr>
                <w:rFonts w:ascii="Microsoft JhengHei" w:eastAsia="Microsoft JhengHei"/>
                <w:b/>
                <w:spacing w:val="-3"/>
                <w:sz w:val="24"/>
              </w:rPr>
              <w:t>競爭環境</w:t>
            </w:r>
          </w:p>
        </w:tc>
        <w:tc>
          <w:tcPr>
            <w:tcW w:w="6574" w:type="dxa"/>
          </w:tcPr>
          <w:p>
            <w:pPr>
              <w:pStyle w:val="TableParagraph"/>
              <w:spacing w:line="336" w:lineRule="auto" w:before="203"/>
              <w:ind w:left="262" w:right="180"/>
              <w:rPr>
                <w:sz w:val="24"/>
              </w:rPr>
            </w:pPr>
            <w:r>
              <w:rPr>
                <w:rFonts w:ascii="Microsoft JhengHei" w:eastAsia="Microsoft JhengHei"/>
                <w:b/>
                <w:sz w:val="24"/>
              </w:rPr>
              <w:t>長照機構依賴紙本作業</w:t>
            </w:r>
            <w:r>
              <w:rPr>
                <w:sz w:val="24"/>
              </w:rPr>
              <w:t>：</w:t>
            </w:r>
            <w:r>
              <w:rPr>
                <w:rFonts w:ascii="Times New Roman" w:eastAsia="Times New Roman"/>
                <w:sz w:val="24"/>
              </w:rPr>
              <w:t>2012 </w:t>
            </w:r>
            <w:r>
              <w:rPr>
                <w:sz w:val="24"/>
              </w:rPr>
              <w:t>年左右，臺灣大部分長照機</w:t>
            </w:r>
            <w:r>
              <w:rPr>
                <w:spacing w:val="-7"/>
                <w:sz w:val="24"/>
              </w:rPr>
              <w:t>構仍高度依賴手寫紀錄，效率低下且照服員工作負擔沉重。</w:t>
            </w:r>
          </w:p>
          <w:p>
            <w:pPr>
              <w:pStyle w:val="TableParagraph"/>
              <w:spacing w:line="336" w:lineRule="auto" w:before="140"/>
              <w:ind w:left="262" w:right="242"/>
              <w:rPr>
                <w:sz w:val="24"/>
              </w:rPr>
            </w:pPr>
            <w:r>
              <w:rPr>
                <w:rFonts w:ascii="Microsoft JhengHei" w:eastAsia="Microsoft JhengHei"/>
                <w:b/>
                <w:spacing w:val="-2"/>
                <w:sz w:val="24"/>
              </w:rPr>
              <w:t>系統難以互通</w:t>
            </w:r>
            <w:r>
              <w:rPr>
                <w:spacing w:val="-2"/>
                <w:sz w:val="24"/>
              </w:rPr>
              <w:t>：長照領域資訊系統多為個案形式開發，導致重複輸入與跨平台整合困難。降低了工作效率。</w:t>
            </w:r>
          </w:p>
        </w:tc>
      </w:tr>
      <w:tr>
        <w:trPr>
          <w:trHeight w:val="2521" w:hRule="atLeast"/>
        </w:trPr>
        <w:tc>
          <w:tcPr>
            <w:tcW w:w="2205" w:type="dxa"/>
            <w:gridSpan w:val="2"/>
          </w:tcPr>
          <w:p>
            <w:pPr>
              <w:pStyle w:val="TableParagraph"/>
              <w:rPr>
                <w:rFonts w:ascii="Microsoft JhengHei"/>
                <w:b/>
                <w:sz w:val="24"/>
              </w:rPr>
            </w:pPr>
          </w:p>
          <w:p>
            <w:pPr>
              <w:pStyle w:val="TableParagraph"/>
              <w:spacing w:before="132"/>
              <w:rPr>
                <w:rFonts w:ascii="Microsoft JhengHei"/>
                <w:b/>
                <w:sz w:val="24"/>
              </w:rPr>
            </w:pPr>
          </w:p>
          <w:p>
            <w:pPr>
              <w:pStyle w:val="TableParagraph"/>
              <w:ind w:left="621"/>
              <w:rPr>
                <w:rFonts w:ascii="Microsoft JhengHei" w:eastAsia="Microsoft JhengHei"/>
                <w:b/>
                <w:sz w:val="24"/>
              </w:rPr>
            </w:pPr>
            <w:r>
              <w:rPr>
                <w:rFonts w:ascii="Microsoft JhengHei" w:eastAsia="Microsoft JhengHei"/>
                <w:b/>
                <w:spacing w:val="-3"/>
                <w:sz w:val="24"/>
              </w:rPr>
              <w:t>組織策略</w:t>
            </w:r>
          </w:p>
        </w:tc>
        <w:tc>
          <w:tcPr>
            <w:tcW w:w="6574" w:type="dxa"/>
          </w:tcPr>
          <w:p>
            <w:pPr>
              <w:pStyle w:val="TableParagraph"/>
              <w:spacing w:line="540" w:lineRule="exact" w:before="93"/>
              <w:ind w:left="262" w:right="241"/>
              <w:jc w:val="both"/>
              <w:rPr>
                <w:sz w:val="24"/>
              </w:rPr>
            </w:pPr>
            <w:r>
              <w:rPr>
                <w:spacing w:val="-2"/>
                <w:sz w:val="24"/>
              </w:rPr>
              <w:t>以</w:t>
            </w:r>
            <w:r>
              <w:rPr>
                <w:rFonts w:ascii="Microsoft JhengHei" w:eastAsia="Microsoft JhengHei"/>
                <w:b/>
                <w:spacing w:val="-2"/>
                <w:sz w:val="24"/>
              </w:rPr>
              <w:t>「需求採用」</w:t>
            </w:r>
            <w:r>
              <w:rPr>
                <w:spacing w:val="-2"/>
                <w:sz w:val="24"/>
              </w:rPr>
              <w:t>為核心策略：諾亞克專注於建立簡單易用</w:t>
            </w:r>
            <w:r>
              <w:rPr>
                <w:spacing w:val="-2"/>
                <w:sz w:val="24"/>
              </w:rPr>
              <w:t>的網頁系統，取代繁瑣的手寫記錄方式，透過深入觀察使用者互動，針對具體痛點設計出高度符合市場實際需求的</w:t>
            </w:r>
            <w:r>
              <w:rPr>
                <w:spacing w:val="-4"/>
                <w:sz w:val="24"/>
              </w:rPr>
              <w:t>軟體。</w:t>
            </w:r>
          </w:p>
        </w:tc>
      </w:tr>
      <w:tr>
        <w:trPr>
          <w:trHeight w:val="3815" w:hRule="atLeast"/>
        </w:trPr>
        <w:tc>
          <w:tcPr>
            <w:tcW w:w="770"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411"/>
              <w:rPr>
                <w:rFonts w:ascii="Microsoft JhengHei"/>
                <w:b/>
                <w:sz w:val="24"/>
              </w:rPr>
            </w:pPr>
          </w:p>
          <w:p>
            <w:pPr>
              <w:pStyle w:val="TableParagraph"/>
              <w:spacing w:line="292" w:lineRule="auto"/>
              <w:ind w:left="263" w:right="244"/>
              <w:jc w:val="both"/>
              <w:rPr>
                <w:rFonts w:ascii="Microsoft JhengHei" w:eastAsia="Microsoft JhengHei"/>
                <w:b/>
                <w:sz w:val="24"/>
              </w:rPr>
            </w:pPr>
            <w:r>
              <w:rPr>
                <w:rFonts w:ascii="Microsoft JhengHei" w:eastAsia="Microsoft JhengHei"/>
                <w:b/>
                <w:spacing w:val="-10"/>
                <w:sz w:val="24"/>
              </w:rPr>
              <w:t>市場邊界</w:t>
            </w:r>
          </w:p>
        </w:tc>
        <w:tc>
          <w:tcPr>
            <w:tcW w:w="1435" w:type="dxa"/>
          </w:tcPr>
          <w:p>
            <w:pPr>
              <w:pStyle w:val="TableParagraph"/>
              <w:rPr>
                <w:rFonts w:ascii="Microsoft JhengHei"/>
                <w:b/>
                <w:sz w:val="24"/>
              </w:rPr>
            </w:pPr>
          </w:p>
          <w:p>
            <w:pPr>
              <w:pStyle w:val="TableParagraph"/>
              <w:rPr>
                <w:rFonts w:ascii="Microsoft JhengHei"/>
                <w:b/>
                <w:sz w:val="24"/>
              </w:rPr>
            </w:pPr>
          </w:p>
          <w:p>
            <w:pPr>
              <w:pStyle w:val="TableParagraph"/>
              <w:spacing w:before="15"/>
              <w:rPr>
                <w:rFonts w:ascii="Microsoft JhengHei"/>
                <w:b/>
                <w:sz w:val="24"/>
              </w:rPr>
            </w:pPr>
          </w:p>
          <w:p>
            <w:pPr>
              <w:pStyle w:val="TableParagraph"/>
              <w:spacing w:line="352" w:lineRule="auto"/>
              <w:ind w:left="475" w:right="45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574" w:type="dxa"/>
          </w:tcPr>
          <w:p>
            <w:pPr>
              <w:pStyle w:val="TableParagraph"/>
              <w:spacing w:line="336" w:lineRule="auto" w:before="204"/>
              <w:ind w:left="262" w:right="241"/>
              <w:rPr>
                <w:sz w:val="24"/>
              </w:rPr>
            </w:pPr>
            <w:r>
              <w:rPr>
                <w:sz w:val="24"/>
              </w:rPr>
              <mc:AlternateContent>
                <mc:Choice Requires="wps">
                  <w:drawing>
                    <wp:anchor distT="0" distB="0" distL="0" distR="0" allowOverlap="1" layoutInCell="1" locked="0" behindDoc="1" simplePos="0" relativeHeight="485812224">
                      <wp:simplePos x="0" y="0"/>
                      <wp:positionH relativeFrom="column">
                        <wp:posOffset>824611</wp:posOffset>
                      </wp:positionH>
                      <wp:positionV relativeFrom="paragraph">
                        <wp:posOffset>-555613</wp:posOffset>
                      </wp:positionV>
                      <wp:extent cx="929640" cy="97853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929640" cy="978535"/>
                                <a:chExt cx="929640" cy="978535"/>
                              </a:xfrm>
                            </wpg:grpSpPr>
                            <pic:pic>
                              <pic:nvPicPr>
                                <pic:cNvPr id="174" name="Image 174"/>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4.930008pt;margin-top:-43.749062pt;width:73.2pt;height:77.05pt;mso-position-horizontal-relative:column;mso-position-vertical-relative:paragraph;z-index:-17504256" id="docshapegroup24" coordorigin="1299,-875" coordsize="1464,1541">
                      <v:shape style="position:absolute;left:1298;top:-875;width:1464;height:1541" type="#_x0000_t75" id="docshape25" stroked="false">
                        <v:imagedata r:id="rId6" o:title=""/>
                      </v:shape>
                      <w10:wrap type="none"/>
                    </v:group>
                  </w:pict>
                </mc:Fallback>
              </mc:AlternateContent>
            </w:r>
            <w:r>
              <w:rPr>
                <w:rFonts w:ascii="Microsoft JhengHei" w:eastAsia="Microsoft JhengHei"/>
                <w:b/>
                <w:spacing w:val="-2"/>
                <w:sz w:val="24"/>
              </w:rPr>
              <w:t>醫療與資訊技術的溝通鴻溝</w:t>
            </w:r>
            <w:r>
              <w:rPr>
                <w:spacing w:val="-2"/>
                <w:sz w:val="24"/>
              </w:rPr>
              <w:t>：醫療人員與資訊技術專家間缺乏共同語言與理解，造成需求轉化的挑戰。</w:t>
            </w:r>
          </w:p>
          <w:p>
            <w:pPr>
              <w:pStyle w:val="TableParagraph"/>
              <w:spacing w:line="336" w:lineRule="auto" w:before="139"/>
              <w:ind w:left="262" w:right="241"/>
              <w:rPr>
                <w:sz w:val="24"/>
              </w:rPr>
            </w:pPr>
            <w:r>
              <w:rPr>
                <w:rFonts w:ascii="Microsoft JhengHei" w:eastAsia="Microsoft JhengHei"/>
                <w:b/>
                <w:spacing w:val="-2"/>
                <w:sz w:val="24"/>
              </w:rPr>
              <w:t>遠距照護的嘗試與轉型</w:t>
            </w:r>
            <w:r>
              <w:rPr>
                <w:spacing w:val="-2"/>
                <w:sz w:val="24"/>
              </w:rPr>
              <w:t>：於市場需求未成熟，硬體基礎不足，最終調整策略專注於紙本電子化。</w:t>
            </w:r>
          </w:p>
          <w:p>
            <w:pPr>
              <w:pStyle w:val="TableParagraph"/>
              <w:spacing w:line="336" w:lineRule="auto" w:before="140"/>
              <w:ind w:left="262" w:right="240"/>
              <w:rPr>
                <w:sz w:val="24"/>
              </w:rPr>
            </w:pPr>
            <w:r>
              <w:rPr>
                <w:rFonts w:ascii="Microsoft JhengHei" w:eastAsia="Microsoft JhengHei"/>
                <w:b/>
                <w:spacing w:val="-2"/>
                <w:sz w:val="24"/>
              </w:rPr>
              <w:t>市場缺乏專屬於居家護理的系統</w:t>
            </w:r>
            <w:r>
              <w:rPr>
                <w:spacing w:val="-2"/>
                <w:sz w:val="24"/>
              </w:rPr>
              <w:t>：許多居家護理所依賴過時的診所系統，存在效率低下與操作困難等問題。</w:t>
            </w:r>
          </w:p>
        </w:tc>
      </w:tr>
      <w:tr>
        <w:trPr>
          <w:trHeight w:val="2630" w:hRule="atLeast"/>
        </w:trPr>
        <w:tc>
          <w:tcPr>
            <w:tcW w:w="770" w:type="dxa"/>
            <w:vMerge/>
            <w:tcBorders>
              <w:top w:val="nil"/>
            </w:tcBorders>
          </w:tcPr>
          <w:p>
            <w:pPr>
              <w:rPr>
                <w:sz w:val="2"/>
                <w:szCs w:val="2"/>
              </w:rPr>
            </w:pPr>
          </w:p>
        </w:tc>
        <w:tc>
          <w:tcPr>
            <w:tcW w:w="1435" w:type="dxa"/>
          </w:tcPr>
          <w:p>
            <w:pPr>
              <w:pStyle w:val="TableParagraph"/>
              <w:spacing w:before="302"/>
              <w:rPr>
                <w:rFonts w:ascii="Microsoft JhengHei"/>
                <w:b/>
                <w:sz w:val="24"/>
              </w:rPr>
            </w:pPr>
          </w:p>
          <w:p>
            <w:pPr>
              <w:pStyle w:val="TableParagraph"/>
              <w:spacing w:line="352" w:lineRule="auto" w:before="1"/>
              <w:ind w:left="175" w:right="277" w:firstLine="213"/>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40"/>
                <w:sz w:val="24"/>
              </w:rPr>
              <w:t> </w:t>
            </w:r>
            <w:r>
              <w:rPr>
                <w:rFonts w:ascii="Microsoft JhengHei" w:eastAsia="Microsoft JhengHei"/>
                <w:b/>
                <w:spacing w:val="-4"/>
                <w:sz w:val="24"/>
              </w:rPr>
              <w:t>資源行動</w:t>
            </w:r>
          </w:p>
        </w:tc>
        <w:tc>
          <w:tcPr>
            <w:tcW w:w="6574" w:type="dxa"/>
          </w:tcPr>
          <w:p>
            <w:pPr>
              <w:pStyle w:val="TableParagraph"/>
              <w:spacing w:line="336" w:lineRule="auto" w:before="204"/>
              <w:ind w:left="262" w:right="243"/>
              <w:rPr>
                <w:sz w:val="24"/>
              </w:rPr>
            </w:pPr>
            <w:r>
              <w:rPr>
                <w:rFonts w:ascii="Microsoft JhengHei" w:eastAsia="Microsoft JhengHei"/>
                <w:b/>
                <w:spacing w:val="-2"/>
                <w:sz w:val="24"/>
              </w:rPr>
              <w:t>新商業模式</w:t>
            </w:r>
            <w:r>
              <w:rPr>
                <w:rFonts w:ascii="Times New Roman" w:eastAsia="Times New Roman"/>
                <w:b/>
                <w:spacing w:val="-2"/>
                <w:sz w:val="24"/>
              </w:rPr>
              <w:t>-</w:t>
            </w:r>
            <w:r>
              <w:rPr>
                <w:rFonts w:ascii="Microsoft JhengHei" w:eastAsia="Microsoft JhengHei"/>
                <w:b/>
                <w:spacing w:val="-2"/>
                <w:sz w:val="24"/>
              </w:rPr>
              <w:t>紙本電子化</w:t>
            </w:r>
            <w:r>
              <w:rPr>
                <w:spacing w:val="-2"/>
                <w:sz w:val="24"/>
              </w:rPr>
              <w:t>：以政府專案作為切入點，開發數位化表單系統，減少紙本依賴。</w:t>
            </w:r>
          </w:p>
          <w:p>
            <w:pPr>
              <w:pStyle w:val="TableParagraph"/>
              <w:spacing w:line="336" w:lineRule="auto" w:before="140"/>
              <w:ind w:left="262" w:right="241"/>
              <w:rPr>
                <w:sz w:val="24"/>
              </w:rPr>
            </w:pPr>
            <w:r>
              <w:rPr>
                <w:rFonts w:ascii="Microsoft JhengHei" w:eastAsia="Microsoft JhengHei"/>
                <w:b/>
                <w:spacing w:val="-2"/>
                <w:sz w:val="24"/>
              </w:rPr>
              <w:t>辨識一站式服務需求</w:t>
            </w:r>
            <w:r>
              <w:rPr>
                <w:spacing w:val="-2"/>
                <w:sz w:val="24"/>
              </w:rPr>
              <w:t>：針對居家、日照和住宿服務，構建一站式電子化記錄系統，提升服務整合能力和滿意度。</w:t>
            </w:r>
          </w:p>
        </w:tc>
      </w:tr>
    </w:tbl>
    <w:p>
      <w:pPr>
        <w:pStyle w:val="TableParagraph"/>
        <w:spacing w:after="0" w:line="336" w:lineRule="auto"/>
        <w:rPr>
          <w:sz w:val="24"/>
        </w:rPr>
        <w:sectPr>
          <w:pgSz w:w="11910" w:h="16840"/>
          <w:pgMar w:header="0" w:footer="1197" w:top="1740" w:bottom="1380" w:left="1133" w:right="1133"/>
        </w:sect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435"/>
        <w:gridCol w:w="6574"/>
      </w:tblGrid>
      <w:tr>
        <w:trPr>
          <w:trHeight w:val="899" w:hRule="atLeast"/>
        </w:trPr>
        <w:tc>
          <w:tcPr>
            <w:tcW w:w="2205" w:type="dxa"/>
            <w:gridSpan w:val="2"/>
            <w:shd w:val="clear" w:color="auto" w:fill="D0CECE"/>
          </w:tcPr>
          <w:p>
            <w:pPr>
              <w:pStyle w:val="TableParagraph"/>
              <w:spacing w:before="203"/>
              <w:ind w:left="218" w:right="4"/>
              <w:jc w:val="center"/>
              <w:rPr>
                <w:rFonts w:ascii="Microsoft JhengHei" w:eastAsia="Microsoft JhengHei"/>
                <w:b/>
                <w:sz w:val="24"/>
              </w:rPr>
            </w:pPr>
            <w:r>
              <w:rPr>
                <w:rFonts w:ascii="Microsoft JhengHei" w:eastAsia="Microsoft JhengHei"/>
                <w:b/>
                <w:spacing w:val="-5"/>
                <w:sz w:val="24"/>
              </w:rPr>
              <w:t>理論</w:t>
            </w:r>
          </w:p>
        </w:tc>
        <w:tc>
          <w:tcPr>
            <w:tcW w:w="6574" w:type="dxa"/>
            <w:shd w:val="clear" w:color="auto" w:fill="D0CECE"/>
          </w:tcPr>
          <w:p>
            <w:pPr>
              <w:pStyle w:val="TableParagraph"/>
              <w:spacing w:before="203"/>
              <w:ind w:left="19"/>
              <w:jc w:val="center"/>
              <w:rPr>
                <w:rFonts w:ascii="Microsoft JhengHei" w:eastAsia="Microsoft JhengHei"/>
                <w:b/>
                <w:sz w:val="24"/>
              </w:rPr>
            </w:pPr>
            <w:r>
              <w:rPr>
                <w:rFonts w:ascii="Microsoft JhengHei" w:eastAsia="Microsoft JhengHei"/>
                <w:b/>
                <w:spacing w:val="-3"/>
                <w:sz w:val="24"/>
              </w:rPr>
              <w:t>觀察重點</w:t>
            </w:r>
          </w:p>
        </w:tc>
      </w:tr>
      <w:tr>
        <w:trPr>
          <w:trHeight w:val="1547" w:hRule="atLeast"/>
        </w:trPr>
        <w:tc>
          <w:tcPr>
            <w:tcW w:w="770"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31"/>
              <w:rPr>
                <w:rFonts w:ascii="Microsoft JhengHei"/>
                <w:b/>
                <w:sz w:val="24"/>
              </w:rPr>
            </w:pPr>
          </w:p>
          <w:p>
            <w:pPr>
              <w:pStyle w:val="TableParagraph"/>
              <w:spacing w:line="352" w:lineRule="auto" w:before="1"/>
              <w:ind w:left="263" w:right="244"/>
              <w:jc w:val="both"/>
              <w:rPr>
                <w:rFonts w:ascii="Microsoft JhengHei" w:eastAsia="Microsoft JhengHei"/>
                <w:b/>
                <w:sz w:val="24"/>
              </w:rPr>
            </w:pPr>
            <w:r>
              <w:rPr>
                <w:rFonts w:ascii="Microsoft JhengHei" w:eastAsia="Microsoft JhengHei"/>
                <w:b/>
                <w:spacing w:val="-10"/>
                <w:sz w:val="24"/>
              </w:rPr>
              <w:t>知識邊界</w:t>
            </w:r>
          </w:p>
        </w:tc>
        <w:tc>
          <w:tcPr>
            <w:tcW w:w="1435" w:type="dxa"/>
          </w:tcPr>
          <w:p>
            <w:pPr>
              <w:pStyle w:val="TableParagraph"/>
              <w:spacing w:line="352" w:lineRule="auto" w:before="203"/>
              <w:ind w:left="475" w:right="45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574" w:type="dxa"/>
          </w:tcPr>
          <w:p>
            <w:pPr>
              <w:pStyle w:val="TableParagraph"/>
              <w:spacing w:line="336" w:lineRule="auto" w:before="258"/>
              <w:ind w:left="262" w:right="242"/>
              <w:rPr>
                <w:sz w:val="24"/>
              </w:rPr>
            </w:pPr>
            <w:r>
              <w:rPr>
                <w:rFonts w:ascii="Microsoft JhengHei" w:eastAsia="Microsoft JhengHei"/>
                <w:b/>
                <w:spacing w:val="-2"/>
                <w:sz w:val="24"/>
              </w:rPr>
              <w:t>缺乏長照缺乏知識</w:t>
            </w:r>
            <w:r>
              <w:rPr>
                <w:spacing w:val="-2"/>
                <w:sz w:val="24"/>
              </w:rPr>
              <w:t>：初期對長照機構需求和操作流程了解不足，包括護理人員日常工作細節與痛點。</w:t>
            </w:r>
          </w:p>
        </w:tc>
      </w:tr>
      <w:tr>
        <w:trPr>
          <w:trHeight w:val="4463" w:hRule="atLeast"/>
        </w:trPr>
        <w:tc>
          <w:tcPr>
            <w:tcW w:w="770" w:type="dxa"/>
            <w:vMerge/>
            <w:tcBorders>
              <w:top w:val="nil"/>
            </w:tcBorders>
          </w:tcPr>
          <w:p>
            <w:pPr>
              <w:rPr>
                <w:sz w:val="2"/>
                <w:szCs w:val="2"/>
              </w:rPr>
            </w:pPr>
          </w:p>
        </w:tc>
        <w:tc>
          <w:tcPr>
            <w:tcW w:w="1435" w:type="dxa"/>
          </w:tcPr>
          <w:p>
            <w:pPr>
              <w:pStyle w:val="TableParagraph"/>
              <w:rPr>
                <w:rFonts w:ascii="Microsoft JhengHei"/>
                <w:b/>
                <w:sz w:val="24"/>
              </w:rPr>
            </w:pPr>
          </w:p>
          <w:p>
            <w:pPr>
              <w:pStyle w:val="TableParagraph"/>
              <w:rPr>
                <w:rFonts w:ascii="Microsoft JhengHei"/>
                <w:b/>
                <w:sz w:val="24"/>
              </w:rPr>
            </w:pPr>
          </w:p>
          <w:p>
            <w:pPr>
              <w:pStyle w:val="TableParagraph"/>
              <w:spacing w:before="339"/>
              <w:rPr>
                <w:rFonts w:ascii="Microsoft JhengHei"/>
                <w:b/>
                <w:sz w:val="24"/>
              </w:rPr>
            </w:pPr>
          </w:p>
          <w:p>
            <w:pPr>
              <w:pStyle w:val="TableParagraph"/>
              <w:spacing w:line="352" w:lineRule="auto"/>
              <w:ind w:left="141" w:right="311" w:firstLine="24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6"/>
                <w:sz w:val="24"/>
              </w:rPr>
              <w:t> </w:t>
            </w:r>
            <w:r>
              <w:rPr>
                <w:rFonts w:ascii="Microsoft JhengHei" w:eastAsia="Microsoft JhengHei"/>
                <w:b/>
                <w:spacing w:val="-4"/>
                <w:sz w:val="24"/>
              </w:rPr>
              <w:t>資源行動</w:t>
            </w:r>
          </w:p>
        </w:tc>
        <w:tc>
          <w:tcPr>
            <w:tcW w:w="6574" w:type="dxa"/>
          </w:tcPr>
          <w:p>
            <w:pPr>
              <w:pStyle w:val="TableParagraph"/>
              <w:spacing w:line="336" w:lineRule="auto" w:before="206"/>
              <w:ind w:left="262" w:right="241"/>
              <w:rPr>
                <w:sz w:val="24"/>
              </w:rPr>
            </w:pPr>
            <w:r>
              <w:rPr>
                <w:rFonts w:ascii="Microsoft JhengHei" w:eastAsia="Microsoft JhengHei"/>
                <w:b/>
                <w:spacing w:val="-2"/>
                <w:sz w:val="24"/>
              </w:rPr>
              <w:t>取得跨領域專業人才</w:t>
            </w:r>
            <w:r>
              <w:rPr>
                <w:spacing w:val="-2"/>
                <w:sz w:val="24"/>
              </w:rPr>
              <w:t>：招聘具有產業背景的工程師和護理師，提高與客戶的溝通效率和需求理解能力。</w:t>
            </w:r>
          </w:p>
          <w:p>
            <w:pPr>
              <w:pStyle w:val="TableParagraph"/>
              <w:spacing w:line="336" w:lineRule="auto" w:before="138"/>
              <w:ind w:left="262" w:right="241"/>
              <w:rPr>
                <w:sz w:val="24"/>
              </w:rPr>
            </w:pPr>
            <w:r>
              <w:rPr>
                <w:rFonts w:ascii="Microsoft JhengHei" w:eastAsia="Microsoft JhengHei"/>
                <w:b/>
                <w:spacing w:val="-2"/>
                <w:sz w:val="24"/>
              </w:rPr>
              <w:t>取得實地需求，引導開發</w:t>
            </w:r>
            <w:r>
              <w:rPr>
                <w:spacing w:val="-2"/>
                <w:sz w:val="24"/>
              </w:rPr>
              <w:t>：執行長與副總親自進行現場觀</w:t>
            </w:r>
            <w:r>
              <w:rPr>
                <w:spacing w:val="-1"/>
                <w:sz w:val="24"/>
              </w:rPr>
              <w:t>察，掌握護理工作需求，為產品開發提供實地數據支持。</w:t>
            </w:r>
          </w:p>
          <w:p>
            <w:pPr>
              <w:pStyle w:val="TableParagraph"/>
              <w:spacing w:line="345" w:lineRule="auto" w:before="139"/>
              <w:ind w:left="262" w:right="241"/>
              <w:rPr>
                <w:sz w:val="24"/>
              </w:rPr>
            </w:pPr>
            <w:r>
              <w:rPr>
                <w:sz w:val="24"/>
              </w:rPr>
              <mc:AlternateContent>
                <mc:Choice Requires="wps">
                  <w:drawing>
                    <wp:anchor distT="0" distB="0" distL="0" distR="0" allowOverlap="1" layoutInCell="1" locked="0" behindDoc="1" simplePos="0" relativeHeight="485812736">
                      <wp:simplePos x="0" y="0"/>
                      <wp:positionH relativeFrom="column">
                        <wp:posOffset>824611</wp:posOffset>
                      </wp:positionH>
                      <wp:positionV relativeFrom="paragraph">
                        <wp:posOffset>607326</wp:posOffset>
                      </wp:positionV>
                      <wp:extent cx="929640" cy="978535"/>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929640" cy="978535"/>
                                <a:chExt cx="929640" cy="978535"/>
                              </a:xfrm>
                            </wpg:grpSpPr>
                            <pic:pic>
                              <pic:nvPicPr>
                                <pic:cNvPr id="176" name="Image 176"/>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4.930008pt;margin-top:47.820946pt;width:73.2pt;height:77.05pt;mso-position-horizontal-relative:column;mso-position-vertical-relative:paragraph;z-index:-17503744" id="docshapegroup26" coordorigin="1299,956" coordsize="1464,1541">
                      <v:shape style="position:absolute;left:1298;top:956;width:1464;height:1541" type="#_x0000_t75" id="docshape27" stroked="false">
                        <v:imagedata r:id="rId6" o:title=""/>
                      </v:shape>
                      <w10:wrap type="none"/>
                    </v:group>
                  </w:pict>
                </mc:Fallback>
              </mc:AlternateContent>
            </w:r>
            <w:r>
              <w:rPr>
                <w:rFonts w:ascii="Microsoft JhengHei" w:eastAsia="Microsoft JhengHei"/>
                <w:b/>
                <w:spacing w:val="-2"/>
                <w:sz w:val="24"/>
              </w:rPr>
              <w:t>建構回饋與優化</w:t>
            </w:r>
            <w:r>
              <w:rPr>
                <w:spacing w:val="-2"/>
                <w:sz w:val="24"/>
              </w:rPr>
              <w:t>：透過客戶反饋開實現產品持續迭代。</w:t>
            </w:r>
            <w:r>
              <w:rPr>
                <w:spacing w:val="40"/>
                <w:sz w:val="24"/>
              </w:rPr>
              <w:t> </w:t>
            </w:r>
            <w:r>
              <w:rPr>
                <w:rFonts w:ascii="Microsoft JhengHei" w:eastAsia="Microsoft JhengHei"/>
                <w:b/>
                <w:spacing w:val="-2"/>
                <w:sz w:val="24"/>
              </w:rPr>
              <w:t>承接政府專案取得市場先機</w:t>
            </w:r>
            <w:r>
              <w:rPr>
                <w:spacing w:val="-2"/>
                <w:sz w:val="24"/>
              </w:rPr>
              <w:t>：參與政府標案，提前適應政策需求，快速搶占市場機會。</w:t>
            </w:r>
          </w:p>
        </w:tc>
      </w:tr>
      <w:tr>
        <w:trPr>
          <w:trHeight w:val="1549" w:hRule="atLeast"/>
        </w:trPr>
        <w:tc>
          <w:tcPr>
            <w:tcW w:w="770" w:type="dxa"/>
            <w:vMerge w:val="restart"/>
          </w:tcPr>
          <w:p>
            <w:pPr>
              <w:pStyle w:val="TableParagraph"/>
              <w:rPr>
                <w:rFonts w:ascii="Microsoft JhengHei"/>
                <w:b/>
                <w:sz w:val="24"/>
              </w:rPr>
            </w:pPr>
          </w:p>
          <w:p>
            <w:pPr>
              <w:pStyle w:val="TableParagraph"/>
              <w:spacing w:before="161"/>
              <w:rPr>
                <w:rFonts w:ascii="Microsoft JhengHei"/>
                <w:b/>
                <w:sz w:val="24"/>
              </w:rPr>
            </w:pPr>
          </w:p>
          <w:p>
            <w:pPr>
              <w:pStyle w:val="TableParagraph"/>
              <w:spacing w:line="292" w:lineRule="auto"/>
              <w:ind w:left="263" w:right="244"/>
              <w:jc w:val="both"/>
              <w:rPr>
                <w:rFonts w:ascii="Microsoft JhengHei" w:eastAsia="Microsoft JhengHei"/>
                <w:b/>
                <w:sz w:val="24"/>
              </w:rPr>
            </w:pPr>
            <w:r>
              <w:rPr>
                <w:rFonts w:ascii="Microsoft JhengHei" w:eastAsia="Microsoft JhengHei"/>
                <w:b/>
                <w:spacing w:val="-10"/>
                <w:sz w:val="24"/>
              </w:rPr>
              <w:t>技術邊界</w:t>
            </w:r>
          </w:p>
        </w:tc>
        <w:tc>
          <w:tcPr>
            <w:tcW w:w="1435" w:type="dxa"/>
          </w:tcPr>
          <w:p>
            <w:pPr>
              <w:pStyle w:val="TableParagraph"/>
              <w:spacing w:line="352" w:lineRule="auto" w:before="206"/>
              <w:ind w:left="475" w:right="45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574" w:type="dxa"/>
          </w:tcPr>
          <w:p>
            <w:pPr>
              <w:pStyle w:val="TableParagraph"/>
              <w:spacing w:line="336" w:lineRule="auto" w:before="259"/>
              <w:ind w:left="262" w:right="242"/>
              <w:rPr>
                <w:sz w:val="24"/>
              </w:rPr>
            </w:pPr>
            <w:r>
              <w:rPr>
                <w:rFonts w:ascii="Microsoft JhengHei" w:eastAsia="Microsoft JhengHei"/>
                <w:b/>
                <w:spacing w:val="-2"/>
                <w:sz w:val="24"/>
              </w:rPr>
              <w:t>技術輔助不足</w:t>
            </w:r>
            <w:r>
              <w:rPr>
                <w:spacing w:val="-2"/>
                <w:sz w:val="24"/>
              </w:rPr>
              <w:t>：初期聚焦於生理數據整合，但缺乏專業技術以應對多樣化需求與新技術導入的挑戰。</w:t>
            </w:r>
          </w:p>
        </w:tc>
      </w:tr>
      <w:tr>
        <w:trPr>
          <w:trHeight w:val="2627" w:hRule="atLeast"/>
        </w:trPr>
        <w:tc>
          <w:tcPr>
            <w:tcW w:w="770" w:type="dxa"/>
            <w:vMerge/>
            <w:tcBorders>
              <w:top w:val="nil"/>
            </w:tcBorders>
          </w:tcPr>
          <w:p>
            <w:pPr>
              <w:rPr>
                <w:sz w:val="2"/>
                <w:szCs w:val="2"/>
              </w:rPr>
            </w:pPr>
          </w:p>
        </w:tc>
        <w:tc>
          <w:tcPr>
            <w:tcW w:w="1435" w:type="dxa"/>
          </w:tcPr>
          <w:p>
            <w:pPr>
              <w:pStyle w:val="TableParagraph"/>
              <w:spacing w:before="302"/>
              <w:rPr>
                <w:rFonts w:ascii="Microsoft JhengHei"/>
                <w:b/>
                <w:sz w:val="24"/>
              </w:rPr>
            </w:pPr>
          </w:p>
          <w:p>
            <w:pPr>
              <w:pStyle w:val="TableParagraph"/>
              <w:spacing w:line="352" w:lineRule="auto"/>
              <w:ind w:left="175" w:right="277" w:firstLine="30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4"/>
                <w:sz w:val="24"/>
              </w:rPr>
              <w:t>資源行動</w:t>
            </w:r>
          </w:p>
        </w:tc>
        <w:tc>
          <w:tcPr>
            <w:tcW w:w="6574" w:type="dxa"/>
          </w:tcPr>
          <w:p>
            <w:pPr>
              <w:pStyle w:val="TableParagraph"/>
              <w:spacing w:line="336" w:lineRule="auto" w:before="203"/>
              <w:ind w:left="262" w:right="243"/>
              <w:rPr>
                <w:sz w:val="24"/>
              </w:rPr>
            </w:pPr>
            <w:r>
              <w:rPr>
                <w:rFonts w:ascii="Microsoft JhengHei" w:eastAsia="Microsoft JhengHei"/>
                <w:b/>
                <w:spacing w:val="-5"/>
                <w:sz w:val="24"/>
              </w:rPr>
              <w:t>建構 </w:t>
            </w:r>
            <w:r>
              <w:rPr>
                <w:rFonts w:ascii="Times New Roman" w:eastAsia="Times New Roman"/>
                <w:b/>
                <w:sz w:val="24"/>
              </w:rPr>
              <w:t>API</w:t>
            </w:r>
            <w:r>
              <w:rPr>
                <w:rFonts w:ascii="Times New Roman" w:eastAsia="Times New Roman"/>
                <w:b/>
                <w:spacing w:val="-15"/>
                <w:sz w:val="24"/>
              </w:rPr>
              <w:t> </w:t>
            </w:r>
            <w:r>
              <w:rPr>
                <w:rFonts w:ascii="Microsoft JhengHei" w:eastAsia="Microsoft JhengHei"/>
                <w:b/>
                <w:sz w:val="24"/>
              </w:rPr>
              <w:t>整合方案</w:t>
            </w:r>
            <w:r>
              <w:rPr>
                <w:spacing w:val="-10"/>
                <w:sz w:val="24"/>
              </w:rPr>
              <w:t>：透過靈活 </w:t>
            </w:r>
            <w:r>
              <w:rPr>
                <w:rFonts w:ascii="Times New Roman" w:eastAsia="Times New Roman"/>
                <w:sz w:val="24"/>
              </w:rPr>
              <w:t>API</w:t>
            </w:r>
            <w:r>
              <w:rPr>
                <w:rFonts w:ascii="Times New Roman" w:eastAsia="Times New Roman"/>
                <w:spacing w:val="-15"/>
                <w:sz w:val="24"/>
              </w:rPr>
              <w:t> </w:t>
            </w:r>
            <w:r>
              <w:rPr>
                <w:sz w:val="24"/>
              </w:rPr>
              <w:t>對接不同設備，實現數</w:t>
            </w:r>
            <w:r>
              <w:rPr>
                <w:spacing w:val="-2"/>
                <w:sz w:val="24"/>
              </w:rPr>
              <w:t>據無縫整合，提升運作效率。</w:t>
            </w:r>
          </w:p>
          <w:p>
            <w:pPr>
              <w:pStyle w:val="TableParagraph"/>
              <w:spacing w:line="336" w:lineRule="auto" w:before="140"/>
              <w:ind w:left="262" w:right="244"/>
              <w:rPr>
                <w:sz w:val="24"/>
              </w:rPr>
            </w:pPr>
            <w:r>
              <w:rPr>
                <w:rFonts w:ascii="Microsoft JhengHei" w:eastAsia="Microsoft JhengHei"/>
                <w:b/>
                <w:spacing w:val="-6"/>
                <w:sz w:val="24"/>
              </w:rPr>
              <w:t>取得外部 </w:t>
            </w:r>
            <w:r>
              <w:rPr>
                <w:rFonts w:ascii="Times New Roman" w:eastAsia="Times New Roman"/>
                <w:b/>
                <w:spacing w:val="-4"/>
                <w:sz w:val="24"/>
              </w:rPr>
              <w:t>AI</w:t>
            </w:r>
            <w:r>
              <w:rPr>
                <w:rFonts w:ascii="Times New Roman" w:eastAsia="Times New Roman"/>
                <w:b/>
                <w:spacing w:val="-11"/>
                <w:sz w:val="24"/>
              </w:rPr>
              <w:t> </w:t>
            </w:r>
            <w:r>
              <w:rPr>
                <w:rFonts w:ascii="Microsoft JhengHei" w:eastAsia="Microsoft JhengHei"/>
                <w:b/>
                <w:spacing w:val="-4"/>
                <w:sz w:val="24"/>
              </w:rPr>
              <w:t>技術</w:t>
            </w:r>
            <w:r>
              <w:rPr>
                <w:spacing w:val="-4"/>
                <w:sz w:val="24"/>
              </w:rPr>
              <w:t>：與學術機構合作開發語音辨識模型，滿</w:t>
            </w:r>
            <w:r>
              <w:rPr>
                <w:spacing w:val="-2"/>
                <w:sz w:val="24"/>
              </w:rPr>
              <w:t>足護理記錄需求，提升系統適配性。</w:t>
            </w:r>
          </w:p>
        </w:tc>
      </w:tr>
      <w:tr>
        <w:trPr>
          <w:trHeight w:val="1549" w:hRule="atLeast"/>
        </w:trPr>
        <w:tc>
          <w:tcPr>
            <w:tcW w:w="2205" w:type="dxa"/>
            <w:gridSpan w:val="2"/>
          </w:tcPr>
          <w:p>
            <w:pPr>
              <w:pStyle w:val="TableParagraph"/>
              <w:spacing w:line="352" w:lineRule="auto" w:before="203"/>
              <w:ind w:left="621" w:right="362" w:hanging="243"/>
              <w:rPr>
                <w:rFonts w:ascii="Microsoft JhengHei" w:eastAsia="Microsoft JhengHei"/>
                <w:b/>
                <w:sz w:val="24"/>
              </w:rPr>
            </w:pPr>
            <w:r>
              <w:rPr>
                <w:rFonts w:ascii="Microsoft JhengHei" w:eastAsia="Microsoft JhengHei"/>
                <w:b/>
                <w:spacing w:val="-2"/>
                <w:sz w:val="24"/>
              </w:rPr>
              <w:t>服務生態系的</w:t>
            </w:r>
            <w:r>
              <w:rPr>
                <w:rFonts w:ascii="Microsoft JhengHei" w:eastAsia="Microsoft JhengHei"/>
                <w:b/>
                <w:spacing w:val="-4"/>
                <w:sz w:val="24"/>
              </w:rPr>
              <w:t>動態拓展</w:t>
            </w:r>
          </w:p>
        </w:tc>
        <w:tc>
          <w:tcPr>
            <w:tcW w:w="6574" w:type="dxa"/>
          </w:tcPr>
          <w:p>
            <w:pPr>
              <w:pStyle w:val="TableParagraph"/>
              <w:spacing w:line="336" w:lineRule="auto" w:before="258"/>
              <w:ind w:left="262" w:right="241"/>
              <w:rPr>
                <w:sz w:val="24"/>
              </w:rPr>
            </w:pPr>
            <w:r>
              <w:rPr>
                <w:rFonts w:ascii="Microsoft JhengHei" w:eastAsia="Microsoft JhengHei"/>
                <w:b/>
                <w:spacing w:val="-2"/>
                <w:sz w:val="24"/>
              </w:rPr>
              <w:t>一站式服務的長照資訊系統</w:t>
            </w:r>
            <w:r>
              <w:rPr>
                <w:spacing w:val="-2"/>
                <w:sz w:val="24"/>
              </w:rPr>
              <w:t>：系統涵蓋住宿、居家、日照等不同場景，無需切換網頁與帳號即能完成操作。</w:t>
            </w:r>
          </w:p>
        </w:tc>
      </w:tr>
    </w:tbl>
    <w:p>
      <w:pPr>
        <w:pStyle w:val="BodyText"/>
        <w:spacing w:before="235"/>
        <w:ind w:left="597" w:right="118"/>
        <w:jc w:val="center"/>
      </w:pPr>
      <w:r>
        <w:rPr>
          <w:spacing w:val="-1"/>
        </w:rPr>
        <w:t>資料來源：本研究整理</w:t>
      </w:r>
    </w:p>
    <w:p>
      <w:pPr>
        <w:pStyle w:val="BodyText"/>
        <w:spacing w:after="0"/>
        <w:jc w:val="center"/>
        <w:sectPr>
          <w:type w:val="continuous"/>
          <w:pgSz w:w="11910" w:h="16840"/>
          <w:pgMar w:header="0" w:footer="1197" w:top="1660" w:bottom="1380" w:left="1133" w:right="1133"/>
        </w:sectPr>
      </w:pPr>
    </w:p>
    <w:p>
      <w:pPr>
        <w:pStyle w:val="Heading2"/>
        <w:numPr>
          <w:ilvl w:val="1"/>
          <w:numId w:val="22"/>
        </w:numPr>
        <w:tabs>
          <w:tab w:pos="1047" w:val="left" w:leader="none"/>
        </w:tabs>
        <w:spacing w:line="522" w:lineRule="exact" w:before="0" w:after="0"/>
        <w:ind w:left="1047" w:right="0" w:hanging="478"/>
        <w:jc w:val="left"/>
      </w:pPr>
      <w:bookmarkStart w:name="_bookmark69" w:id="70"/>
      <w:bookmarkEnd w:id="70"/>
      <w:r>
        <w:rPr>
          <w:b w:val="0"/>
        </w:rPr>
      </w:r>
      <w:r>
        <w:rPr>
          <w:spacing w:val="-5"/>
        </w:rPr>
        <w:t>第二階段：耗材供應鏈拓展</w:t>
      </w:r>
    </w:p>
    <w:p>
      <w:pPr>
        <w:pStyle w:val="Heading2"/>
        <w:spacing w:before="309"/>
        <w:rPr>
          <w:position w:val="1"/>
        </w:rPr>
      </w:pPr>
      <w:r>
        <w:rPr>
          <w:b w:val="0"/>
        </w:rPr>
        <w:drawing>
          <wp:inline distT="0" distB="0" distL="0" distR="0">
            <wp:extent cx="390906" cy="145542"/>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92" cstate="print"/>
                    <a:stretch>
                      <a:fillRect/>
                    </a:stretch>
                  </pic:blipFill>
                  <pic:spPr>
                    <a:xfrm>
                      <a:off x="0" y="0"/>
                      <a:ext cx="390906"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70" w:id="71"/>
      <w:bookmarkEnd w:id="71"/>
      <w:r>
        <w:rPr>
          <w:rFonts w:ascii="Times New Roman" w:eastAsia="Times New Roman"/>
          <w:b w:val="0"/>
          <w:spacing w:val="-12"/>
          <w:position w:val="1"/>
          <w:sz w:val="20"/>
        </w:rPr>
      </w:r>
      <w:r>
        <w:rPr>
          <w:spacing w:val="-2"/>
          <w:position w:val="1"/>
        </w:rPr>
        <w:t>競爭環境</w:t>
      </w:r>
    </w:p>
    <w:p>
      <w:pPr>
        <w:pStyle w:val="Heading4"/>
        <w:spacing w:before="307"/>
      </w:pPr>
      <w:r>
        <w:rPr>
          <w:spacing w:val="-1"/>
        </w:rPr>
        <w:t>人才短缺與削價競爭的挑戰</w:t>
      </w:r>
    </w:p>
    <w:p>
      <w:pPr>
        <w:pStyle w:val="BodyText"/>
        <w:spacing w:line="422" w:lineRule="auto" w:before="358"/>
        <w:ind w:right="683" w:firstLine="479"/>
      </w:pPr>
      <w:r>
        <w:rPr>
          <w:spacing w:val="-6"/>
        </w:rPr>
        <w:t>在當前市場環境中，由於消費者對軟體價值的認知有限，期望以低價購入產</w:t>
      </w:r>
      <w:r>
        <w:rPr>
          <w:spacing w:val="-4"/>
        </w:rPr>
        <w:t>品，使公司難以藉由利潤來投入更好的技術研發。此外，大量新進者及既有公司湧入市場，加劇了價格競爭，產品價格被持續壓低，迫使企業在創新時需更加謹慎，並尋求多元化的盈利模式及差異化策略，以維持健康的利潤率並保障市場的</w:t>
      </w:r>
      <w:r>
        <w:rPr>
          <w:spacing w:val="-2"/>
        </w:rPr>
        <w:t>長期競爭力。</w:t>
      </w:r>
    </w:p>
    <w:p>
      <w:pPr>
        <w:pStyle w:val="BodyText"/>
        <w:spacing w:line="422" w:lineRule="auto" w:before="103"/>
        <w:ind w:right="470" w:firstLine="479"/>
        <w:jc w:val="left"/>
      </w:pPr>
      <w:r>
        <w:rPr/>
        <w:drawing>
          <wp:anchor distT="0" distB="0" distL="0" distR="0" allowOverlap="1" layoutInCell="1" locked="0" behindDoc="1" simplePos="0" relativeHeight="485813248">
            <wp:simplePos x="0" y="0"/>
            <wp:positionH relativeFrom="page">
              <wp:posOffset>3312414</wp:posOffset>
            </wp:positionH>
            <wp:positionV relativeFrom="paragraph">
              <wp:posOffset>363615</wp:posOffset>
            </wp:positionV>
            <wp:extent cx="929640" cy="978408"/>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同時，軟體開發和數據分析等專業人才的需求不斷攀升，導致人才短缺問題</w:t>
      </w:r>
      <w:r>
        <w:rPr>
          <w:spacing w:val="-6"/>
        </w:rPr>
        <w:t>日益加劇，開發者薪資水準也隨之上升，使企業在支付研發人員薪酬上面臨壓力，</w:t>
      </w:r>
      <w:r>
        <w:rPr>
          <w:spacing w:val="-2"/>
        </w:rPr>
        <w:t>利潤空間逐漸被壓縮。如果企業過度依賴單一功能而無法持續創新，將容易陷入削價競爭的惡性循環，最終可能面臨虧損甚至退出市場的風險。</w:t>
      </w:r>
    </w:p>
    <w:p>
      <w:pPr>
        <w:spacing w:line="405" w:lineRule="auto" w:before="94"/>
        <w:ind w:left="1701" w:right="1699" w:firstLine="480"/>
        <w:jc w:val="both"/>
        <w:rPr>
          <w:sz w:val="25"/>
        </w:rPr>
      </w:pPr>
      <w:r>
        <w:rPr>
          <w:spacing w:val="-16"/>
          <w:sz w:val="25"/>
        </w:rPr>
        <w:t>「遇到的問題就是，永遠有人在削價競爭。 我們有遇過我們同業一個月一床收 </w:t>
      </w:r>
      <w:r>
        <w:rPr>
          <w:rFonts w:ascii="Times New Roman" w:eastAsia="Times New Roman"/>
          <w:i/>
          <w:spacing w:val="-16"/>
          <w:sz w:val="24"/>
        </w:rPr>
        <w:t>5</w:t>
      </w:r>
      <w:r>
        <w:rPr>
          <w:rFonts w:ascii="Times New Roman" w:eastAsia="Times New Roman"/>
          <w:i/>
          <w:spacing w:val="1"/>
          <w:sz w:val="24"/>
        </w:rPr>
        <w:t> </w:t>
      </w:r>
      <w:r>
        <w:rPr>
          <w:spacing w:val="-16"/>
          <w:sz w:val="25"/>
        </w:rPr>
        <w:t>塊錢。</w:t>
      </w:r>
      <w:r>
        <w:rPr>
          <w:spacing w:val="-183"/>
          <w:sz w:val="25"/>
        </w:rPr>
        <w:t>」</w:t>
      </w:r>
      <w:r>
        <w:rPr>
          <w:spacing w:val="-16"/>
          <w:sz w:val="25"/>
        </w:rPr>
        <w:t>（林恩宇研發副總，</w:t>
      </w:r>
      <w:r>
        <w:rPr>
          <w:rFonts w:ascii="Times New Roman" w:eastAsia="Times New Roman"/>
          <w:i/>
          <w:spacing w:val="-16"/>
          <w:sz w:val="24"/>
        </w:rPr>
        <w:t>2024</w:t>
      </w:r>
      <w:r>
        <w:rPr>
          <w:rFonts w:ascii="Times New Roman" w:eastAsia="Times New Roman"/>
          <w:i/>
          <w:spacing w:val="4"/>
          <w:sz w:val="24"/>
        </w:rPr>
        <w:t> </w:t>
      </w:r>
      <w:r>
        <w:rPr>
          <w:spacing w:val="-16"/>
          <w:sz w:val="25"/>
        </w:rPr>
        <w:t>訪</w:t>
      </w:r>
      <w:r>
        <w:rPr>
          <w:spacing w:val="-4"/>
          <w:sz w:val="25"/>
        </w:rPr>
        <w:t>談資料）</w:t>
      </w:r>
    </w:p>
    <w:p>
      <w:pPr>
        <w:spacing w:after="0" w:line="405" w:lineRule="auto"/>
        <w:jc w:val="both"/>
        <w:rPr>
          <w:sz w:val="25"/>
        </w:rPr>
        <w:sectPr>
          <w:pgSz w:w="11910" w:h="16840"/>
          <w:pgMar w:header="0" w:footer="1197" w:top="1780" w:bottom="1380" w:left="1133" w:right="1133"/>
        </w:sectPr>
      </w:pPr>
    </w:p>
    <w:p>
      <w:pPr>
        <w:pStyle w:val="Heading2"/>
        <w:spacing w:line="500" w:lineRule="exact"/>
        <w:rPr>
          <w:position w:val="1"/>
        </w:rPr>
      </w:pPr>
      <w:r>
        <w:rPr>
          <w:b w:val="0"/>
        </w:rPr>
        <w:drawing>
          <wp:inline distT="0" distB="0" distL="0" distR="0">
            <wp:extent cx="397002" cy="145542"/>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93" cstate="print"/>
                    <a:stretch>
                      <a:fillRect/>
                    </a:stretch>
                  </pic:blipFill>
                  <pic:spPr>
                    <a:xfrm>
                      <a:off x="0" y="0"/>
                      <a:ext cx="397002"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71" w:id="72"/>
      <w:bookmarkEnd w:id="72"/>
      <w:r>
        <w:rPr>
          <w:rFonts w:ascii="Times New Roman" w:eastAsia="Times New Roman"/>
          <w:b w:val="0"/>
          <w:spacing w:val="-22"/>
          <w:position w:val="1"/>
          <w:sz w:val="20"/>
        </w:rPr>
      </w:r>
      <w:r>
        <w:rPr>
          <w:spacing w:val="-2"/>
          <w:position w:val="1"/>
        </w:rPr>
        <w:t>組織策略</w:t>
      </w:r>
    </w:p>
    <w:p>
      <w:pPr>
        <w:pStyle w:val="BodyText"/>
        <w:spacing w:line="422" w:lineRule="auto" w:before="386"/>
        <w:ind w:right="683" w:firstLine="479"/>
        <w:jc w:val="left"/>
      </w:pPr>
      <w:r>
        <w:rPr>
          <w:spacing w:val="-6"/>
        </w:rPr>
        <w:t>在第二階段，諾亞克發展進入了一個重要的轉折點，關鍵在於如何突破產品設計和服務邏輯的局限性。傳統上，產品的發展邏輯主要圍繞</w:t>
      </w:r>
      <w:r>
        <w:rPr>
          <w:spacing w:val="-7"/>
          <w:u w:val="single"/>
        </w:rPr>
        <w:t>增加使用者數量並</w:t>
      </w:r>
    </w:p>
    <w:p>
      <w:pPr>
        <w:pStyle w:val="BodyText"/>
        <w:spacing w:line="305" w:lineRule="exact"/>
        <w:jc w:val="left"/>
      </w:pPr>
      <w:r>
        <w:rPr>
          <w:spacing w:val="-4"/>
          <w:u w:val="single"/>
        </w:rPr>
        <w:t>提升軟體的覆蓋率</w:t>
      </w:r>
      <w:r>
        <w:rPr>
          <w:spacing w:val="-5"/>
        </w:rPr>
        <w:t>。然而，這種思維框架容易將公司限制在軟體本身的使用情境</w:t>
      </w:r>
    </w:p>
    <w:p>
      <w:pPr>
        <w:pStyle w:val="BodyText"/>
        <w:spacing w:before="232"/>
        <w:jc w:val="left"/>
      </w:pPr>
      <w:r>
        <w:rPr>
          <w:spacing w:val="-1"/>
        </w:rPr>
        <w:t>中，無法有效滿足使用者更多元的需求。</w:t>
      </w:r>
    </w:p>
    <w:p>
      <w:pPr>
        <w:pStyle w:val="BodyText"/>
        <w:spacing w:before="33"/>
        <w:ind w:left="0"/>
        <w:jc w:val="left"/>
      </w:pPr>
    </w:p>
    <w:p>
      <w:pPr>
        <w:pStyle w:val="BodyText"/>
        <w:spacing w:line="422" w:lineRule="auto"/>
        <w:ind w:right="625" w:firstLine="479"/>
      </w:pPr>
      <w:r>
        <w:rPr>
          <w:spacing w:val="-4"/>
        </w:rPr>
        <w:t>此時，公司注意到自己已經在運營過程中累積了大量的數據，而這些數據正</w:t>
      </w:r>
      <w:r>
        <w:rPr>
          <w:spacing w:val="-15"/>
        </w:rPr>
        <w:t>是 </w:t>
      </w:r>
      <w:r>
        <w:rPr>
          <w:rFonts w:ascii="Times New Roman" w:eastAsia="Times New Roman"/>
        </w:rPr>
        <w:t>SaaS</w:t>
      </w:r>
      <w:r>
        <w:rPr>
          <w:rFonts w:ascii="Times New Roman" w:eastAsia="Times New Roman"/>
          <w:spacing w:val="-15"/>
        </w:rPr>
        <w:t> </w:t>
      </w:r>
      <w:r>
        <w:rPr/>
        <w:t>最珍貴的資產之一。這些數據不僅能夠反映使用者的行為和需求痛點，</w:t>
      </w:r>
      <w:r>
        <w:rPr>
          <w:spacing w:val="-2"/>
        </w:rPr>
        <w:t>還提供了洞察更深層次需求的可能性。並能以此為基礎重新規劃產品與服務。</w:t>
      </w:r>
    </w:p>
    <w:p>
      <w:pPr>
        <w:pStyle w:val="BodyText"/>
        <w:spacing w:line="422" w:lineRule="auto" w:before="105"/>
        <w:ind w:right="682" w:firstLine="479"/>
      </w:pPr>
      <w:r>
        <w:rPr/>
        <w:drawing>
          <wp:anchor distT="0" distB="0" distL="0" distR="0" allowOverlap="1" layoutInCell="1" locked="0" behindDoc="1" simplePos="0" relativeHeight="485813760">
            <wp:simplePos x="0" y="0"/>
            <wp:positionH relativeFrom="page">
              <wp:posOffset>3312414</wp:posOffset>
            </wp:positionH>
            <wp:positionV relativeFrom="paragraph">
              <wp:posOffset>639381</wp:posOffset>
            </wp:positionV>
            <wp:extent cx="929640" cy="978408"/>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更重要的是，數據提供了一種新的主導邏輯，能夠以數據流的方式來優化消</w:t>
      </w:r>
      <w:r>
        <w:rPr>
          <w:spacing w:val="-4"/>
        </w:rPr>
        <w:t>費者的服務流程。這種轉型不僅讓公司跳脫出單純提供軟體的框架，還開啟了探</w:t>
      </w:r>
      <w:r>
        <w:rPr>
          <w:spacing w:val="-2"/>
        </w:rPr>
        <w:t>索更多商業機會的窗口。</w:t>
      </w:r>
    </w:p>
    <w:p>
      <w:pPr>
        <w:spacing w:line="405" w:lineRule="auto" w:before="95"/>
        <w:ind w:left="1701" w:right="1699" w:firstLine="480"/>
        <w:jc w:val="both"/>
        <w:rPr>
          <w:sz w:val="25"/>
        </w:rPr>
      </w:pPr>
      <w:r>
        <w:rPr>
          <w:spacing w:val="-12"/>
          <w:sz w:val="25"/>
        </w:rPr>
        <w:t>「遇到很多</w:t>
      </w:r>
      <w:r>
        <w:rPr>
          <w:rFonts w:ascii="Times New Roman" w:eastAsia="Times New Roman"/>
          <w:i/>
          <w:spacing w:val="-12"/>
          <w:sz w:val="24"/>
        </w:rPr>
        <w:t>SaaS</w:t>
      </w:r>
      <w:r>
        <w:rPr>
          <w:rFonts w:ascii="Times New Roman" w:eastAsia="Times New Roman"/>
          <w:i/>
          <w:spacing w:val="-3"/>
          <w:sz w:val="24"/>
        </w:rPr>
        <w:t> </w:t>
      </w:r>
      <w:r>
        <w:rPr>
          <w:spacing w:val="-12"/>
          <w:sz w:val="25"/>
        </w:rPr>
        <w:t>服務，雖然收費可能不是很高，但不能忘記你最大的武器和資本就是背後的數據。這些數據能夠幫助你轉化為更有價值的服務。許多人還沒做到這一步就放棄</w:t>
      </w:r>
      <w:r>
        <w:rPr>
          <w:spacing w:val="-20"/>
          <w:sz w:val="25"/>
        </w:rPr>
        <w:t>了，如果不從後續服務中轉化數據，第一，你無法實現變現，</w:t>
      </w:r>
      <w:r>
        <w:rPr>
          <w:spacing w:val="-14"/>
          <w:sz w:val="25"/>
        </w:rPr>
        <w:t>第二，你也無法提升服務的價值。」</w:t>
      </w:r>
      <w:r>
        <w:rPr>
          <w:rFonts w:ascii="Times New Roman" w:eastAsia="Times New Roman"/>
          <w:i/>
          <w:spacing w:val="-14"/>
          <w:sz w:val="24"/>
        </w:rPr>
        <w:t>(</w:t>
      </w:r>
      <w:r>
        <w:rPr>
          <w:spacing w:val="-14"/>
          <w:sz w:val="25"/>
        </w:rPr>
        <w:t>沈家平執行長，天下雜</w:t>
      </w:r>
      <w:r>
        <w:rPr>
          <w:spacing w:val="-4"/>
          <w:sz w:val="25"/>
        </w:rPr>
        <w:t>誌資料）</w:t>
      </w:r>
    </w:p>
    <w:p>
      <w:pPr>
        <w:spacing w:after="0" w:line="405" w:lineRule="auto"/>
        <w:jc w:val="both"/>
        <w:rPr>
          <w:sz w:val="25"/>
        </w:rPr>
        <w:sectPr>
          <w:pgSz w:w="11910" w:h="16840"/>
          <w:pgMar w:header="0" w:footer="1197" w:top="1800" w:bottom="1380" w:left="1133" w:right="1133"/>
        </w:sectPr>
      </w:pPr>
    </w:p>
    <w:p>
      <w:pPr>
        <w:pStyle w:val="Heading2"/>
        <w:spacing w:line="500" w:lineRule="exact"/>
        <w:rPr>
          <w:position w:val="1"/>
        </w:rPr>
      </w:pPr>
      <w:r>
        <w:rPr>
          <w:b w:val="0"/>
        </w:rPr>
        <w:drawing>
          <wp:inline distT="0" distB="0" distL="0" distR="0">
            <wp:extent cx="393953" cy="145542"/>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94" cstate="print"/>
                    <a:stretch>
                      <a:fillRect/>
                    </a:stretch>
                  </pic:blipFill>
                  <pic:spPr>
                    <a:xfrm>
                      <a:off x="0" y="0"/>
                      <a:ext cx="393953" cy="145542"/>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72" w:id="73"/>
      <w:bookmarkEnd w:id="73"/>
      <w:r>
        <w:rPr>
          <w:rFonts w:ascii="Times New Roman" w:eastAsia="Times New Roman"/>
          <w:b w:val="0"/>
          <w:spacing w:val="-17"/>
          <w:position w:val="1"/>
          <w:sz w:val="20"/>
        </w:rPr>
      </w:r>
      <w:r>
        <w:rPr>
          <w:spacing w:val="-2"/>
          <w:position w:val="1"/>
        </w:rPr>
        <w:t>市場邊界</w:t>
      </w:r>
    </w:p>
    <w:p>
      <w:pPr>
        <w:pStyle w:val="Heading3"/>
        <w:rPr>
          <w:position w:val="1"/>
        </w:rPr>
      </w:pPr>
      <w:r>
        <w:rPr>
          <w:b w:val="0"/>
        </w:rPr>
        <w:drawing>
          <wp:inline distT="0" distB="0" distL="0" distR="0">
            <wp:extent cx="529590" cy="130301"/>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95"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市場跨界探索</w:t>
      </w:r>
    </w:p>
    <w:p>
      <w:pPr>
        <w:pStyle w:val="Heading4"/>
        <w:spacing w:before="340"/>
      </w:pPr>
      <w:r>
        <w:rPr>
          <w:spacing w:val="-1"/>
        </w:rPr>
        <w:t>單一的收入結構成為發展瓶頸</w:t>
      </w:r>
    </w:p>
    <w:p>
      <w:pPr>
        <w:pStyle w:val="BodyText"/>
        <w:spacing w:line="422" w:lineRule="auto" w:before="358"/>
        <w:ind w:right="683" w:firstLine="479"/>
      </w:pPr>
      <w:r>
        <w:rPr>
          <w:spacing w:val="-2"/>
        </w:rPr>
        <w:t>諾亞克初期的業務模式依賴每床每月的資訊服務費，這種固定收費模式使</w:t>
      </w:r>
      <w:r>
        <w:rPr>
          <w:spacing w:val="-4"/>
        </w:rPr>
        <w:t>得營收增長的潛力有限，因為即使市場需求增長，收入也無法顯著提高。這樣的</w:t>
      </w:r>
      <w:r>
        <w:rPr>
          <w:spacing w:val="-2"/>
        </w:rPr>
        <w:t>單一收入結構成為了企業發展的瓶頸，導致公司面臨增長空間不足的挑戰。</w:t>
      </w:r>
    </w:p>
    <w:p>
      <w:pPr>
        <w:pStyle w:val="BodyText"/>
        <w:spacing w:line="422" w:lineRule="auto" w:before="105"/>
        <w:ind w:right="470" w:firstLine="479"/>
        <w:jc w:val="left"/>
      </w:pPr>
      <w:r>
        <w:rPr>
          <w:spacing w:val="-2"/>
        </w:rPr>
        <w:t>此外，長照機構對資訊化服務的需求雖然穩定，但市場有限，短期內難以大</w:t>
      </w:r>
      <w:r>
        <w:rPr>
          <w:spacing w:val="-6"/>
        </w:rPr>
        <w:t>幅提高付費意願。隨著競爭加劇，諾亞克無法僅依賴擴大市場佔有率來推動增長。</w:t>
      </w:r>
    </w:p>
    <w:p>
      <w:pPr>
        <w:spacing w:line="405" w:lineRule="auto" w:before="95"/>
        <w:ind w:left="1701" w:right="1640" w:firstLine="480"/>
        <w:jc w:val="both"/>
        <w:rPr>
          <w:sz w:val="25"/>
        </w:rPr>
      </w:pPr>
      <w:r>
        <w:rPr>
          <w:sz w:val="25"/>
        </w:rPr>
        <w:drawing>
          <wp:anchor distT="0" distB="0" distL="0" distR="0" allowOverlap="1" layoutInCell="1" locked="0" behindDoc="1" simplePos="0" relativeHeight="485814272">
            <wp:simplePos x="0" y="0"/>
            <wp:positionH relativeFrom="page">
              <wp:posOffset>3312414</wp:posOffset>
            </wp:positionH>
            <wp:positionV relativeFrom="paragraph">
              <wp:posOffset>296657</wp:posOffset>
            </wp:positionV>
            <wp:extent cx="929640" cy="978408"/>
            <wp:effectExtent l="0" t="0" r="0" b="0"/>
            <wp:wrapNone/>
            <wp:docPr id="183" name="Image 183"/>
            <wp:cNvGraphicFramePr>
              <a:graphicFrameLocks/>
            </wp:cNvGraphicFramePr>
            <a:graphic>
              <a:graphicData uri="http://schemas.openxmlformats.org/drawingml/2006/picture">
                <pic:pic>
                  <pic:nvPicPr>
                    <pic:cNvPr id="183" name="Image 183"/>
                    <pic:cNvPicPr/>
                  </pic:nvPicPr>
                  <pic:blipFill>
                    <a:blip r:embed="rId6" cstate="print"/>
                    <a:stretch>
                      <a:fillRect/>
                    </a:stretch>
                  </pic:blipFill>
                  <pic:spPr>
                    <a:xfrm>
                      <a:off x="0" y="0"/>
                      <a:ext cx="929640" cy="978408"/>
                    </a:xfrm>
                    <a:prstGeom prst="rect">
                      <a:avLst/>
                    </a:prstGeom>
                  </pic:spPr>
                </pic:pic>
              </a:graphicData>
            </a:graphic>
          </wp:anchor>
        </w:drawing>
      </w:r>
      <w:r>
        <w:rPr>
          <w:spacing w:val="-8"/>
          <w:sz w:val="25"/>
        </w:rPr>
        <w:t>「以住宿式長照機構來說，諾亞克平均簽約的成交價，</w:t>
      </w:r>
      <w:r>
        <w:rPr>
          <w:spacing w:val="-7"/>
          <w:sz w:val="25"/>
        </w:rPr>
        <w:t>一個月大概落在 </w:t>
      </w:r>
      <w:r>
        <w:rPr>
          <w:rFonts w:ascii="Times New Roman" w:eastAsia="Times New Roman"/>
          <w:i/>
          <w:spacing w:val="-4"/>
          <w:sz w:val="24"/>
        </w:rPr>
        <w:t>70~80</w:t>
      </w:r>
      <w:r>
        <w:rPr>
          <w:rFonts w:ascii="Times New Roman" w:eastAsia="Times New Roman"/>
          <w:i/>
          <w:spacing w:val="-11"/>
          <w:sz w:val="24"/>
        </w:rPr>
        <w:t> </w:t>
      </w:r>
      <w:r>
        <w:rPr>
          <w:spacing w:val="-6"/>
          <w:sz w:val="25"/>
        </w:rPr>
        <w:t>塊，全台灣有幾床差不多 </w:t>
      </w:r>
      <w:r>
        <w:rPr>
          <w:rFonts w:ascii="Times New Roman" w:eastAsia="Times New Roman"/>
          <w:i/>
          <w:spacing w:val="-4"/>
          <w:sz w:val="24"/>
        </w:rPr>
        <w:t>10</w:t>
      </w:r>
      <w:r>
        <w:rPr>
          <w:rFonts w:ascii="Times New Roman" w:eastAsia="Times New Roman"/>
          <w:i/>
          <w:spacing w:val="-11"/>
          <w:sz w:val="24"/>
        </w:rPr>
        <w:t> </w:t>
      </w:r>
      <w:r>
        <w:rPr>
          <w:spacing w:val="-4"/>
          <w:sz w:val="25"/>
        </w:rPr>
        <w:t>萬床，</w:t>
      </w:r>
      <w:r>
        <w:rPr>
          <w:spacing w:val="-8"/>
          <w:sz w:val="25"/>
        </w:rPr>
        <w:t>如果是一直是這樣的模式的話，其實我們就會發現到，公司</w:t>
      </w:r>
      <w:r>
        <w:rPr>
          <w:spacing w:val="-18"/>
          <w:sz w:val="25"/>
        </w:rPr>
        <w:t>就是永遠就是這樣。」</w:t>
      </w:r>
      <w:r>
        <w:rPr>
          <w:spacing w:val="-6"/>
          <w:sz w:val="25"/>
        </w:rPr>
        <w:t>（林恩宇研發副總，</w:t>
      </w:r>
      <w:r>
        <w:rPr>
          <w:rFonts w:ascii="Times New Roman" w:eastAsia="Times New Roman"/>
          <w:i/>
          <w:spacing w:val="-6"/>
          <w:sz w:val="24"/>
        </w:rPr>
        <w:t>2024 </w:t>
      </w:r>
      <w:r>
        <w:rPr>
          <w:spacing w:val="-6"/>
          <w:sz w:val="25"/>
        </w:rPr>
        <w:t>訪談資料）</w:t>
      </w:r>
    </w:p>
    <w:p>
      <w:pPr>
        <w:pStyle w:val="Heading3"/>
        <w:spacing w:before="79"/>
        <w:rPr>
          <w:position w:val="1"/>
        </w:rPr>
      </w:pPr>
      <w:r>
        <w:rPr>
          <w:b w:val="0"/>
        </w:rPr>
        <w:drawing>
          <wp:inline distT="0" distB="0" distL="0" distR="0">
            <wp:extent cx="529590" cy="130301"/>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96"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市場跨界資源行動</w:t>
      </w:r>
    </w:p>
    <w:p>
      <w:pPr>
        <w:pStyle w:val="Heading4"/>
        <w:spacing w:before="340"/>
      </w:pPr>
      <w:r>
        <w:rPr>
          <w:spacing w:val="-1"/>
        </w:rPr>
        <w:t>辨識出耗材事業的可發展性</w:t>
      </w:r>
    </w:p>
    <w:p>
      <w:pPr>
        <w:pStyle w:val="BodyText"/>
        <w:spacing w:line="422" w:lineRule="auto" w:before="358"/>
        <w:ind w:right="470" w:firstLine="479"/>
        <w:jc w:val="left"/>
      </w:pPr>
      <w:r>
        <w:rPr>
          <w:spacing w:val="-2"/>
        </w:rPr>
        <w:t>在拓展業務的過程中，諾亞克已經透過軟體服務與眾多長照機構建立了穩</w:t>
      </w:r>
      <w:r>
        <w:rPr>
          <w:spacing w:val="80"/>
        </w:rPr>
        <w:t> </w:t>
      </w:r>
      <w:r>
        <w:rPr>
          <w:spacing w:val="-6"/>
        </w:rPr>
        <w:t>固的合作基礎，促使公司開始思考，是否可以在現有服務之上開發新的業務機會。</w:t>
      </w:r>
      <w:r>
        <w:rPr>
          <w:spacing w:val="-2"/>
        </w:rPr>
        <w:t>在這樣的思維下，諾亞克開始檢視長照機構內部的管理數據，包含處理進貨和銷貨單據、記錄家屬的收費狀況等等。通過分析，諾亞克公司發現長照機構的主要支出項目的前三類包括建築物的租金、人事成本及耗材費用。</w:t>
      </w:r>
    </w:p>
    <w:p>
      <w:pPr>
        <w:pStyle w:val="BodyText"/>
        <w:spacing w:line="422" w:lineRule="auto" w:before="103"/>
        <w:ind w:right="683" w:firstLine="479"/>
        <w:jc w:val="left"/>
      </w:pPr>
      <w:r>
        <w:rPr>
          <w:spacing w:val="-6"/>
        </w:rPr>
        <w:t>當時，諾亞克的資本額僅有數百萬，並不足以涉足建築物租賃業務；此外，</w:t>
      </w:r>
      <w:r>
        <w:rPr>
          <w:spacing w:val="-7"/>
        </w:rPr>
        <w:t>人事供應則已有許多人力資源公司及中介企業提供服務。因此，耗材便成為諾亞</w:t>
      </w:r>
    </w:p>
    <w:p>
      <w:pPr>
        <w:pStyle w:val="BodyText"/>
        <w:spacing w:after="0" w:line="422" w:lineRule="auto"/>
        <w:jc w:val="left"/>
        <w:sectPr>
          <w:pgSz w:w="11910" w:h="16840"/>
          <w:pgMar w:header="0" w:footer="1197" w:top="1800" w:bottom="1380" w:left="1133" w:right="1133"/>
        </w:sectPr>
      </w:pPr>
    </w:p>
    <w:p>
      <w:pPr>
        <w:pStyle w:val="BodyText"/>
        <w:spacing w:line="422" w:lineRule="auto" w:before="27"/>
        <w:ind w:right="685"/>
        <w:jc w:val="left"/>
      </w:pPr>
      <w:r>
        <w:rPr>
          <w:spacing w:val="-6"/>
        </w:rPr>
        <w:t>克能夠進行資源投入的領域。通過這一策略，諾亞克對單一客戶的收入來源不再</w:t>
      </w:r>
      <w:r>
        <w:rPr>
          <w:spacing w:val="-2"/>
        </w:rPr>
        <w:t>僅限於每床每月的基本服務費，而是包含每床所需的耗材和營養品供應。</w:t>
      </w:r>
    </w:p>
    <w:p>
      <w:pPr>
        <w:spacing w:line="405" w:lineRule="auto" w:before="95"/>
        <w:ind w:left="1701" w:right="1461" w:firstLine="480"/>
        <w:jc w:val="left"/>
        <w:rPr>
          <w:sz w:val="25"/>
        </w:rPr>
      </w:pPr>
      <w:r>
        <w:rPr>
          <w:spacing w:val="-4"/>
          <w:sz w:val="25"/>
        </w:rPr>
        <w:t>「那時候想：既然我們都用軟體認識那麼多客戶了，也</w:t>
      </w:r>
      <w:r>
        <w:rPr>
          <w:spacing w:val="-4"/>
          <w:sz w:val="25"/>
        </w:rPr>
        <w:t> </w:t>
      </w:r>
      <w:r>
        <w:rPr>
          <w:spacing w:val="-12"/>
          <w:sz w:val="25"/>
        </w:rPr>
        <w:t>去拜訪那麼多客戶了，那有沒有什麼其他生意是我們可以做，所以才會有耗材這件事情的發生。</w:t>
      </w:r>
      <w:r>
        <w:rPr>
          <w:spacing w:val="-161"/>
          <w:sz w:val="25"/>
        </w:rPr>
        <w:t>」</w:t>
      </w:r>
      <w:r>
        <w:rPr>
          <w:spacing w:val="-12"/>
          <w:sz w:val="25"/>
        </w:rPr>
        <w:t>（林恩宇研發副總，</w:t>
      </w:r>
      <w:r>
        <w:rPr>
          <w:rFonts w:ascii="Times New Roman" w:eastAsia="Times New Roman"/>
          <w:i/>
          <w:spacing w:val="-12"/>
          <w:sz w:val="24"/>
        </w:rPr>
        <w:t>2024</w:t>
      </w:r>
      <w:r>
        <w:rPr>
          <w:spacing w:val="-12"/>
          <w:sz w:val="25"/>
        </w:rPr>
        <w:t>訪</w:t>
      </w:r>
      <w:r>
        <w:rPr>
          <w:spacing w:val="-4"/>
          <w:sz w:val="25"/>
        </w:rPr>
        <w:t>談資料）</w:t>
      </w:r>
    </w:p>
    <w:p>
      <w:pPr>
        <w:pStyle w:val="Heading4"/>
        <w:spacing w:before="106"/>
      </w:pPr>
      <w:r>
        <w:rPr/>
        <w:t>以 </w:t>
      </w:r>
      <w:r>
        <w:rPr>
          <w:rFonts w:ascii="Times New Roman" w:eastAsia="Times New Roman"/>
        </w:rPr>
        <w:t>ARPU</w:t>
      </w:r>
      <w:r>
        <w:rPr>
          <w:rFonts w:ascii="Times New Roman" w:eastAsia="Times New Roman"/>
          <w:spacing w:val="-2"/>
        </w:rPr>
        <w:t> </w:t>
      </w:r>
      <w:r>
        <w:rPr>
          <w:spacing w:val="-2"/>
        </w:rPr>
        <w:t>驅動的新商業模式</w:t>
      </w:r>
    </w:p>
    <w:p>
      <w:pPr>
        <w:pStyle w:val="BodyText"/>
        <w:spacing w:line="422" w:lineRule="auto" w:before="358"/>
        <w:ind w:right="681" w:firstLine="479"/>
      </w:pPr>
      <w:r>
        <w:rPr/>
        <w:drawing>
          <wp:anchor distT="0" distB="0" distL="0" distR="0" allowOverlap="1" layoutInCell="1" locked="0" behindDoc="1" simplePos="0" relativeHeight="485814784">
            <wp:simplePos x="0" y="0"/>
            <wp:positionH relativeFrom="page">
              <wp:posOffset>3312414</wp:posOffset>
            </wp:positionH>
            <wp:positionV relativeFrom="paragraph">
              <wp:posOffset>1211427</wp:posOffset>
            </wp:positionV>
            <wp:extent cx="929640" cy="978408"/>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台灣長照市場的年複合成長率約為 </w:t>
      </w:r>
      <w:r>
        <w:rPr>
          <w:rFonts w:ascii="Times New Roman" w:eastAsia="Times New Roman"/>
          <w:spacing w:val="-2"/>
        </w:rPr>
        <w:t>10.23%</w:t>
      </w:r>
      <w:r>
        <w:rPr>
          <w:spacing w:val="-2"/>
        </w:rPr>
        <w:t>。然而，諾亞克的營收增長卻遠</w:t>
      </w:r>
      <w:r>
        <w:rPr>
          <w:spacing w:val="-8"/>
        </w:rPr>
        <w:t>超市場平均水平，呈現顯著倍增的趨勢，這主要得益於其採用的 </w:t>
      </w:r>
      <w:r>
        <w:rPr>
          <w:rFonts w:ascii="Times New Roman" w:eastAsia="Times New Roman"/>
          <w:spacing w:val="-8"/>
        </w:rPr>
        <w:t>ARPU</w:t>
      </w:r>
      <w:r>
        <w:rPr>
          <w:spacing w:val="-8"/>
        </w:rPr>
        <w:t>（</w:t>
      </w:r>
      <w:r>
        <w:rPr>
          <w:rFonts w:ascii="Times New Roman" w:eastAsia="Times New Roman"/>
          <w:spacing w:val="-8"/>
        </w:rPr>
        <w:t>Average </w:t>
      </w:r>
      <w:r>
        <w:rPr>
          <w:rFonts w:ascii="Times New Roman" w:eastAsia="Times New Roman"/>
          <w:spacing w:val="-4"/>
        </w:rPr>
        <w:t>Revenue</w:t>
      </w:r>
      <w:r>
        <w:rPr>
          <w:rFonts w:ascii="Times New Roman" w:eastAsia="Times New Roman"/>
          <w:spacing w:val="-7"/>
        </w:rPr>
        <w:t> </w:t>
      </w:r>
      <w:r>
        <w:rPr>
          <w:rFonts w:ascii="Times New Roman" w:eastAsia="Times New Roman"/>
          <w:spacing w:val="-4"/>
        </w:rPr>
        <w:t>Per</w:t>
      </w:r>
      <w:r>
        <w:rPr>
          <w:rFonts w:ascii="Times New Roman" w:eastAsia="Times New Roman"/>
          <w:spacing w:val="-7"/>
        </w:rPr>
        <w:t> </w:t>
      </w:r>
      <w:r>
        <w:rPr>
          <w:rFonts w:ascii="Times New Roman" w:eastAsia="Times New Roman"/>
          <w:spacing w:val="-4"/>
        </w:rPr>
        <w:t>Unit</w:t>
      </w:r>
      <w:r>
        <w:rPr>
          <w:spacing w:val="-4"/>
        </w:rPr>
        <w:t>，平均每單位收入）新商業模式。</w:t>
      </w:r>
      <w:r>
        <w:rPr>
          <w:rFonts w:ascii="Times New Roman" w:eastAsia="Times New Roman"/>
          <w:spacing w:val="-4"/>
        </w:rPr>
        <w:t>ARPU</w:t>
      </w:r>
      <w:r>
        <w:rPr>
          <w:rFonts w:ascii="Times New Roman" w:eastAsia="Times New Roman"/>
        </w:rPr>
        <w:t> </w:t>
      </w:r>
      <w:r>
        <w:rPr>
          <w:spacing w:val="-4"/>
        </w:rPr>
        <w:t>是一個衡量企業每位客戶或每單位服務所產生平均收入的關鍵指標。在諾亞克的運營中，這一概念被用</w:t>
      </w:r>
      <w:r>
        <w:rPr>
          <w:spacing w:val="-2"/>
        </w:rPr>
        <w:t>來評估每床位資訊系統所能創造的價值。</w:t>
      </w:r>
    </w:p>
    <w:p>
      <w:pPr>
        <w:pStyle w:val="BodyText"/>
        <w:spacing w:line="422" w:lineRule="auto" w:before="102"/>
        <w:ind w:right="682" w:firstLine="479"/>
      </w:pPr>
      <w:r>
        <w:rPr>
          <w:spacing w:val="-2"/>
        </w:rPr>
        <w:t>諾亞克不僅提供基礎的長照系統服務，還以 </w:t>
      </w:r>
      <w:r>
        <w:rPr>
          <w:rFonts w:ascii="Times New Roman" w:eastAsia="Times New Roman"/>
        </w:rPr>
        <w:t>ARPU</w:t>
      </w:r>
      <w:r>
        <w:rPr>
          <w:rFonts w:ascii="Times New Roman" w:eastAsia="Times New Roman"/>
          <w:spacing w:val="3"/>
        </w:rPr>
        <w:t> </w:t>
      </w:r>
      <w:r>
        <w:rPr/>
        <w:t>為核心，深入分析每床</w:t>
      </w:r>
      <w:r>
        <w:rPr>
          <w:spacing w:val="-4"/>
        </w:rPr>
        <w:t>位可以延伸的服務項目，並成功整合了醫療耗材供應、專業培訓以及其他增值服</w:t>
      </w:r>
      <w:r>
        <w:rPr>
          <w:spacing w:val="-4"/>
        </w:rPr>
        <w:t>務。通過這些增值項目，諾亞克顯著提升了每單位服務的價值，使每床位的營收達到原來的 </w:t>
      </w:r>
      <w:r>
        <w:rPr>
          <w:rFonts w:ascii="Times New Roman" w:eastAsia="Times New Roman"/>
        </w:rPr>
        <w:t>10 </w:t>
      </w:r>
      <w:r>
        <w:rPr>
          <w:spacing w:val="-10"/>
        </w:rPr>
        <w:t>至 </w:t>
      </w:r>
      <w:r>
        <w:rPr>
          <w:rFonts w:ascii="Times New Roman" w:eastAsia="Times New Roman"/>
        </w:rPr>
        <w:t>15 </w:t>
      </w:r>
      <w:r>
        <w:rPr/>
        <w:t>倍。</w:t>
      </w:r>
    </w:p>
    <w:p>
      <w:pPr>
        <w:pStyle w:val="BodyText"/>
        <w:spacing w:line="422" w:lineRule="auto" w:before="104"/>
        <w:ind w:right="683" w:firstLine="479"/>
      </w:pPr>
      <w:r>
        <w:rPr>
          <w:rFonts w:ascii="Times New Roman" w:eastAsia="Times New Roman"/>
          <w:spacing w:val="-4"/>
        </w:rPr>
        <w:t>ARPU</w:t>
      </w:r>
      <w:r>
        <w:rPr>
          <w:rFonts w:ascii="Times New Roman" w:eastAsia="Times New Roman"/>
          <w:spacing w:val="-11"/>
        </w:rPr>
        <w:t> </w:t>
      </w:r>
      <w:r>
        <w:rPr>
          <w:spacing w:val="-4"/>
        </w:rPr>
        <w:t>作為一項關鍵指標，不僅幫助諾亞克有效評估業務模式的成功性，還</w:t>
      </w:r>
      <w:r>
        <w:rPr>
          <w:spacing w:val="-2"/>
        </w:rPr>
        <w:t>成為推動其在長照市場持續增長的重要助力。</w:t>
      </w:r>
    </w:p>
    <w:p>
      <w:pPr>
        <w:spacing w:line="405" w:lineRule="auto" w:before="96"/>
        <w:ind w:left="1701" w:right="1699" w:firstLine="480"/>
        <w:jc w:val="both"/>
        <w:rPr>
          <w:sz w:val="25"/>
        </w:rPr>
      </w:pPr>
      <w:r>
        <w:rPr>
          <w:spacing w:val="-12"/>
          <w:sz w:val="25"/>
        </w:rPr>
        <w:t>「公司不是靠賣那些解決方案來賺錢，而是靠整個商業</w:t>
      </w:r>
      <w:r>
        <w:rPr>
          <w:spacing w:val="-20"/>
          <w:sz w:val="25"/>
        </w:rPr>
        <w:t>模式。重點在於把客戶綁在我們這邊，使用我們的資訊系統。</w:t>
      </w:r>
      <w:r>
        <w:rPr>
          <w:spacing w:val="-12"/>
          <w:sz w:val="25"/>
        </w:rPr>
        <w:t>但公司從來不是依靠每個月收取系統費用來賺錢，因為那樣的收入有天花板，很明顯你看得到。所以，公司必須從周邊</w:t>
      </w:r>
      <w:r>
        <w:rPr>
          <w:spacing w:val="-16"/>
          <w:sz w:val="25"/>
        </w:rPr>
        <w:t>整合更多的服務。」</w:t>
      </w:r>
      <w:r>
        <w:rPr>
          <w:spacing w:val="-2"/>
          <w:sz w:val="25"/>
        </w:rPr>
        <w:t>（林恩宇研發副總，</w:t>
      </w:r>
      <w:r>
        <w:rPr>
          <w:rFonts w:ascii="Times New Roman" w:eastAsia="Times New Roman"/>
          <w:i/>
          <w:spacing w:val="-2"/>
          <w:sz w:val="24"/>
        </w:rPr>
        <w:t>2023</w:t>
      </w:r>
      <w:r>
        <w:rPr>
          <w:rFonts w:ascii="Times New Roman" w:eastAsia="Times New Roman"/>
          <w:i/>
          <w:spacing w:val="-13"/>
          <w:sz w:val="24"/>
        </w:rPr>
        <w:t> </w:t>
      </w:r>
      <w:r>
        <w:rPr>
          <w:spacing w:val="-2"/>
          <w:sz w:val="25"/>
        </w:rPr>
        <w:t>訪談資料）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8525" cy="145542"/>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97"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73" w:id="74"/>
      <w:bookmarkEnd w:id="74"/>
      <w:r>
        <w:rPr>
          <w:rFonts w:ascii="Times New Roman" w:eastAsia="Times New Roman"/>
          <w:b w:val="0"/>
          <w:spacing w:val="-24"/>
          <w:position w:val="1"/>
          <w:sz w:val="20"/>
        </w:rPr>
      </w:r>
      <w:r>
        <w:rPr>
          <w:spacing w:val="-2"/>
          <w:position w:val="1"/>
        </w:rPr>
        <w:t>知識邊界</w:t>
      </w:r>
    </w:p>
    <w:p>
      <w:pPr>
        <w:pStyle w:val="Heading3"/>
        <w:rPr>
          <w:position w:val="1"/>
        </w:rPr>
      </w:pPr>
      <w:r>
        <w:rPr>
          <w:b w:val="0"/>
        </w:rPr>
        <w:drawing>
          <wp:inline distT="0" distB="0" distL="0" distR="0">
            <wp:extent cx="529590" cy="130301"/>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98"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知識跨界探索</w:t>
      </w:r>
    </w:p>
    <w:p>
      <w:pPr>
        <w:pStyle w:val="Heading4"/>
        <w:spacing w:before="340"/>
      </w:pPr>
      <w:r>
        <w:rPr>
          <w:spacing w:val="-1"/>
        </w:rPr>
        <w:t>耗材與供應鏈管理的相關專業知識不足</w:t>
      </w:r>
    </w:p>
    <w:p>
      <w:pPr>
        <w:pStyle w:val="BodyText"/>
        <w:spacing w:line="422" w:lineRule="auto" w:before="358"/>
        <w:ind w:right="686" w:firstLine="479"/>
      </w:pPr>
      <w:r>
        <w:rPr>
          <w:spacing w:val="-6"/>
        </w:rPr>
        <w:t>諾亞克最初只是一家專注於長照資訊化的公司，擁有強大的資訊技術背景，</w:t>
      </w:r>
      <w:r>
        <w:rPr>
          <w:spacing w:val="-2"/>
        </w:rPr>
        <w:t>但在耗材市場方面的知識相對匱乏。這些知識邊界使得公司在初期只能以小規模、逐步嘗試的方式來開拓耗材市場。</w:t>
      </w:r>
    </w:p>
    <w:p>
      <w:pPr>
        <w:pStyle w:val="BodyText"/>
        <w:spacing w:line="422" w:lineRule="auto" w:before="105"/>
        <w:ind w:right="683" w:firstLine="479"/>
      </w:pPr>
      <w:r>
        <w:rPr/>
        <w:drawing>
          <wp:anchor distT="0" distB="0" distL="0" distR="0" allowOverlap="1" layoutInCell="1" locked="0" behindDoc="1" simplePos="0" relativeHeight="485815296">
            <wp:simplePos x="0" y="0"/>
            <wp:positionH relativeFrom="page">
              <wp:posOffset>3312414</wp:posOffset>
            </wp:positionH>
            <wp:positionV relativeFrom="paragraph">
              <wp:posOffset>1050656</wp:posOffset>
            </wp:positionV>
            <wp:extent cx="929640" cy="978408"/>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公司剛進入耗材市場，對於產品的需求特性、使用場景、消耗量等方面的知</w:t>
      </w:r>
      <w:r>
        <w:rPr>
          <w:spacing w:val="-4"/>
        </w:rPr>
        <w:t>識有限，使得公司在初期難以準確預測市場需求並提供對應的產品方案。此外耗材產品種類繁多，從基礎醫療用品如紗布、棉棒、到更為專業的護理產品如醫療</w:t>
      </w:r>
      <w:r>
        <w:rPr>
          <w:spacing w:val="-2"/>
        </w:rPr>
        <w:t>手套和手術衣，每種產品的應用場景、儲存條件和物流需求各不相同。</w:t>
      </w:r>
    </w:p>
    <w:p>
      <w:pPr>
        <w:pStyle w:val="BodyText"/>
        <w:spacing w:line="422" w:lineRule="auto" w:before="103"/>
        <w:ind w:right="682" w:firstLine="479"/>
      </w:pPr>
      <w:r>
        <w:rPr>
          <w:spacing w:val="-2"/>
        </w:rPr>
        <w:t>耗材業務不僅涉及多樣化的產品，還包括一個高度複雜的供應鏈與物流管</w:t>
      </w:r>
      <w:r>
        <w:rPr>
          <w:spacing w:val="-4"/>
        </w:rPr>
        <w:t>理環節。在大規模訂購和分銷中，供應鏈的穩定性、庫存管理的效率以及配送的</w:t>
      </w:r>
      <w:r>
        <w:rPr>
          <w:spacing w:val="-2"/>
        </w:rPr>
        <w:t>成本控制都是影響市場競爭力的重要因素。諾亞克在最初並不具備這些供應鏈</w:t>
      </w:r>
      <w:r>
        <w:rPr>
          <w:spacing w:val="-4"/>
        </w:rPr>
        <w:t>與物流的專業知識，包括如何管理庫存以保持產品的質量、如何建立穩定的供應</w:t>
      </w:r>
      <w:r>
        <w:rPr>
          <w:spacing w:val="-2"/>
        </w:rPr>
        <w:t>鏈以降低中斷風險等。這些知識不足使得公司在拓展耗材市場時面臨一定的管理困難，這也是一項重要的知識邊界。</w:t>
      </w:r>
    </w:p>
    <w:p>
      <w:pPr>
        <w:spacing w:line="405" w:lineRule="auto" w:before="91"/>
        <w:ind w:left="1701" w:right="1701" w:firstLine="480"/>
        <w:jc w:val="both"/>
        <w:rPr>
          <w:sz w:val="25"/>
        </w:rPr>
      </w:pPr>
      <w:r>
        <w:rPr>
          <w:spacing w:val="-12"/>
          <w:sz w:val="25"/>
        </w:rPr>
        <w:t>「其實一開始也是小小做，一開始是現在耗材事業部的</w:t>
      </w:r>
      <w:r>
        <w:rPr>
          <w:spacing w:val="-20"/>
          <w:sz w:val="25"/>
        </w:rPr>
        <w:t>主管，他就說他可以來幫我們做這件事情。他那時候在台中，</w:t>
      </w:r>
      <w:r>
        <w:rPr>
          <w:spacing w:val="-25"/>
          <w:sz w:val="25"/>
        </w:rPr>
        <w:t>長照機構有幾間嘛，我們就是說：『欸我們這邊有一批耗材，</w:t>
      </w:r>
      <w:r>
        <w:rPr>
          <w:spacing w:val="-23"/>
          <w:sz w:val="25"/>
        </w:rPr>
        <w:t>那你們可以參考看看，可以少少的訂也沒關係』」</w:t>
      </w:r>
      <w:r>
        <w:rPr>
          <w:spacing w:val="-12"/>
          <w:sz w:val="25"/>
        </w:rPr>
        <w:t>（林恩宇研</w:t>
      </w:r>
      <w:r>
        <w:rPr>
          <w:sz w:val="25"/>
        </w:rPr>
        <w:t>發副總，</w:t>
      </w:r>
      <w:r>
        <w:rPr>
          <w:rFonts w:ascii="Times New Roman" w:eastAsia="Times New Roman"/>
          <w:i/>
          <w:sz w:val="24"/>
        </w:rPr>
        <w:t>2024 </w:t>
      </w:r>
      <w:r>
        <w:rPr>
          <w:sz w:val="25"/>
        </w:rPr>
        <w:t>訪談資料）</w:t>
      </w:r>
    </w:p>
    <w:p>
      <w:pPr>
        <w:spacing w:after="0" w:line="405" w:lineRule="auto"/>
        <w:jc w:val="both"/>
        <w:rPr>
          <w:sz w:val="25"/>
        </w:rPr>
        <w:sectPr>
          <w:pgSz w:w="11910" w:h="16840"/>
          <w:pgMar w:header="0" w:footer="1197" w:top="1800" w:bottom="1380" w:left="1133" w:right="1133"/>
        </w:sectPr>
      </w:pPr>
    </w:p>
    <w:p>
      <w:pPr>
        <w:pStyle w:val="Heading3"/>
        <w:spacing w:line="448" w:lineRule="exact" w:before="0"/>
        <w:rPr>
          <w:position w:val="1"/>
        </w:rPr>
      </w:pPr>
      <w:r>
        <w:rPr>
          <w:b w:val="0"/>
        </w:rPr>
        <w:drawing>
          <wp:inline distT="0" distB="0" distL="0" distR="0">
            <wp:extent cx="529590" cy="130301"/>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99"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知識跨界資源行動</w:t>
      </w:r>
    </w:p>
    <w:p>
      <w:pPr>
        <w:pStyle w:val="Heading4"/>
        <w:spacing w:before="339"/>
      </w:pPr>
      <w:r>
        <w:rPr>
          <w:spacing w:val="-1"/>
        </w:rPr>
        <w:t>投資物流與耗材廠商，快速建立知識及產業的信任</w:t>
      </w:r>
    </w:p>
    <w:p>
      <w:pPr>
        <w:pStyle w:val="BodyText"/>
        <w:spacing w:line="422" w:lineRule="auto" w:before="358"/>
        <w:ind w:right="683" w:firstLine="479"/>
      </w:pPr>
      <w:r>
        <w:rPr>
          <w:spacing w:val="-6"/>
        </w:rPr>
        <w:t>在諾亞克的發展過程中，耗材市場原本是一個完全陌生的領域。公司最初專</w:t>
      </w:r>
      <w:r>
        <w:rPr>
          <w:spacing w:val="-4"/>
        </w:rPr>
        <w:t>注於提供資訊化服務，並未擁有任何與耗材相關的資源。然而，隨著對市場需求的深入理解，諾亞克意識到，要在長期照護領域中保持競爭力，僅依賴資訊系統服務是無法實現可持續增長的。因此，公司決定透過成立新公司與併購策略，快</w:t>
      </w:r>
      <w:r>
        <w:rPr>
          <w:spacing w:val="-2"/>
        </w:rPr>
        <w:t>速進入耗材市場，並減少開發這一領域所需的時間與成本。</w:t>
      </w:r>
    </w:p>
    <w:p>
      <w:pPr>
        <w:pStyle w:val="BodyText"/>
        <w:spacing w:line="422" w:lineRule="auto" w:before="103"/>
        <w:ind w:right="683" w:firstLine="479"/>
      </w:pPr>
      <w:r>
        <w:rPr/>
        <w:drawing>
          <wp:anchor distT="0" distB="0" distL="0" distR="0" allowOverlap="1" layoutInCell="1" locked="0" behindDoc="1" simplePos="0" relativeHeight="485815808">
            <wp:simplePos x="0" y="0"/>
            <wp:positionH relativeFrom="page">
              <wp:posOffset>3312414</wp:posOffset>
            </wp:positionH>
            <wp:positionV relativeFrom="paragraph">
              <wp:posOffset>934980</wp:posOffset>
            </wp:positionV>
            <wp:extent cx="929640" cy="978408"/>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6" cstate="print"/>
                    <a:stretch>
                      <a:fillRect/>
                    </a:stretch>
                  </pic:blipFill>
                  <pic:spPr>
                    <a:xfrm>
                      <a:off x="0" y="0"/>
                      <a:ext cx="929640" cy="978408"/>
                    </a:xfrm>
                    <a:prstGeom prst="rect">
                      <a:avLst/>
                    </a:prstGeom>
                  </pic:spPr>
                </pic:pic>
              </a:graphicData>
            </a:graphic>
          </wp:anchor>
        </w:drawing>
      </w:r>
      <w:r>
        <w:rPr>
          <w:spacing w:val="-24"/>
        </w:rPr>
        <w:t>首先，諾亞克投資成立了禾捷有限公司，作為進軍耗材市場的第一步。隨後，</w:t>
      </w:r>
      <w:r>
        <w:rPr>
          <w:spacing w:val="-4"/>
        </w:rPr>
        <w:t>為了進一步擴展市場份額並加強資源整合，諾亞克併購了「建齊」與「卓和」兩家耗材供應商。這些公司提供的產品包括紗布、棉棒、導尿包、醫療手套、手術</w:t>
      </w:r>
      <w:r>
        <w:rPr>
          <w:spacing w:val="-12"/>
        </w:rPr>
        <w:t>衣、滅菌組合包、隔離衣、壓舌板等，這些耗材對長期照護機構的運營至關重要。</w:t>
      </w:r>
      <w:r>
        <w:rPr>
          <w:spacing w:val="-2"/>
        </w:rPr>
        <w:t>這樣的併購策略不僅讓諾亞克迅速擁有原本不具備的專業知識，還幫助公司在</w:t>
      </w:r>
      <w:r>
        <w:rPr>
          <w:spacing w:val="-4"/>
        </w:rPr>
        <w:t>市場中建立了信任關係。信任的建立是進入這一領域的關鍵，只有獲得現有專業</w:t>
      </w:r>
      <w:r>
        <w:rPr>
          <w:spacing w:val="-2"/>
        </w:rPr>
        <w:t>廠商的認可與合作，才能有效整合知識與資源。</w:t>
      </w:r>
    </w:p>
    <w:p>
      <w:pPr>
        <w:pStyle w:val="BodyText"/>
        <w:spacing w:line="422" w:lineRule="auto" w:before="100"/>
        <w:ind w:right="683" w:firstLine="479"/>
      </w:pPr>
      <w:r>
        <w:rPr>
          <w:spacing w:val="-6"/>
        </w:rPr>
        <w:t>透過這些併購行動，諾亞克不僅擴大了在耗材市場中的市佔率，還增強了整</w:t>
      </w:r>
      <w:r>
        <w:rPr>
          <w:spacing w:val="-4"/>
        </w:rPr>
        <w:t>體競爭力。這些資源的整合使諾亞克能夠更有效地規劃與配置資源，並在市場中</w:t>
      </w:r>
      <w:r>
        <w:rPr>
          <w:spacing w:val="-2"/>
        </w:rPr>
        <w:t>占據有利位置。</w:t>
      </w:r>
    </w:p>
    <w:p>
      <w:pPr>
        <w:spacing w:line="405" w:lineRule="auto" w:before="94"/>
        <w:ind w:left="1701" w:right="1701" w:firstLine="480"/>
        <w:jc w:val="both"/>
        <w:rPr>
          <w:sz w:val="25"/>
        </w:rPr>
      </w:pPr>
      <w:r>
        <w:rPr>
          <w:spacing w:val="-12"/>
          <w:sz w:val="25"/>
        </w:rPr>
        <w:t>「這些公司的老闆或管理階層經營久了，會覺得孤軍奮戰很累，而且公司的成長有限。他們希望能找到更好的機會或團隊來並肩作戰，我們剛好有機會切入。其實在我們介入之前，耗材業務一直陷入削價競爭的局面，大家都用更低價</w:t>
      </w:r>
      <w:r>
        <w:rPr>
          <w:spacing w:val="-21"/>
          <w:sz w:val="25"/>
        </w:rPr>
        <w:t>去爭取客戶的採用。」</w:t>
      </w:r>
      <w:r>
        <w:rPr>
          <w:spacing w:val="-10"/>
          <w:sz w:val="25"/>
        </w:rPr>
        <w:t>（林恩宇研發副總，</w:t>
      </w:r>
      <w:r>
        <w:rPr>
          <w:rFonts w:ascii="Times New Roman" w:eastAsia="Times New Roman"/>
          <w:i/>
          <w:spacing w:val="-10"/>
          <w:sz w:val="24"/>
        </w:rPr>
        <w:t>2023</w:t>
      </w:r>
      <w:r>
        <w:rPr>
          <w:rFonts w:ascii="Times New Roman" w:eastAsia="Times New Roman"/>
          <w:i/>
          <w:spacing w:val="31"/>
          <w:sz w:val="24"/>
        </w:rPr>
        <w:t> </w:t>
      </w:r>
      <w:r>
        <w:rPr>
          <w:spacing w:val="-10"/>
          <w:sz w:val="25"/>
        </w:rPr>
        <w:t>訪談資料）</w:t>
      </w:r>
    </w:p>
    <w:p>
      <w:pPr>
        <w:spacing w:after="0" w:line="405" w:lineRule="auto"/>
        <w:jc w:val="both"/>
        <w:rPr>
          <w:sz w:val="25"/>
        </w:rPr>
        <w:sectPr>
          <w:pgSz w:w="11910" w:h="16840"/>
          <w:pgMar w:header="0" w:footer="1197" w:top="1820" w:bottom="1380" w:left="1133" w:right="1133"/>
        </w:sectPr>
      </w:pPr>
    </w:p>
    <w:p>
      <w:pPr>
        <w:pStyle w:val="Heading4"/>
        <w:spacing w:line="389" w:lineRule="exact"/>
      </w:pPr>
      <w:r>
        <w:rPr>
          <w:spacing w:val="-1"/>
        </w:rPr>
        <w:t>整合全球供應鏈並優化耗材成本管理</w:t>
      </w:r>
    </w:p>
    <w:p>
      <w:pPr>
        <w:pStyle w:val="BodyText"/>
        <w:spacing w:line="422" w:lineRule="auto" w:before="358"/>
        <w:ind w:right="683" w:firstLine="479"/>
      </w:pPr>
      <w:r>
        <w:rPr>
          <w:spacing w:val="-2"/>
        </w:rPr>
        <w:t>為應對長照機構的多樣化需求，諾亞克與國內外製造廠商建立密切合作關</w:t>
      </w:r>
      <w:r>
        <w:rPr>
          <w:spacing w:val="-4"/>
        </w:rPr>
        <w:t>係，從學習不同市場的需求模式開始，逐步掌握產品規格設計、功能優化及場景應用的關鍵知識。這些合作過程讓諾亞克不僅熟悉多元的供應鏈結構，更深入理</w:t>
      </w:r>
      <w:r>
        <w:rPr>
          <w:spacing w:val="-2"/>
        </w:rPr>
        <w:t>解如何根據使用者特性與場景需求，設計出耐用性與適用性兼備的耗材產品。</w:t>
      </w:r>
    </w:p>
    <w:p>
      <w:pPr>
        <w:pStyle w:val="BodyText"/>
        <w:spacing w:line="422" w:lineRule="auto" w:before="103"/>
        <w:ind w:right="683" w:firstLine="479"/>
      </w:pPr>
      <w:r>
        <w:rPr>
          <w:spacing w:val="-6"/>
        </w:rPr>
        <w:t>在整合全球供應鏈的同時，諾亞克透過大規模採購與客製化製造的學習，優</w:t>
      </w:r>
      <w:r>
        <w:rPr>
          <w:spacing w:val="-4"/>
        </w:rPr>
        <w:t>化了耗材成本管理策略。例如，公司與來自東南亞及中國的國際製造商合作，從上游廠商獲得更具競爭力的採購價格。通過大批量採購，能夠從上游廠商獲得更低的單價，從而有效降低自身的總採購成本，並以更具競爭力的價格向長照機構</w:t>
      </w:r>
      <w:r>
        <w:rPr>
          <w:spacing w:val="-2"/>
        </w:rPr>
        <w:t>供應耗材。</w:t>
      </w:r>
    </w:p>
    <w:p>
      <w:pPr>
        <w:pStyle w:val="BodyText"/>
        <w:spacing w:line="422" w:lineRule="auto" w:before="102"/>
        <w:ind w:right="683" w:firstLine="479"/>
      </w:pPr>
      <w:r>
        <w:rPr/>
        <w:drawing>
          <wp:anchor distT="0" distB="0" distL="0" distR="0" allowOverlap="1" layoutInCell="1" locked="0" behindDoc="1" simplePos="0" relativeHeight="485816320">
            <wp:simplePos x="0" y="0"/>
            <wp:positionH relativeFrom="page">
              <wp:posOffset>3312414</wp:posOffset>
            </wp:positionH>
            <wp:positionV relativeFrom="paragraph">
              <wp:posOffset>66097</wp:posOffset>
            </wp:positionV>
            <wp:extent cx="929640" cy="978408"/>
            <wp:effectExtent l="0" t="0" r="0" b="0"/>
            <wp:wrapNone/>
            <wp:docPr id="191" name="Image 191"/>
            <wp:cNvGraphicFramePr>
              <a:graphicFrameLocks/>
            </wp:cNvGraphicFramePr>
            <a:graphic>
              <a:graphicData uri="http://schemas.openxmlformats.org/drawingml/2006/picture">
                <pic:pic>
                  <pic:nvPicPr>
                    <pic:cNvPr id="191" name="Image 191"/>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此外，針對國際市場的匯率波動與原物料價格變化，諾亞克內部成立了專業</w:t>
      </w:r>
      <w:r>
        <w:rPr>
          <w:spacing w:val="-4"/>
        </w:rPr>
        <w:t>團隊，專注於監控棉花等主要原物料的期貨報價。這一策略使得公司能夠動態調整採購方案，進一步減少不確定性對整體供應鏈的影響。這些經驗積累不僅優化</w:t>
      </w:r>
      <w:r>
        <w:rPr>
          <w:spacing w:val="-2"/>
        </w:rPr>
        <w:t>了諾亞克的價格管理策略，還幫助其在醫療耗材市場中建立起長期競爭優勢。</w:t>
      </w:r>
    </w:p>
    <w:p>
      <w:pPr>
        <w:spacing w:line="405" w:lineRule="auto" w:before="94"/>
        <w:ind w:left="1701" w:right="1699" w:firstLine="480"/>
        <w:jc w:val="both"/>
        <w:rPr>
          <w:sz w:val="25"/>
        </w:rPr>
      </w:pPr>
      <w:r>
        <w:rPr>
          <w:spacing w:val="-12"/>
          <w:sz w:val="25"/>
        </w:rPr>
        <w:t>「公司與亞洲各國的製造工廠合作，尋求將客製需求整合至原物料廠，並擔任監督各工廠生產的角色，將各國工廠的成品引進到台灣。透過國內工廠的價值服務，諾亞克期望為全球客戶提供客製化的醫療材料產品，並致力成為台灣醫</w:t>
      </w:r>
      <w:r>
        <w:rPr>
          <w:spacing w:val="-14"/>
          <w:sz w:val="25"/>
        </w:rPr>
        <w:t>療材料客戶服務的首選品牌。</w:t>
      </w:r>
      <w:r>
        <w:rPr>
          <w:spacing w:val="-197"/>
          <w:sz w:val="25"/>
        </w:rPr>
        <w:t>」</w:t>
      </w:r>
      <w:r>
        <w:rPr>
          <w:spacing w:val="-14"/>
          <w:sz w:val="25"/>
        </w:rPr>
        <w:t>（諾亞克科技，</w:t>
      </w:r>
      <w:r>
        <w:rPr>
          <w:rFonts w:ascii="Times New Roman" w:eastAsia="Times New Roman"/>
          <w:i/>
          <w:spacing w:val="-14"/>
          <w:sz w:val="24"/>
        </w:rPr>
        <w:t>2023Youtube</w:t>
      </w:r>
      <w:r>
        <w:rPr>
          <w:rFonts w:ascii="Times New Roman" w:eastAsia="Times New Roman"/>
          <w:i/>
          <w:sz w:val="24"/>
        </w:rPr>
        <w:t> </w:t>
      </w:r>
      <w:r>
        <w:rPr>
          <w:spacing w:val="-14"/>
          <w:sz w:val="25"/>
        </w:rPr>
        <w:t>影</w:t>
      </w:r>
      <w:r>
        <w:rPr>
          <w:spacing w:val="-6"/>
          <w:sz w:val="25"/>
        </w:rPr>
        <w:t>片）</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8525" cy="145542"/>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100"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74" w:id="75"/>
      <w:bookmarkEnd w:id="75"/>
      <w:r>
        <w:rPr>
          <w:rFonts w:ascii="Times New Roman" w:eastAsia="Times New Roman"/>
          <w:b w:val="0"/>
          <w:spacing w:val="-24"/>
          <w:position w:val="1"/>
          <w:sz w:val="20"/>
        </w:rPr>
      </w:r>
      <w:r>
        <w:rPr>
          <w:spacing w:val="-2"/>
          <w:position w:val="1"/>
        </w:rPr>
        <w:t>技術邊界</w:t>
      </w:r>
    </w:p>
    <w:p>
      <w:pPr>
        <w:pStyle w:val="Heading3"/>
        <w:rPr>
          <w:position w:val="1"/>
        </w:rPr>
      </w:pPr>
      <w:r>
        <w:rPr>
          <w:b w:val="0"/>
        </w:rPr>
        <w:drawing>
          <wp:inline distT="0" distB="0" distL="0" distR="0">
            <wp:extent cx="529590" cy="130301"/>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101"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技術跨界探索</w:t>
      </w:r>
    </w:p>
    <w:p>
      <w:pPr>
        <w:pStyle w:val="Heading4"/>
        <w:spacing w:before="340"/>
      </w:pPr>
      <w:r>
        <w:rPr>
          <w:spacing w:val="-1"/>
        </w:rPr>
        <w:t>如何將先進的資訊技術與傳統的耗材採購流程有效結合</w:t>
      </w:r>
    </w:p>
    <w:p>
      <w:pPr>
        <w:pStyle w:val="BodyText"/>
        <w:spacing w:line="422" w:lineRule="auto" w:before="358"/>
        <w:ind w:right="683" w:firstLine="479"/>
      </w:pPr>
      <w:r>
        <w:rPr>
          <w:spacing w:val="-2"/>
        </w:rPr>
        <w:t>諾亞克面臨的技術邊界在於如何將先進的資訊技術與傳統的耗材採購流程</w:t>
      </w:r>
      <w:r>
        <w:rPr>
          <w:spacing w:val="-4"/>
        </w:rPr>
        <w:t>有效結合，這是過去許多資訊系統商未曾涉及的領域。在機構管理面，傳統長照領域中，耗材採購多數依賴人工與經驗。因此，如何確保系統能夠在與現有的採</w:t>
      </w:r>
      <w:r>
        <w:rPr>
          <w:spacing w:val="-2"/>
        </w:rPr>
        <w:t>購流程協同工作，便成為了一大技術邊界。</w:t>
      </w:r>
    </w:p>
    <w:p>
      <w:pPr>
        <w:pStyle w:val="BodyText"/>
        <w:spacing w:line="422" w:lineRule="auto" w:before="104"/>
        <w:ind w:right="686" w:firstLine="479"/>
      </w:pPr>
      <w:r>
        <w:rPr/>
        <w:drawing>
          <wp:anchor distT="0" distB="0" distL="0" distR="0" allowOverlap="1" layoutInCell="1" locked="0" behindDoc="1" simplePos="0" relativeHeight="485816832">
            <wp:simplePos x="0" y="0"/>
            <wp:positionH relativeFrom="page">
              <wp:posOffset>3312414</wp:posOffset>
            </wp:positionH>
            <wp:positionV relativeFrom="paragraph">
              <wp:posOffset>706994</wp:posOffset>
            </wp:positionV>
            <wp:extent cx="929640" cy="978408"/>
            <wp:effectExtent l="0" t="0" r="0" b="0"/>
            <wp:wrapNone/>
            <wp:docPr id="194" name="Image 194"/>
            <wp:cNvGraphicFramePr>
              <a:graphicFrameLocks/>
            </wp:cNvGraphicFramePr>
            <a:graphic>
              <a:graphicData uri="http://schemas.openxmlformats.org/drawingml/2006/picture">
                <pic:pic>
                  <pic:nvPicPr>
                    <pic:cNvPr id="194" name="Image 194"/>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在採購面，諾亞克的挑戰還在於如何將新引入的資訊系統與長期以來的耗</w:t>
      </w:r>
      <w:r>
        <w:rPr>
          <w:spacing w:val="-6"/>
        </w:rPr>
        <w:t>材管理方式進行融合，這不僅包括數據的整合，還牽涉到庫存管理、需求預測及</w:t>
      </w:r>
      <w:r>
        <w:rPr>
          <w:spacing w:val="-2"/>
        </w:rPr>
        <w:t>生產周期的調整等多方面因素。這種系統整合的需求對於技術平台的穩定性與</w:t>
      </w:r>
      <w:r>
        <w:rPr>
          <w:spacing w:val="-6"/>
        </w:rPr>
        <w:t>協同性提出了極高的要求，一旦在資料流動、需求預測或物流安排上出現誤差，</w:t>
      </w:r>
      <w:r>
        <w:rPr>
          <w:spacing w:val="-2"/>
        </w:rPr>
        <w:t>都可能對整體運營效率造成影響，進一步擴大系統邊界的挑戰。</w:t>
      </w:r>
    </w:p>
    <w:p>
      <w:pPr>
        <w:spacing w:line="405" w:lineRule="auto" w:before="92"/>
        <w:ind w:left="1701" w:right="1699" w:firstLine="480"/>
        <w:jc w:val="both"/>
        <w:rPr>
          <w:sz w:val="25"/>
        </w:rPr>
      </w:pPr>
      <w:r>
        <w:rPr>
          <w:spacing w:val="-13"/>
          <w:sz w:val="25"/>
        </w:rPr>
        <w:t>「服人員他會定期每一天大概打電話給 </w:t>
      </w:r>
      <w:r>
        <w:rPr>
          <w:rFonts w:ascii="Times New Roman" w:eastAsia="Times New Roman"/>
          <w:i/>
          <w:spacing w:val="-12"/>
          <w:sz w:val="24"/>
        </w:rPr>
        <w:t>2~3</w:t>
      </w:r>
      <w:r>
        <w:rPr>
          <w:rFonts w:ascii="Times New Roman" w:eastAsia="Times New Roman"/>
          <w:i/>
          <w:spacing w:val="-3"/>
          <w:sz w:val="24"/>
        </w:rPr>
        <w:t> </w:t>
      </w:r>
      <w:r>
        <w:rPr>
          <w:spacing w:val="-12"/>
          <w:sz w:val="25"/>
        </w:rPr>
        <w:t>個客戶去詢問他們使用的情況啊、然後有沒有什麼回饋啊？系統上面也</w:t>
      </w:r>
      <w:r>
        <w:rPr>
          <w:spacing w:val="-22"/>
          <w:sz w:val="25"/>
        </w:rPr>
        <w:t>有一個按鈕是點下去他可以直接寫，我們叫「問題回報」，實</w:t>
      </w:r>
      <w:r>
        <w:rPr>
          <w:spacing w:val="-12"/>
          <w:sz w:val="25"/>
        </w:rPr>
        <w:t>際上就是許願池，就是說我希望系統加個什麼表單、我希望</w:t>
      </w:r>
      <w:r>
        <w:rPr>
          <w:spacing w:val="-16"/>
          <w:sz w:val="25"/>
        </w:rPr>
        <w:t>系統這邊加一個按鈕什麼的。」</w:t>
      </w:r>
      <w:r>
        <w:rPr>
          <w:spacing w:val="-8"/>
          <w:sz w:val="25"/>
        </w:rPr>
        <w:t>（林恩宇研發副總，</w:t>
      </w:r>
      <w:r>
        <w:rPr>
          <w:rFonts w:ascii="Times New Roman" w:eastAsia="Times New Roman"/>
          <w:i/>
          <w:spacing w:val="-8"/>
          <w:sz w:val="24"/>
        </w:rPr>
        <w:t>2024</w:t>
      </w:r>
      <w:r>
        <w:rPr>
          <w:rFonts w:ascii="Times New Roman" w:eastAsia="Times New Roman"/>
          <w:i/>
          <w:spacing w:val="-1"/>
          <w:sz w:val="24"/>
        </w:rPr>
        <w:t> </w:t>
      </w:r>
      <w:r>
        <w:rPr>
          <w:spacing w:val="-8"/>
          <w:sz w:val="25"/>
        </w:rPr>
        <w:t>訪</w:t>
      </w:r>
      <w:r>
        <w:rPr>
          <w:spacing w:val="-4"/>
          <w:sz w:val="25"/>
        </w:rPr>
        <w:t>談資料）</w:t>
      </w:r>
    </w:p>
    <w:p>
      <w:pPr>
        <w:pStyle w:val="Heading3"/>
        <w:spacing w:before="75"/>
        <w:rPr>
          <w:position w:val="1"/>
        </w:rPr>
      </w:pPr>
      <w:r>
        <w:rPr>
          <w:b w:val="0"/>
        </w:rPr>
        <w:drawing>
          <wp:inline distT="0" distB="0" distL="0" distR="0">
            <wp:extent cx="529590" cy="130301"/>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102"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技術跨界資源行動</w:t>
      </w:r>
    </w:p>
    <w:p>
      <w:pPr>
        <w:pStyle w:val="Heading4"/>
        <w:spacing w:before="342"/>
      </w:pPr>
      <w:r>
        <w:rPr>
          <w:spacing w:val="-1"/>
        </w:rPr>
        <w:t>建構以數據為導向的採購模組</w:t>
      </w:r>
    </w:p>
    <w:p>
      <w:pPr>
        <w:pStyle w:val="BodyText"/>
        <w:spacing w:line="422" w:lineRule="auto" w:before="346"/>
        <w:ind w:right="682" w:firstLine="479"/>
        <w:jc w:val="left"/>
      </w:pPr>
      <w:r>
        <w:rPr>
          <w:spacing w:val="-6"/>
        </w:rPr>
        <w:t>諾亞克透過現有系統，詳細記錄每位客戶的耗材使用量和訂購需求，並將這</w:t>
      </w:r>
      <w:r>
        <w:rPr>
          <w:spacing w:val="-5"/>
        </w:rPr>
        <w:t>些數據集中於後台進行整合分析。透過生成多樣的統計分析報表，營運管理者可</w:t>
      </w:r>
    </w:p>
    <w:p>
      <w:pPr>
        <w:pStyle w:val="BodyText"/>
        <w:spacing w:after="0" w:line="422" w:lineRule="auto"/>
        <w:jc w:val="left"/>
        <w:sectPr>
          <w:pgSz w:w="11910" w:h="16840"/>
          <w:pgMar w:header="0" w:footer="1197" w:top="1800" w:bottom="1380" w:left="1133" w:right="1133"/>
        </w:sectPr>
      </w:pPr>
    </w:p>
    <w:p>
      <w:pPr>
        <w:pStyle w:val="BodyText"/>
        <w:spacing w:line="422" w:lineRule="auto" w:before="27"/>
        <w:ind w:right="683"/>
        <w:jc w:val="left"/>
      </w:pPr>
      <w:r>
        <w:rPr>
          <w:spacing w:val="-4"/>
        </w:rPr>
        <w:t>以全面掌握耗材消耗趨勢和需求變化，從而精確預測未來市場需求，並制定更有</w:t>
      </w:r>
      <w:r>
        <w:rPr>
          <w:spacing w:val="-2"/>
        </w:rPr>
        <w:t>效的採購策略，實現精準的資源配置。</w:t>
      </w:r>
    </w:p>
    <w:p>
      <w:pPr>
        <w:pStyle w:val="BodyText"/>
        <w:spacing w:line="422" w:lineRule="auto" w:before="105"/>
        <w:ind w:right="683" w:firstLine="479"/>
      </w:pPr>
      <w:r>
        <w:rPr>
          <w:spacing w:val="-6"/>
        </w:rPr>
        <w:t>此外，利用資訊科技，諾亞克能夠精確管理庫存，有效避免耗材積壓或短缺</w:t>
      </w:r>
      <w:r>
        <w:rPr>
          <w:spacing w:val="-4"/>
        </w:rPr>
        <w:t>的情況。這種精確的庫存管理確保了生產週期與實際需求相符，從而降低材料浪</w:t>
      </w:r>
      <w:r>
        <w:rPr>
          <w:spacing w:val="-4"/>
        </w:rPr>
        <w:t>費、縮短補貨週期，並減少生產成本。最終，這種精準的管理方式不僅優化了資</w:t>
      </w:r>
      <w:r>
        <w:rPr>
          <w:spacing w:val="-2"/>
        </w:rPr>
        <w:t>源配置，也進一步提升了公司在長照市場中的競爭力。</w:t>
      </w:r>
    </w:p>
    <w:p>
      <w:pPr>
        <w:pStyle w:val="BodyText"/>
        <w:spacing w:line="422" w:lineRule="auto" w:before="104"/>
        <w:ind w:right="470" w:firstLine="479"/>
        <w:jc w:val="left"/>
      </w:pPr>
      <w:r>
        <w:rPr/>
        <w:drawing>
          <wp:anchor distT="0" distB="0" distL="0" distR="0" allowOverlap="1" layoutInCell="1" locked="0" behindDoc="1" simplePos="0" relativeHeight="485817344">
            <wp:simplePos x="0" y="0"/>
            <wp:positionH relativeFrom="page">
              <wp:posOffset>3312414</wp:posOffset>
            </wp:positionH>
            <wp:positionV relativeFrom="paragraph">
              <wp:posOffset>1552955</wp:posOffset>
            </wp:positionV>
            <wp:extent cx="929640" cy="978408"/>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在一站式整合服務方面，諾亞克擁有自有物流公司，負責盤點和交貨，並根據預測結果安排精確的配送時間。這樣，機構無需擔心耗材短缺或過多，因為所有需求都能提前規劃並進行自動調整。透過精準的預測與配送安排，諾亞克確保</w:t>
      </w:r>
      <w:r>
        <w:rPr>
          <w:spacing w:val="-6"/>
        </w:rPr>
        <w:t>每個機構能夠在需要時準時收到所需耗材，進一步減少庫存積壓、降低管理成本，</w:t>
      </w:r>
      <w:r>
        <w:rPr>
          <w:spacing w:val="-2"/>
        </w:rPr>
        <w:t>並確保運作順暢。諾亞克與長照 </w:t>
      </w:r>
      <w:r>
        <w:rPr>
          <w:rFonts w:ascii="Times New Roman" w:eastAsia="Times New Roman"/>
        </w:rPr>
        <w:t>SaaS </w:t>
      </w:r>
      <w:r>
        <w:rPr/>
        <w:t>軟體結合，將訂購、生產、運送與交付一</w:t>
      </w:r>
      <w:r>
        <w:rPr>
          <w:spacing w:val="-2"/>
        </w:rPr>
        <w:t>條龍服務，為客戶提供了更高效、無縫的體驗。</w:t>
      </w:r>
    </w:p>
    <w:p>
      <w:pPr>
        <w:spacing w:line="405" w:lineRule="auto" w:before="91"/>
        <w:ind w:left="1701" w:right="1641" w:firstLine="480"/>
        <w:jc w:val="both"/>
        <w:rPr>
          <w:sz w:val="25"/>
        </w:rPr>
      </w:pPr>
      <w:r>
        <w:rPr>
          <w:spacing w:val="-8"/>
          <w:sz w:val="25"/>
        </w:rPr>
        <w:t>「那其實我們的角色就是，我們怎麼樣用資訊科技去減少我們的成本，去節省很多我們行政管理上面的一些重複的工作，來達到所謂的減少成本的這件事情，或說我怎麼樣去很精準的管理我們的庫存啊，或是我們的生產週期去減少浪費，其實這都是很多點上面其實你都可以去省到這些成本，去減少這個資源的浪費，這其實是我們去做耗材的這個過程</w:t>
      </w:r>
      <w:r>
        <w:rPr>
          <w:spacing w:val="-12"/>
          <w:sz w:val="25"/>
        </w:rPr>
        <w:t>裡面，最重要的一件事情。</w:t>
      </w:r>
      <w:r>
        <w:rPr>
          <w:spacing w:val="-166"/>
          <w:sz w:val="25"/>
        </w:rPr>
        <w:t>」</w:t>
      </w:r>
      <w:r>
        <w:rPr>
          <w:spacing w:val="-12"/>
          <w:sz w:val="25"/>
        </w:rPr>
        <w:t>（林恩宇研發副總，</w:t>
      </w:r>
      <w:r>
        <w:rPr>
          <w:rFonts w:ascii="Times New Roman" w:eastAsia="Times New Roman"/>
          <w:i/>
          <w:spacing w:val="-12"/>
          <w:sz w:val="24"/>
        </w:rPr>
        <w:t>2024</w:t>
      </w:r>
      <w:r>
        <w:rPr>
          <w:rFonts w:ascii="Times New Roman" w:eastAsia="Times New Roman"/>
          <w:i/>
          <w:spacing w:val="-3"/>
          <w:sz w:val="24"/>
        </w:rPr>
        <w:t> </w:t>
      </w:r>
      <w:r>
        <w:rPr>
          <w:spacing w:val="-12"/>
          <w:sz w:val="25"/>
        </w:rPr>
        <w:t>訪談資</w:t>
      </w:r>
      <w:r>
        <w:rPr>
          <w:spacing w:val="-6"/>
          <w:sz w:val="25"/>
        </w:rPr>
        <w:t>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400050" cy="145542"/>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103" cstate="print"/>
                    <a:stretch>
                      <a:fillRect/>
                    </a:stretch>
                  </pic:blipFill>
                  <pic:spPr>
                    <a:xfrm>
                      <a:off x="0" y="0"/>
                      <a:ext cx="400050" cy="145542"/>
                    </a:xfrm>
                    <a:prstGeom prst="rect">
                      <a:avLst/>
                    </a:prstGeom>
                  </pic:spPr>
                </pic:pic>
              </a:graphicData>
            </a:graphic>
          </wp:inline>
        </w:drawing>
      </w:r>
      <w:r>
        <w:rPr>
          <w:b w:val="0"/>
        </w:rPr>
      </w:r>
      <w:r>
        <w:rPr>
          <w:rFonts w:ascii="Times New Roman" w:eastAsia="Times New Roman"/>
          <w:b w:val="0"/>
          <w:spacing w:val="23"/>
          <w:position w:val="1"/>
          <w:sz w:val="20"/>
        </w:rPr>
        <w:t> </w:t>
      </w:r>
      <w:bookmarkStart w:name="_bookmark75" w:id="76"/>
      <w:bookmarkEnd w:id="76"/>
      <w:r>
        <w:rPr>
          <w:rFonts w:ascii="Times New Roman" w:eastAsia="Times New Roman"/>
          <w:b w:val="0"/>
          <w:spacing w:val="23"/>
          <w:position w:val="1"/>
          <w:sz w:val="20"/>
        </w:rPr>
      </w:r>
      <w:r>
        <w:rPr>
          <w:spacing w:val="-4"/>
          <w:position w:val="1"/>
        </w:rPr>
        <w:t>數位服務的拓展</w:t>
      </w:r>
    </w:p>
    <w:p>
      <w:pPr>
        <w:pStyle w:val="Heading4"/>
        <w:spacing w:before="307"/>
      </w:pPr>
      <w:r>
        <w:rPr>
          <w:spacing w:val="-1"/>
        </w:rPr>
        <w:t>耗材與長照市場的一站式整合服務</w:t>
      </w:r>
    </w:p>
    <w:p>
      <w:pPr>
        <w:pStyle w:val="BodyText"/>
        <w:spacing w:line="422" w:lineRule="auto" w:before="358"/>
        <w:ind w:right="683" w:firstLine="479"/>
      </w:pPr>
      <w:r>
        <w:rPr>
          <w:spacing w:val="-12"/>
        </w:rPr>
        <w:t>截至 </w:t>
      </w:r>
      <w:r>
        <w:rPr>
          <w:rFonts w:ascii="Times New Roman" w:eastAsia="Times New Roman"/>
          <w:spacing w:val="-4"/>
        </w:rPr>
        <w:t>2023</w:t>
      </w:r>
      <w:r>
        <w:rPr>
          <w:rFonts w:ascii="Times New Roman" w:eastAsia="Times New Roman"/>
          <w:spacing w:val="4"/>
        </w:rPr>
        <w:t> </w:t>
      </w:r>
      <w:r>
        <w:rPr>
          <w:spacing w:val="-6"/>
        </w:rPr>
        <w:t>年，醫療耗材業務佔諾亞克營收的 </w:t>
      </w:r>
      <w:r>
        <w:rPr>
          <w:rFonts w:ascii="Times New Roman" w:eastAsia="Times New Roman"/>
          <w:spacing w:val="-4"/>
        </w:rPr>
        <w:t>84%</w:t>
      </w:r>
      <w:r>
        <w:rPr>
          <w:spacing w:val="-4"/>
        </w:rPr>
        <w:t>，顯示其在整體業務中的核心地位。作為國內多家知名醫院的供應商，包括榮民總醫院和台大醫院，諾亞</w:t>
      </w:r>
      <w:r>
        <w:rPr>
          <w:spacing w:val="-2"/>
        </w:rPr>
        <w:t>克穩固的客戶群不僅保障了耗材需求的穩定性，也讓公司能夠不斷加大對軟體研發的投入，為長照和醫療領域創新提供經費支援。</w:t>
      </w:r>
    </w:p>
    <w:p>
      <w:pPr>
        <w:pStyle w:val="BodyText"/>
        <w:spacing w:line="422" w:lineRule="auto" w:before="104"/>
        <w:ind w:right="683" w:firstLine="479"/>
      </w:pPr>
      <w:r>
        <w:rPr/>
        <w:drawing>
          <wp:anchor distT="0" distB="0" distL="0" distR="0" allowOverlap="1" layoutInCell="1" locked="0" behindDoc="1" simplePos="0" relativeHeight="485817856">
            <wp:simplePos x="0" y="0"/>
            <wp:positionH relativeFrom="page">
              <wp:posOffset>3312414</wp:posOffset>
            </wp:positionH>
            <wp:positionV relativeFrom="paragraph">
              <wp:posOffset>1278419</wp:posOffset>
            </wp:positionV>
            <wp:extent cx="929640" cy="978408"/>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諾亞克從一開始便將業務重點放在供應鏈源頭，從醫療耗材的主要進口商</w:t>
      </w:r>
      <w:r>
        <w:rPr>
          <w:spacing w:val="-4"/>
        </w:rPr>
        <w:t>起步，再拓展至北部與中部設立工廠生產基礎的一級耗材，並向技術需求更高的</w:t>
      </w:r>
      <w:r>
        <w:rPr>
          <w:spacing w:val="-1"/>
        </w:rPr>
        <w:t>體內、體外二級耗材領域發展。目前，公司每年供應超過 </w:t>
      </w:r>
      <w:r>
        <w:rPr>
          <w:rFonts w:ascii="Times New Roman" w:eastAsia="Times New Roman"/>
        </w:rPr>
        <w:t>150</w:t>
      </w:r>
      <w:r>
        <w:rPr>
          <w:rFonts w:ascii="Times New Roman" w:eastAsia="Times New Roman"/>
          <w:spacing w:val="35"/>
        </w:rPr>
        <w:t> </w:t>
      </w:r>
      <w:r>
        <w:rPr/>
        <w:t>個貨櫃的醫療耗</w:t>
      </w:r>
      <w:r>
        <w:rPr>
          <w:spacing w:val="-4"/>
        </w:rPr>
        <w:t>材，客戶從長照機構延伸至醫療院所和經銷商，形成了一條從原料進口、產品開</w:t>
      </w:r>
      <w:r>
        <w:rPr>
          <w:spacing w:val="-2"/>
        </w:rPr>
        <w:t>發到出口外銷的全方位供應鏈。</w:t>
      </w:r>
    </w:p>
    <w:p>
      <w:pPr>
        <w:pStyle w:val="BodyText"/>
        <w:spacing w:line="422" w:lineRule="auto" w:before="102"/>
        <w:ind w:right="683" w:firstLine="479"/>
      </w:pPr>
      <w:r>
        <w:rPr>
          <w:spacing w:val="-6"/>
        </w:rPr>
        <w:t>在長照產業服務的延伸上，諾亞克秉持「數據驅動需求」的理念，通過資訊</w:t>
      </w:r>
      <w:r>
        <w:rPr>
          <w:spacing w:val="-4"/>
        </w:rPr>
        <w:t>技術技術的加持，將營運管理、藥事服務、醫療耗材、人才培訓等多層面的服務整合到同一平台，提供了一站式的解決方案。諾亞克運用數位技術與數據分析，</w:t>
      </w:r>
      <w:r>
        <w:rPr>
          <w:spacing w:val="-2"/>
        </w:rPr>
        <w:t>不僅穩固了在長照與醫療市場中的位置，還通過擴展多元服務和精準化的供應策略，大幅提升了每單位服務的價值。</w:t>
      </w:r>
    </w:p>
    <w:p>
      <w:pPr>
        <w:spacing w:line="405" w:lineRule="auto" w:before="92"/>
        <w:ind w:left="1701" w:right="1697" w:firstLine="480"/>
        <w:jc w:val="both"/>
        <w:rPr>
          <w:rFonts w:ascii="Times New Roman" w:eastAsia="Times New Roman"/>
          <w:i/>
          <w:sz w:val="24"/>
        </w:rPr>
      </w:pPr>
      <w:r>
        <w:rPr>
          <w:spacing w:val="-12"/>
          <w:sz w:val="25"/>
        </w:rPr>
        <w:t>「以數據找出市場需求。藉由資訊串接的力量來擴大每</w:t>
      </w:r>
      <w:r>
        <w:rPr>
          <w:spacing w:val="-10"/>
          <w:sz w:val="25"/>
        </w:rPr>
        <w:t>床的服務價值，從之前提供不到 </w:t>
      </w:r>
      <w:r>
        <w:rPr>
          <w:rFonts w:ascii="Times New Roman" w:eastAsia="Times New Roman"/>
          <w:i/>
          <w:spacing w:val="-8"/>
          <w:sz w:val="24"/>
        </w:rPr>
        <w:t>1%</w:t>
      </w:r>
      <w:r>
        <w:rPr>
          <w:spacing w:val="-8"/>
          <w:sz w:val="25"/>
        </w:rPr>
        <w:t>的服務佔比到今日已經</w:t>
      </w:r>
      <w:r>
        <w:rPr>
          <w:spacing w:val="-15"/>
          <w:sz w:val="25"/>
        </w:rPr>
        <w:t>超過 </w:t>
      </w:r>
      <w:r>
        <w:rPr>
          <w:rFonts w:ascii="Times New Roman" w:eastAsia="Times New Roman"/>
          <w:i/>
          <w:spacing w:val="-12"/>
          <w:sz w:val="24"/>
        </w:rPr>
        <w:t>10%</w:t>
      </w:r>
      <w:r>
        <w:rPr>
          <w:spacing w:val="-12"/>
          <w:sz w:val="25"/>
        </w:rPr>
        <w:t>，系統服務將每單位的獲利提高，若將串連的周邊</w:t>
      </w:r>
      <w:r>
        <w:rPr>
          <w:spacing w:val="-10"/>
          <w:sz w:val="25"/>
        </w:rPr>
        <w:t>服務合併計算，平均每位被照護者帶來的貢獻將不再是 </w:t>
      </w:r>
      <w:r>
        <w:rPr>
          <w:rFonts w:ascii="Times New Roman" w:eastAsia="Times New Roman"/>
          <w:i/>
          <w:spacing w:val="-10"/>
          <w:sz w:val="24"/>
        </w:rPr>
        <w:t>235</w:t>
      </w:r>
    </w:p>
    <w:p>
      <w:pPr>
        <w:spacing w:line="405" w:lineRule="auto" w:before="0"/>
        <w:ind w:left="1701" w:right="1699" w:firstLine="0"/>
        <w:jc w:val="both"/>
        <w:rPr>
          <w:rFonts w:ascii="Times New Roman" w:eastAsia="Times New Roman"/>
          <w:i/>
          <w:sz w:val="24"/>
        </w:rPr>
      </w:pPr>
      <w:r>
        <w:rPr>
          <w:spacing w:val="-13"/>
          <w:sz w:val="25"/>
        </w:rPr>
        <w:t>元，而是翻十倍達到平均 </w:t>
      </w:r>
      <w:r>
        <w:rPr>
          <w:rFonts w:ascii="Times New Roman" w:eastAsia="Times New Roman"/>
          <w:i/>
          <w:spacing w:val="-12"/>
          <w:sz w:val="24"/>
        </w:rPr>
        <w:t>2,500</w:t>
      </w:r>
      <w:r>
        <w:rPr>
          <w:rFonts w:ascii="Times New Roman" w:eastAsia="Times New Roman"/>
          <w:i/>
          <w:spacing w:val="16"/>
          <w:sz w:val="24"/>
        </w:rPr>
        <w:t> </w:t>
      </w:r>
      <w:r>
        <w:rPr>
          <w:spacing w:val="-12"/>
          <w:sz w:val="25"/>
        </w:rPr>
        <w:t>元的水準。」</w:t>
      </w:r>
      <w:r>
        <w:rPr>
          <w:rFonts w:ascii="Times New Roman" w:eastAsia="Times New Roman"/>
          <w:i/>
          <w:spacing w:val="-12"/>
          <w:sz w:val="24"/>
        </w:rPr>
        <w:t>(</w:t>
      </w:r>
      <w:r>
        <w:rPr>
          <w:spacing w:val="-12"/>
          <w:sz w:val="25"/>
        </w:rPr>
        <w:t>鄭詩靜執行副</w:t>
      </w:r>
      <w:r>
        <w:rPr>
          <w:sz w:val="25"/>
        </w:rPr>
        <w:t>總，</w:t>
      </w:r>
      <w:r>
        <w:rPr>
          <w:rFonts w:ascii="Times New Roman" w:eastAsia="Times New Roman"/>
          <w:i/>
          <w:sz w:val="24"/>
        </w:rPr>
        <w:t>2022Ankecare </w:t>
      </w:r>
      <w:r>
        <w:rPr>
          <w:sz w:val="25"/>
        </w:rPr>
        <w:t>創新照護雜誌</w:t>
      </w:r>
      <w:r>
        <w:rPr>
          <w:rFonts w:ascii="Times New Roman" w:eastAsia="Times New Roman"/>
          <w:i/>
          <w:sz w:val="24"/>
        </w:rPr>
        <w:t>)</w:t>
      </w:r>
    </w:p>
    <w:p>
      <w:pPr>
        <w:spacing w:after="0" w:line="405" w:lineRule="auto"/>
        <w:jc w:val="both"/>
        <w:rPr>
          <w:rFonts w:ascii="Times New Roman" w:eastAsia="Times New Roman"/>
          <w:i/>
          <w:sz w:val="24"/>
        </w:rPr>
        <w:sectPr>
          <w:pgSz w:w="11910" w:h="16840"/>
          <w:pgMar w:header="0" w:footer="1197" w:top="1800" w:bottom="1380" w:left="1133" w:right="1133"/>
        </w:sectPr>
      </w:pPr>
    </w:p>
    <w:p>
      <w:pPr>
        <w:pStyle w:val="Heading2"/>
        <w:spacing w:line="500" w:lineRule="exact"/>
        <w:rPr>
          <w:position w:val="1"/>
        </w:rPr>
      </w:pPr>
      <w:r>
        <w:rPr>
          <w:b w:val="0"/>
        </w:rPr>
        <w:drawing>
          <wp:inline distT="0" distB="0" distL="0" distR="0">
            <wp:extent cx="401574" cy="145542"/>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104" cstate="print"/>
                    <a:stretch>
                      <a:fillRect/>
                    </a:stretch>
                  </pic:blipFill>
                  <pic:spPr>
                    <a:xfrm>
                      <a:off x="0" y="0"/>
                      <a:ext cx="401574" cy="145542"/>
                    </a:xfrm>
                    <a:prstGeom prst="rect">
                      <a:avLst/>
                    </a:prstGeom>
                  </pic:spPr>
                </pic:pic>
              </a:graphicData>
            </a:graphic>
          </wp:inline>
        </w:drawing>
      </w:r>
      <w:r>
        <w:rPr>
          <w:b w:val="0"/>
        </w:rPr>
      </w:r>
      <w:r>
        <w:rPr>
          <w:rFonts w:ascii="Times New Roman" w:eastAsia="Times New Roman"/>
          <w:b w:val="0"/>
          <w:position w:val="1"/>
          <w:sz w:val="20"/>
        </w:rPr>
        <w:t> </w:t>
      </w:r>
      <w:bookmarkStart w:name="_bookmark76" w:id="77"/>
      <w:bookmarkEnd w:id="77"/>
      <w:r>
        <w:rPr>
          <w:rFonts w:ascii="Times New Roman" w:eastAsia="Times New Roman"/>
          <w:b w:val="0"/>
          <w:spacing w:val="21"/>
          <w:position w:val="1"/>
          <w:sz w:val="20"/>
        </w:rPr>
      </w:r>
      <w:r>
        <w:rPr>
          <w:spacing w:val="-2"/>
          <w:position w:val="1"/>
        </w:rPr>
        <w:t>第二階段小結</w:t>
      </w:r>
    </w:p>
    <w:p>
      <w:pPr>
        <w:pStyle w:val="BodyText"/>
        <w:spacing w:line="422" w:lineRule="auto" w:before="386"/>
        <w:ind w:right="470" w:firstLine="479"/>
        <w:jc w:val="left"/>
      </w:pPr>
      <w:r>
        <w:rPr>
          <w:spacing w:val="-6"/>
        </w:rPr>
        <w:t>在當前競爭激烈的市場環境中，諾亞克面臨兩大挑戰：人才短缺與削價競爭。</w:t>
      </w:r>
      <w:r>
        <w:rPr>
          <w:spacing w:val="-2"/>
        </w:rPr>
        <w:t>專業技術人才的需求增加使企業在吸引與留任人才上面臨高昂成本壓力。同時，市場削價競爭嚴重，產品價格持續被壓低，削弱利潤空間。為了應對這些挑戰，諾亞克利用運營中累積的數據資源來驅動其拓展策略，跳脫傳統軟體設計框架，透過數據分析洞察使用者需求，重新規劃產品與服務。</w:t>
      </w:r>
    </w:p>
    <w:p>
      <w:pPr>
        <w:pStyle w:val="BodyText"/>
        <w:spacing w:line="422" w:lineRule="auto" w:before="103"/>
        <w:ind w:right="683" w:firstLine="479"/>
      </w:pPr>
      <w:r>
        <w:rPr/>
        <w:drawing>
          <wp:anchor distT="0" distB="0" distL="0" distR="0" allowOverlap="1" layoutInCell="1" locked="0" behindDoc="1" simplePos="0" relativeHeight="485818368">
            <wp:simplePos x="0" y="0"/>
            <wp:positionH relativeFrom="page">
              <wp:posOffset>3312414</wp:posOffset>
            </wp:positionH>
            <wp:positionV relativeFrom="paragraph">
              <wp:posOffset>1392165</wp:posOffset>
            </wp:positionV>
            <wp:extent cx="929640" cy="978408"/>
            <wp:effectExtent l="0" t="0" r="0" b="0"/>
            <wp:wrapNone/>
            <wp:docPr id="200" name="Image 200"/>
            <wp:cNvGraphicFramePr>
              <a:graphicFrameLocks/>
            </wp:cNvGraphicFramePr>
            <a:graphic>
              <a:graphicData uri="http://schemas.openxmlformats.org/drawingml/2006/picture">
                <pic:pic>
                  <pic:nvPicPr>
                    <pic:cNvPr id="200" name="Image 200"/>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為突破市場瓶頸，公司進一步挖掘耗材市場的潛力，成功拓展業務範圍，並</w:t>
      </w:r>
      <w:r>
        <w:rPr>
          <w:spacing w:val="-2"/>
        </w:rPr>
        <w:t>確立每單位服務價值（</w:t>
      </w:r>
      <w:r>
        <w:rPr>
          <w:rFonts w:ascii="Times New Roman" w:eastAsia="Times New Roman"/>
          <w:spacing w:val="-2"/>
        </w:rPr>
        <w:t>ARPU</w:t>
      </w:r>
      <w:r>
        <w:rPr>
          <w:spacing w:val="-2"/>
        </w:rPr>
        <w:t>）的新商業模式。在知識邊界的資源行動中，諾亞克透過小規模試點與併購快速彌補耗材市場知識的不足。投資耗材供應商不僅</w:t>
      </w:r>
      <w:r>
        <w:rPr>
          <w:spacing w:val="-4"/>
        </w:rPr>
        <w:t>使公司掌握專業知識，還建立了市場信任，實現資源整合與業務擴展。同時，通</w:t>
      </w:r>
      <w:r>
        <w:rPr>
          <w:spacing w:val="-2"/>
        </w:rPr>
        <w:t>過與國際製造商合作，優化供應鏈，降低成本並提升市場競爭力。</w:t>
      </w:r>
    </w:p>
    <w:p>
      <w:pPr>
        <w:pStyle w:val="BodyText"/>
        <w:spacing w:line="422" w:lineRule="auto" w:before="102"/>
        <w:ind w:right="682" w:firstLine="479"/>
      </w:pPr>
      <w:r>
        <w:rPr>
          <w:spacing w:val="-2"/>
        </w:rPr>
        <w:t>技術邊界的資源行動集中於將資訊技術與傳統耗材採購流程結合。諾亞克</w:t>
      </w:r>
      <w:r>
        <w:rPr>
          <w:spacing w:val="-4"/>
        </w:rPr>
        <w:t>建立了數據驅動的採購模組，實現庫存與物流管理的自動化。從訂購、生產、運</w:t>
      </w:r>
      <w:r>
        <w:rPr>
          <w:spacing w:val="-5"/>
        </w:rPr>
        <w:t>送到最後的物流與 </w:t>
      </w:r>
      <w:r>
        <w:rPr>
          <w:rFonts w:ascii="Times New Roman" w:eastAsia="Times New Roman"/>
          <w:spacing w:val="-2"/>
        </w:rPr>
        <w:t>SaaS</w:t>
      </w:r>
      <w:r>
        <w:rPr>
          <w:rFonts w:ascii="Times New Roman" w:eastAsia="Times New Roman"/>
          <w:spacing w:val="-1"/>
        </w:rPr>
        <w:t> </w:t>
      </w:r>
      <w:r>
        <w:rPr>
          <w:spacing w:val="-19"/>
        </w:rPr>
        <w:t>系統，提供無縫化服務，提升資源利用效率並降低成本。</w:t>
      </w:r>
      <w:r>
        <w:rPr>
          <w:spacing w:val="-4"/>
        </w:rPr>
        <w:t>最終，諾亞克成功整合長照資訊管理、耗材供應與人才培訓，打造多層次服務平台。通過數據驅動與服務延伸，大幅提升單位服務價值，實現持續成長。本研究</w:t>
      </w:r>
      <w:r>
        <w:rPr>
          <w:spacing w:val="-2"/>
        </w:rPr>
        <w:t>將諾亞克第二階段市場拓展相關分析整理如表 </w:t>
      </w:r>
      <w:r>
        <w:rPr>
          <w:rFonts w:ascii="Times New Roman" w:eastAsia="Times New Roman"/>
        </w:rPr>
        <w:t>5.2.7-1</w:t>
      </w:r>
      <w:r>
        <w:rPr/>
        <w:t>：</w:t>
      </w:r>
    </w:p>
    <w:p>
      <w:pPr>
        <w:pStyle w:val="BodyText"/>
        <w:spacing w:after="0" w:line="422" w:lineRule="auto"/>
        <w:sectPr>
          <w:pgSz w:w="11910" w:h="16840"/>
          <w:pgMar w:header="0" w:footer="1197" w:top="1800" w:bottom="1380" w:left="1133" w:right="1133"/>
        </w:sectPr>
      </w:pPr>
    </w:p>
    <w:p>
      <w:pPr>
        <w:pStyle w:val="Heading4"/>
        <w:spacing w:line="409" w:lineRule="exact"/>
        <w:ind w:left="597" w:right="118"/>
        <w:jc w:val="center"/>
      </w:pPr>
      <w:bookmarkStart w:name="_bookmark77" w:id="78"/>
      <w:bookmarkEnd w:id="78"/>
      <w:r>
        <w:rPr>
          <w:b w:val="0"/>
        </w:rPr>
      </w:r>
      <w:r>
        <w:rPr>
          <w:spacing w:val="30"/>
        </w:rPr>
        <w:t>表 </w:t>
      </w:r>
      <w:r>
        <w:rPr>
          <w:rFonts w:ascii="Times New Roman" w:eastAsia="Times New Roman"/>
        </w:rPr>
        <w:t>5.2.7-1</w:t>
      </w:r>
      <w:r>
        <w:rPr>
          <w:rFonts w:ascii="Times New Roman" w:eastAsia="Times New Roman"/>
          <w:spacing w:val="60"/>
        </w:rPr>
        <w:t> </w:t>
      </w:r>
      <w:r>
        <w:rPr>
          <w:spacing w:val="-2"/>
        </w:rPr>
        <w:t>第二階段分析表</w:t>
      </w:r>
    </w:p>
    <w:p>
      <w:pPr>
        <w:pStyle w:val="BodyText"/>
        <w:spacing w:before="17"/>
        <w:ind w:left="0"/>
        <w:jc w:val="left"/>
        <w:rPr>
          <w:rFonts w:ascii="Microsoft JhengHei"/>
          <w:b/>
          <w:sz w:val="9"/>
        </w:r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435"/>
        <w:gridCol w:w="6574"/>
      </w:tblGrid>
      <w:tr>
        <w:trPr>
          <w:trHeight w:val="899" w:hRule="atLeast"/>
        </w:trPr>
        <w:tc>
          <w:tcPr>
            <w:tcW w:w="2205" w:type="dxa"/>
            <w:gridSpan w:val="2"/>
            <w:shd w:val="clear" w:color="auto" w:fill="D0CECE"/>
          </w:tcPr>
          <w:p>
            <w:pPr>
              <w:pStyle w:val="TableParagraph"/>
              <w:spacing w:before="203"/>
              <w:ind w:left="218"/>
              <w:jc w:val="center"/>
              <w:rPr>
                <w:rFonts w:ascii="Microsoft JhengHei" w:eastAsia="Microsoft JhengHei"/>
                <w:b/>
                <w:sz w:val="24"/>
              </w:rPr>
            </w:pPr>
            <w:r>
              <w:rPr>
                <w:rFonts w:ascii="Microsoft JhengHei" w:eastAsia="Microsoft JhengHei"/>
                <w:b/>
                <w:spacing w:val="-5"/>
                <w:sz w:val="24"/>
              </w:rPr>
              <w:t>理論</w:t>
            </w:r>
          </w:p>
        </w:tc>
        <w:tc>
          <w:tcPr>
            <w:tcW w:w="6574" w:type="dxa"/>
            <w:shd w:val="clear" w:color="auto" w:fill="D0CECE"/>
          </w:tcPr>
          <w:p>
            <w:pPr>
              <w:pStyle w:val="TableParagraph"/>
              <w:spacing w:before="203"/>
              <w:ind w:left="19"/>
              <w:jc w:val="center"/>
              <w:rPr>
                <w:rFonts w:ascii="Microsoft JhengHei" w:eastAsia="Microsoft JhengHei"/>
                <w:b/>
                <w:sz w:val="24"/>
              </w:rPr>
            </w:pPr>
            <w:r>
              <w:rPr>
                <w:rFonts w:ascii="Microsoft JhengHei" w:eastAsia="Microsoft JhengHei"/>
                <w:b/>
                <w:spacing w:val="-3"/>
                <w:sz w:val="24"/>
              </w:rPr>
              <w:t>觀察重點</w:t>
            </w:r>
          </w:p>
        </w:tc>
      </w:tr>
      <w:tr>
        <w:trPr>
          <w:trHeight w:val="1979" w:hRule="atLeast"/>
        </w:trPr>
        <w:tc>
          <w:tcPr>
            <w:tcW w:w="2205" w:type="dxa"/>
            <w:gridSpan w:val="2"/>
          </w:tcPr>
          <w:p>
            <w:pPr>
              <w:pStyle w:val="TableParagraph"/>
              <w:spacing w:before="302"/>
              <w:rPr>
                <w:rFonts w:ascii="Microsoft JhengHei"/>
                <w:b/>
                <w:sz w:val="24"/>
              </w:rPr>
            </w:pPr>
          </w:p>
          <w:p>
            <w:pPr>
              <w:pStyle w:val="TableParagraph"/>
              <w:ind w:left="621"/>
              <w:rPr>
                <w:rFonts w:ascii="Microsoft JhengHei" w:eastAsia="Microsoft JhengHei"/>
                <w:b/>
                <w:sz w:val="24"/>
              </w:rPr>
            </w:pPr>
            <w:r>
              <w:rPr>
                <w:rFonts w:ascii="Microsoft JhengHei" w:eastAsia="Microsoft JhengHei"/>
                <w:b/>
                <w:spacing w:val="-3"/>
                <w:sz w:val="24"/>
              </w:rPr>
              <w:t>競爭環境</w:t>
            </w:r>
          </w:p>
        </w:tc>
        <w:tc>
          <w:tcPr>
            <w:tcW w:w="6574" w:type="dxa"/>
          </w:tcPr>
          <w:p>
            <w:pPr>
              <w:pStyle w:val="TableParagraph"/>
              <w:spacing w:line="540" w:lineRule="exact" w:before="90"/>
              <w:ind w:left="264" w:right="239"/>
              <w:jc w:val="both"/>
              <w:rPr>
                <w:sz w:val="24"/>
              </w:rPr>
            </w:pPr>
            <w:r>
              <w:rPr>
                <w:rFonts w:ascii="Microsoft JhengHei" w:eastAsia="Microsoft JhengHei"/>
                <w:b/>
                <w:spacing w:val="-2"/>
                <w:sz w:val="24"/>
              </w:rPr>
              <w:t>人才短缺與削價競爭：</w:t>
            </w:r>
            <w:r>
              <w:rPr>
                <w:spacing w:val="-2"/>
                <w:sz w:val="24"/>
              </w:rPr>
              <w:t>軟體價值尚未被廣泛認知，市場價</w:t>
            </w:r>
            <w:r>
              <w:rPr>
                <w:spacing w:val="-2"/>
                <w:sz w:val="24"/>
              </w:rPr>
              <w:t>格因此受到壓低。同時，專業人才需求不斷攀升，導致企業面臨薪資壓力。</w:t>
            </w:r>
          </w:p>
        </w:tc>
      </w:tr>
      <w:tr>
        <w:trPr>
          <w:trHeight w:val="3061" w:hRule="atLeast"/>
        </w:trPr>
        <w:tc>
          <w:tcPr>
            <w:tcW w:w="2205" w:type="dxa"/>
            <w:gridSpan w:val="2"/>
          </w:tcPr>
          <w:p>
            <w:pPr>
              <w:pStyle w:val="TableParagraph"/>
              <w:rPr>
                <w:rFonts w:ascii="Microsoft JhengHei"/>
                <w:b/>
                <w:sz w:val="24"/>
              </w:rPr>
            </w:pPr>
          </w:p>
          <w:p>
            <w:pPr>
              <w:pStyle w:val="TableParagraph"/>
              <w:spacing w:before="403"/>
              <w:rPr>
                <w:rFonts w:ascii="Microsoft JhengHei"/>
                <w:b/>
                <w:sz w:val="24"/>
              </w:rPr>
            </w:pPr>
          </w:p>
          <w:p>
            <w:pPr>
              <w:pStyle w:val="TableParagraph"/>
              <w:ind w:left="621"/>
              <w:rPr>
                <w:rFonts w:ascii="Microsoft JhengHei" w:eastAsia="Microsoft JhengHei"/>
                <w:b/>
                <w:sz w:val="24"/>
              </w:rPr>
            </w:pPr>
            <w:r>
              <w:rPr>
                <w:rFonts w:ascii="Microsoft JhengHei" w:eastAsia="Microsoft JhengHei"/>
                <w:b/>
                <w:spacing w:val="-3"/>
                <w:sz w:val="24"/>
              </w:rPr>
              <w:t>組織策略</w:t>
            </w:r>
          </w:p>
        </w:tc>
        <w:tc>
          <w:tcPr>
            <w:tcW w:w="6574" w:type="dxa"/>
          </w:tcPr>
          <w:p>
            <w:pPr>
              <w:pStyle w:val="TableParagraph"/>
              <w:spacing w:line="540" w:lineRule="exact" w:before="93"/>
              <w:ind w:left="264" w:right="242"/>
              <w:jc w:val="both"/>
              <w:rPr>
                <w:sz w:val="24"/>
              </w:rPr>
            </w:pPr>
            <w:r>
              <w:rPr>
                <w:spacing w:val="-2"/>
                <w:sz w:val="24"/>
              </w:rPr>
              <w:t>以</w:t>
            </w:r>
            <w:r>
              <w:rPr>
                <w:rFonts w:ascii="Microsoft JhengHei" w:eastAsia="Microsoft JhengHei"/>
                <w:b/>
                <w:spacing w:val="-2"/>
                <w:sz w:val="24"/>
              </w:rPr>
              <w:t>「數據驅動」</w:t>
            </w:r>
            <w:r>
              <w:rPr>
                <w:spacing w:val="-2"/>
                <w:sz w:val="24"/>
              </w:rPr>
              <w:t>為核心策略：透過分析市場數據來支持新</w:t>
            </w:r>
            <w:r>
              <w:rPr>
                <w:spacing w:val="-2"/>
                <w:sz w:val="24"/>
              </w:rPr>
              <w:t>服務的開發，在成本壓力下尋求增長機會。同時，打破傳統產品設計與服務邏輯的局限，善用運營過程中累積的數據，重新設計服務流程，探索新的商業機會，並將視野從</w:t>
            </w:r>
            <w:r>
              <w:rPr>
                <w:spacing w:val="-1"/>
                <w:sz w:val="24"/>
              </w:rPr>
              <w:t>專注於軟體精進，拓展至供應鏈服務模式的整合與發展。</w:t>
            </w:r>
          </w:p>
        </w:tc>
      </w:tr>
      <w:tr>
        <w:trPr>
          <w:trHeight w:val="768" w:hRule="atLeast"/>
        </w:trPr>
        <w:tc>
          <w:tcPr>
            <w:tcW w:w="770"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86"/>
              <w:rPr>
                <w:rFonts w:ascii="Microsoft JhengHei"/>
                <w:b/>
                <w:sz w:val="24"/>
              </w:rPr>
            </w:pPr>
          </w:p>
          <w:p>
            <w:pPr>
              <w:pStyle w:val="TableParagraph"/>
              <w:spacing w:line="292" w:lineRule="auto"/>
              <w:ind w:left="263" w:right="244"/>
              <w:jc w:val="both"/>
              <w:rPr>
                <w:rFonts w:ascii="Microsoft JhengHei" w:eastAsia="Microsoft JhengHei"/>
                <w:b/>
                <w:sz w:val="24"/>
              </w:rPr>
            </w:pPr>
            <w:r>
              <w:rPr>
                <w:rFonts w:ascii="Microsoft JhengHei" w:eastAsia="Microsoft JhengHei"/>
                <w:b/>
                <w:spacing w:val="-10"/>
                <w:sz w:val="24"/>
              </w:rPr>
              <w:t>市場邊界</w:t>
            </w:r>
          </w:p>
        </w:tc>
        <w:tc>
          <w:tcPr>
            <w:tcW w:w="1435" w:type="dxa"/>
            <w:tcBorders>
              <w:bottom w:val="nil"/>
            </w:tcBorders>
          </w:tcPr>
          <w:p>
            <w:pPr>
              <w:pStyle w:val="TableParagraph"/>
              <w:spacing w:before="204"/>
              <w:ind w:left="117" w:right="102"/>
              <w:jc w:val="center"/>
              <w:rPr>
                <w:rFonts w:ascii="Microsoft JhengHei" w:eastAsia="Microsoft JhengHei"/>
                <w:b/>
                <w:sz w:val="24"/>
              </w:rPr>
            </w:pPr>
            <w:r>
              <w:rPr>
                <w:rFonts w:ascii="Microsoft JhengHei" w:eastAsia="Microsoft JhengHei"/>
                <w:b/>
                <w:spacing w:val="-5"/>
                <w:sz w:val="24"/>
              </w:rPr>
              <w:t>跨界</w:t>
            </w:r>
          </w:p>
        </w:tc>
        <w:tc>
          <w:tcPr>
            <w:tcW w:w="6574" w:type="dxa"/>
            <w:tcBorders>
              <w:bottom w:val="nil"/>
            </w:tcBorders>
          </w:tcPr>
          <w:p>
            <w:pPr>
              <w:pStyle w:val="TableParagraph"/>
              <w:spacing w:before="259"/>
              <w:ind w:left="264"/>
              <w:rPr>
                <w:sz w:val="24"/>
              </w:rPr>
            </w:pPr>
            <w:r>
              <w:rPr>
                <w:sz w:val="24"/>
              </w:rPr>
              <mc:AlternateContent>
                <mc:Choice Requires="wps">
                  <w:drawing>
                    <wp:anchor distT="0" distB="0" distL="0" distR="0" allowOverlap="1" layoutInCell="1" locked="0" behindDoc="1" simplePos="0" relativeHeight="485818880">
                      <wp:simplePos x="0" y="0"/>
                      <wp:positionH relativeFrom="column">
                        <wp:posOffset>824611</wp:posOffset>
                      </wp:positionH>
                      <wp:positionV relativeFrom="paragraph">
                        <wp:posOffset>-487160</wp:posOffset>
                      </wp:positionV>
                      <wp:extent cx="929640" cy="978535"/>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929640" cy="978535"/>
                                <a:chExt cx="929640" cy="978535"/>
                              </a:xfrm>
                            </wpg:grpSpPr>
                            <pic:pic>
                              <pic:nvPicPr>
                                <pic:cNvPr id="202" name="Image 202"/>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4.930008pt;margin-top:-38.359077pt;width:73.2pt;height:77.05pt;mso-position-horizontal-relative:column;mso-position-vertical-relative:paragraph;z-index:-17497600" id="docshapegroup28" coordorigin="1299,-767" coordsize="1464,1541">
                      <v:shape style="position:absolute;left:1298;top:-768;width:1464;height:1541" type="#_x0000_t75" id="docshape29" stroked="false">
                        <v:imagedata r:id="rId6" o:title=""/>
                      </v:shape>
                      <w10:wrap type="none"/>
                    </v:group>
                  </w:pict>
                </mc:Fallback>
              </mc:AlternateContent>
            </w:r>
            <w:r>
              <w:rPr>
                <w:rFonts w:ascii="Microsoft JhengHei" w:eastAsia="Microsoft JhengHei"/>
                <w:b/>
                <w:sz w:val="24"/>
              </w:rPr>
              <w:t>單一收入結構瓶頸</w:t>
            </w:r>
            <w:r>
              <w:rPr>
                <w:rFonts w:ascii="Times New Roman" w:eastAsia="Times New Roman"/>
                <w:spacing w:val="27"/>
                <w:sz w:val="24"/>
              </w:rPr>
              <w:t>:  </w:t>
            </w:r>
            <w:r>
              <w:rPr>
                <w:spacing w:val="-1"/>
                <w:sz w:val="24"/>
              </w:rPr>
              <w:t>初期模式依賴每床每月固定資訊服務</w:t>
            </w:r>
          </w:p>
        </w:tc>
      </w:tr>
      <w:tr>
        <w:trPr>
          <w:trHeight w:val="759" w:hRule="atLeast"/>
        </w:trPr>
        <w:tc>
          <w:tcPr>
            <w:tcW w:w="770" w:type="dxa"/>
            <w:vMerge/>
            <w:tcBorders>
              <w:top w:val="nil"/>
            </w:tcBorders>
          </w:tcPr>
          <w:p>
            <w:pPr>
              <w:rPr>
                <w:sz w:val="2"/>
                <w:szCs w:val="2"/>
              </w:rPr>
            </w:pPr>
          </w:p>
        </w:tc>
        <w:tc>
          <w:tcPr>
            <w:tcW w:w="1435" w:type="dxa"/>
            <w:tcBorders>
              <w:top w:val="nil"/>
            </w:tcBorders>
          </w:tcPr>
          <w:p>
            <w:pPr>
              <w:pStyle w:val="TableParagraph"/>
              <w:spacing w:before="63"/>
              <w:ind w:left="117" w:right="102"/>
              <w:jc w:val="center"/>
              <w:rPr>
                <w:rFonts w:ascii="Microsoft JhengHei" w:eastAsia="Microsoft JhengHei"/>
                <w:b/>
                <w:sz w:val="24"/>
              </w:rPr>
            </w:pPr>
            <w:r>
              <w:rPr>
                <w:rFonts w:ascii="Microsoft JhengHei" w:eastAsia="Microsoft JhengHei"/>
                <w:b/>
                <w:spacing w:val="-5"/>
                <w:sz w:val="24"/>
              </w:rPr>
              <w:t>探索</w:t>
            </w:r>
          </w:p>
        </w:tc>
        <w:tc>
          <w:tcPr>
            <w:tcW w:w="6574" w:type="dxa"/>
            <w:tcBorders>
              <w:top w:val="nil"/>
            </w:tcBorders>
          </w:tcPr>
          <w:p>
            <w:pPr>
              <w:pStyle w:val="TableParagraph"/>
              <w:spacing w:before="90"/>
              <w:ind w:left="264"/>
              <w:rPr>
                <w:sz w:val="24"/>
              </w:rPr>
            </w:pPr>
            <w:r>
              <w:rPr>
                <w:spacing w:val="-1"/>
                <w:sz w:val="24"/>
              </w:rPr>
              <w:t>費，但增長潛力有限，無法突破市場邊界。</w:t>
            </w:r>
          </w:p>
        </w:tc>
      </w:tr>
      <w:tr>
        <w:trPr>
          <w:trHeight w:val="710" w:hRule="atLeast"/>
        </w:trPr>
        <w:tc>
          <w:tcPr>
            <w:tcW w:w="770" w:type="dxa"/>
            <w:vMerge/>
            <w:tcBorders>
              <w:top w:val="nil"/>
            </w:tcBorders>
          </w:tcPr>
          <w:p>
            <w:pPr>
              <w:rPr>
                <w:sz w:val="2"/>
                <w:szCs w:val="2"/>
              </w:rPr>
            </w:pPr>
          </w:p>
        </w:tc>
        <w:tc>
          <w:tcPr>
            <w:tcW w:w="1435" w:type="dxa"/>
            <w:tcBorders>
              <w:bottom w:val="nil"/>
            </w:tcBorders>
          </w:tcPr>
          <w:p>
            <w:pPr>
              <w:pStyle w:val="TableParagraph"/>
              <w:rPr>
                <w:rFonts w:ascii="Times New Roman"/>
                <w:sz w:val="22"/>
              </w:rPr>
            </w:pPr>
          </w:p>
        </w:tc>
        <w:tc>
          <w:tcPr>
            <w:tcW w:w="6574" w:type="dxa"/>
            <w:tcBorders>
              <w:bottom w:val="nil"/>
            </w:tcBorders>
          </w:tcPr>
          <w:p>
            <w:pPr>
              <w:pStyle w:val="TableParagraph"/>
              <w:spacing w:before="203"/>
              <w:ind w:left="264"/>
              <w:rPr>
                <w:sz w:val="24"/>
              </w:rPr>
            </w:pPr>
            <w:r>
              <w:rPr>
                <w:rFonts w:ascii="Microsoft JhengHei" w:eastAsia="Microsoft JhengHei"/>
                <w:b/>
                <w:spacing w:val="-6"/>
                <w:sz w:val="24"/>
              </w:rPr>
              <w:t>辨識耗材事業的可發展性：</w:t>
            </w:r>
            <w:r>
              <w:rPr>
                <w:spacing w:val="-7"/>
                <w:sz w:val="24"/>
              </w:rPr>
              <w:t>諾亞克透過內部管理數據分析，</w:t>
            </w:r>
          </w:p>
        </w:tc>
      </w:tr>
      <w:tr>
        <w:trPr>
          <w:trHeight w:val="520" w:hRule="atLeast"/>
        </w:trPr>
        <w:tc>
          <w:tcPr>
            <w:tcW w:w="770" w:type="dxa"/>
            <w:vMerge/>
            <w:tcBorders>
              <w:top w:val="nil"/>
            </w:tcBorders>
          </w:tcPr>
          <w:p>
            <w:pPr>
              <w:rPr>
                <w:sz w:val="2"/>
                <w:szCs w:val="2"/>
              </w:rPr>
            </w:pPr>
          </w:p>
        </w:tc>
        <w:tc>
          <w:tcPr>
            <w:tcW w:w="1435" w:type="dxa"/>
            <w:tcBorders>
              <w:top w:val="nil"/>
              <w:bottom w:val="nil"/>
            </w:tcBorders>
          </w:tcPr>
          <w:p>
            <w:pPr>
              <w:pStyle w:val="TableParagraph"/>
              <w:rPr>
                <w:rFonts w:ascii="Times New Roman"/>
                <w:sz w:val="22"/>
              </w:rPr>
            </w:pPr>
          </w:p>
        </w:tc>
        <w:tc>
          <w:tcPr>
            <w:tcW w:w="6574" w:type="dxa"/>
            <w:tcBorders>
              <w:top w:val="nil"/>
              <w:bottom w:val="nil"/>
            </w:tcBorders>
          </w:tcPr>
          <w:p>
            <w:pPr>
              <w:pStyle w:val="TableParagraph"/>
              <w:spacing w:before="92"/>
              <w:ind w:left="264"/>
              <w:rPr>
                <w:sz w:val="24"/>
              </w:rPr>
            </w:pPr>
            <w:r>
              <w:rPr>
                <w:spacing w:val="-1"/>
                <w:sz w:val="24"/>
              </w:rPr>
              <w:t>發現長照機構主要支出集中在建築租金、人事成本及耗材</w:t>
            </w:r>
          </w:p>
        </w:tc>
      </w:tr>
      <w:tr>
        <w:trPr>
          <w:trHeight w:val="520" w:hRule="atLeast"/>
        </w:trPr>
        <w:tc>
          <w:tcPr>
            <w:tcW w:w="770" w:type="dxa"/>
            <w:vMerge/>
            <w:tcBorders>
              <w:top w:val="nil"/>
            </w:tcBorders>
          </w:tcPr>
          <w:p>
            <w:pPr>
              <w:rPr>
                <w:sz w:val="2"/>
                <w:szCs w:val="2"/>
              </w:rPr>
            </w:pPr>
          </w:p>
        </w:tc>
        <w:tc>
          <w:tcPr>
            <w:tcW w:w="1435" w:type="dxa"/>
            <w:tcBorders>
              <w:top w:val="nil"/>
              <w:bottom w:val="nil"/>
            </w:tcBorders>
          </w:tcPr>
          <w:p>
            <w:pPr>
              <w:pStyle w:val="TableParagraph"/>
              <w:rPr>
                <w:rFonts w:ascii="Times New Roman"/>
                <w:sz w:val="22"/>
              </w:rPr>
            </w:pPr>
          </w:p>
        </w:tc>
        <w:tc>
          <w:tcPr>
            <w:tcW w:w="6574" w:type="dxa"/>
            <w:tcBorders>
              <w:top w:val="nil"/>
              <w:bottom w:val="nil"/>
            </w:tcBorders>
          </w:tcPr>
          <w:p>
            <w:pPr>
              <w:pStyle w:val="TableParagraph"/>
              <w:spacing w:before="92"/>
              <w:ind w:left="264"/>
              <w:rPr>
                <w:sz w:val="24"/>
              </w:rPr>
            </w:pPr>
            <w:r>
              <w:rPr>
                <w:spacing w:val="-1"/>
                <w:sz w:val="24"/>
              </w:rPr>
              <w:t>費用上。由於建築租賃與人事供應業務已有既定市場，諾</w:t>
            </w:r>
          </w:p>
        </w:tc>
      </w:tr>
      <w:tr>
        <w:trPr>
          <w:trHeight w:val="385" w:hRule="atLeast"/>
        </w:trPr>
        <w:tc>
          <w:tcPr>
            <w:tcW w:w="770" w:type="dxa"/>
            <w:vMerge/>
            <w:tcBorders>
              <w:top w:val="nil"/>
            </w:tcBorders>
          </w:tcPr>
          <w:p>
            <w:pPr>
              <w:rPr>
                <w:sz w:val="2"/>
                <w:szCs w:val="2"/>
              </w:rPr>
            </w:pPr>
          </w:p>
        </w:tc>
        <w:tc>
          <w:tcPr>
            <w:tcW w:w="1435" w:type="dxa"/>
            <w:tcBorders>
              <w:top w:val="nil"/>
              <w:bottom w:val="nil"/>
            </w:tcBorders>
          </w:tcPr>
          <w:p>
            <w:pPr>
              <w:pStyle w:val="TableParagraph"/>
              <w:rPr>
                <w:rFonts w:ascii="Times New Roman"/>
                <w:sz w:val="22"/>
              </w:rPr>
            </w:pPr>
          </w:p>
        </w:tc>
        <w:tc>
          <w:tcPr>
            <w:tcW w:w="6574" w:type="dxa"/>
            <w:tcBorders>
              <w:top w:val="nil"/>
              <w:bottom w:val="nil"/>
            </w:tcBorders>
          </w:tcPr>
          <w:p>
            <w:pPr>
              <w:pStyle w:val="TableParagraph"/>
              <w:spacing w:line="273" w:lineRule="exact" w:before="92"/>
              <w:ind w:left="264"/>
              <w:rPr>
                <w:sz w:val="24"/>
              </w:rPr>
            </w:pPr>
            <w:r>
              <w:rPr>
                <w:spacing w:val="-1"/>
                <w:sz w:val="24"/>
              </w:rPr>
              <w:t>亞克選擇將資源投入耗材領域，拓展業務機會。</w:t>
            </w:r>
          </w:p>
        </w:tc>
      </w:tr>
      <w:tr>
        <w:trPr>
          <w:trHeight w:val="293" w:hRule="atLeast"/>
        </w:trPr>
        <w:tc>
          <w:tcPr>
            <w:tcW w:w="770" w:type="dxa"/>
            <w:vMerge/>
            <w:tcBorders>
              <w:top w:val="nil"/>
            </w:tcBorders>
          </w:tcPr>
          <w:p>
            <w:pPr>
              <w:rPr>
                <w:sz w:val="2"/>
                <w:szCs w:val="2"/>
              </w:rPr>
            </w:pPr>
          </w:p>
        </w:tc>
        <w:tc>
          <w:tcPr>
            <w:tcW w:w="1435" w:type="dxa"/>
            <w:tcBorders>
              <w:top w:val="nil"/>
              <w:bottom w:val="nil"/>
            </w:tcBorders>
          </w:tcPr>
          <w:p>
            <w:pPr>
              <w:pStyle w:val="TableParagraph"/>
              <w:spacing w:line="273" w:lineRule="exact"/>
              <w:ind w:left="117" w:right="102"/>
              <w:jc w:val="center"/>
              <w:rPr>
                <w:rFonts w:ascii="Microsoft JhengHei" w:eastAsia="Microsoft JhengHei"/>
                <w:b/>
                <w:sz w:val="24"/>
              </w:rPr>
            </w:pPr>
            <w:r>
              <w:rPr>
                <w:rFonts w:ascii="Microsoft JhengHei" w:eastAsia="Microsoft JhengHei"/>
                <w:b/>
                <w:spacing w:val="-5"/>
                <w:sz w:val="24"/>
              </w:rPr>
              <w:t>跨界</w:t>
            </w:r>
          </w:p>
        </w:tc>
        <w:tc>
          <w:tcPr>
            <w:tcW w:w="6574" w:type="dxa"/>
            <w:tcBorders>
              <w:top w:val="nil"/>
              <w:bottom w:val="nil"/>
            </w:tcBorders>
          </w:tcPr>
          <w:p>
            <w:pPr>
              <w:pStyle w:val="TableParagraph"/>
              <w:rPr>
                <w:rFonts w:ascii="Times New Roman"/>
                <w:sz w:val="22"/>
              </w:rPr>
            </w:pPr>
          </w:p>
        </w:tc>
      </w:tr>
      <w:tr>
        <w:trPr>
          <w:trHeight w:val="317" w:hRule="atLeast"/>
        </w:trPr>
        <w:tc>
          <w:tcPr>
            <w:tcW w:w="770" w:type="dxa"/>
            <w:vMerge/>
            <w:tcBorders>
              <w:top w:val="nil"/>
            </w:tcBorders>
          </w:tcPr>
          <w:p>
            <w:pPr>
              <w:rPr>
                <w:sz w:val="2"/>
                <w:szCs w:val="2"/>
              </w:rPr>
            </w:pPr>
          </w:p>
        </w:tc>
        <w:tc>
          <w:tcPr>
            <w:tcW w:w="1435" w:type="dxa"/>
            <w:tcBorders>
              <w:top w:val="nil"/>
              <w:bottom w:val="nil"/>
            </w:tcBorders>
          </w:tcPr>
          <w:p>
            <w:pPr>
              <w:pStyle w:val="TableParagraph"/>
              <w:rPr>
                <w:rFonts w:ascii="Times New Roman"/>
                <w:sz w:val="22"/>
              </w:rPr>
            </w:pPr>
          </w:p>
        </w:tc>
        <w:tc>
          <w:tcPr>
            <w:tcW w:w="6574" w:type="dxa"/>
            <w:tcBorders>
              <w:top w:val="nil"/>
              <w:bottom w:val="nil"/>
            </w:tcBorders>
          </w:tcPr>
          <w:p>
            <w:pPr>
              <w:pStyle w:val="TableParagraph"/>
              <w:spacing w:line="297" w:lineRule="exact"/>
              <w:ind w:left="264"/>
              <w:rPr>
                <w:sz w:val="24"/>
              </w:rPr>
            </w:pPr>
            <w:r>
              <w:rPr>
                <w:rFonts w:ascii="Microsoft JhengHei" w:eastAsia="Microsoft JhengHei"/>
                <w:b/>
                <w:spacing w:val="-2"/>
                <w:sz w:val="24"/>
              </w:rPr>
              <w:t>以 </w:t>
            </w:r>
            <w:r>
              <w:rPr>
                <w:rFonts w:ascii="Times New Roman" w:eastAsia="Times New Roman"/>
                <w:b/>
                <w:sz w:val="24"/>
              </w:rPr>
              <w:t>ARPU</w:t>
            </w:r>
            <w:r>
              <w:rPr>
                <w:rFonts w:ascii="Times New Roman" w:eastAsia="Times New Roman"/>
                <w:b/>
                <w:spacing w:val="-2"/>
                <w:sz w:val="24"/>
              </w:rPr>
              <w:t> </w:t>
            </w:r>
            <w:r>
              <w:rPr>
                <w:rFonts w:ascii="Microsoft JhengHei" w:eastAsia="Microsoft JhengHei"/>
                <w:b/>
                <w:sz w:val="24"/>
              </w:rPr>
              <w:t>驅動的新商業模式</w:t>
            </w:r>
            <w:r>
              <w:rPr>
                <w:spacing w:val="-9"/>
                <w:sz w:val="24"/>
              </w:rPr>
              <w:t>：諾亞克採用 </w:t>
            </w:r>
            <w:r>
              <w:rPr>
                <w:rFonts w:ascii="Times New Roman" w:eastAsia="Times New Roman"/>
                <w:sz w:val="24"/>
              </w:rPr>
              <w:t>ARPU</w:t>
            </w:r>
            <w:r>
              <w:rPr>
                <w:sz w:val="24"/>
              </w:rPr>
              <w:t>（</w:t>
            </w:r>
            <w:r>
              <w:rPr>
                <w:spacing w:val="-4"/>
                <w:sz w:val="24"/>
              </w:rPr>
              <w:t>平均每</w:t>
            </w:r>
          </w:p>
        </w:tc>
      </w:tr>
      <w:tr>
        <w:trPr>
          <w:trHeight w:val="247" w:hRule="atLeast"/>
        </w:trPr>
        <w:tc>
          <w:tcPr>
            <w:tcW w:w="770" w:type="dxa"/>
            <w:vMerge/>
            <w:tcBorders>
              <w:top w:val="nil"/>
            </w:tcBorders>
          </w:tcPr>
          <w:p>
            <w:pPr>
              <w:rPr>
                <w:sz w:val="2"/>
                <w:szCs w:val="2"/>
              </w:rPr>
            </w:pPr>
          </w:p>
        </w:tc>
        <w:tc>
          <w:tcPr>
            <w:tcW w:w="1435" w:type="dxa"/>
            <w:tcBorders>
              <w:top w:val="nil"/>
              <w:bottom w:val="nil"/>
            </w:tcBorders>
          </w:tcPr>
          <w:p>
            <w:pPr>
              <w:pStyle w:val="TableParagraph"/>
              <w:spacing w:line="228" w:lineRule="exact"/>
              <w:ind w:left="15" w:right="117"/>
              <w:jc w:val="center"/>
              <w:rPr>
                <w:rFonts w:ascii="Microsoft JhengHei" w:eastAsia="Microsoft JhengHei"/>
                <w:b/>
                <w:sz w:val="24"/>
              </w:rPr>
            </w:pPr>
            <w:r>
              <w:rPr>
                <w:rFonts w:ascii="Microsoft JhengHei" w:eastAsia="Microsoft JhengHei"/>
                <w:b/>
                <w:spacing w:val="-3"/>
                <w:sz w:val="24"/>
              </w:rPr>
              <w:t>資源行動</w:t>
            </w:r>
          </w:p>
        </w:tc>
        <w:tc>
          <w:tcPr>
            <w:tcW w:w="6574" w:type="dxa"/>
            <w:tcBorders>
              <w:top w:val="nil"/>
              <w:bottom w:val="nil"/>
            </w:tcBorders>
          </w:tcPr>
          <w:p>
            <w:pPr>
              <w:pStyle w:val="TableParagraph"/>
              <w:rPr>
                <w:rFonts w:ascii="Times New Roman"/>
                <w:sz w:val="18"/>
              </w:rPr>
            </w:pPr>
          </w:p>
        </w:tc>
      </w:tr>
      <w:tr>
        <w:trPr>
          <w:trHeight w:val="384" w:hRule="atLeast"/>
        </w:trPr>
        <w:tc>
          <w:tcPr>
            <w:tcW w:w="770" w:type="dxa"/>
            <w:vMerge/>
            <w:tcBorders>
              <w:top w:val="nil"/>
            </w:tcBorders>
          </w:tcPr>
          <w:p>
            <w:pPr>
              <w:rPr>
                <w:sz w:val="2"/>
                <w:szCs w:val="2"/>
              </w:rPr>
            </w:pPr>
          </w:p>
        </w:tc>
        <w:tc>
          <w:tcPr>
            <w:tcW w:w="1435" w:type="dxa"/>
            <w:tcBorders>
              <w:top w:val="nil"/>
              <w:bottom w:val="nil"/>
            </w:tcBorders>
          </w:tcPr>
          <w:p>
            <w:pPr>
              <w:pStyle w:val="TableParagraph"/>
              <w:rPr>
                <w:rFonts w:ascii="Times New Roman"/>
                <w:sz w:val="22"/>
              </w:rPr>
            </w:pPr>
          </w:p>
        </w:tc>
        <w:tc>
          <w:tcPr>
            <w:tcW w:w="6574" w:type="dxa"/>
            <w:tcBorders>
              <w:top w:val="nil"/>
              <w:bottom w:val="nil"/>
            </w:tcBorders>
          </w:tcPr>
          <w:p>
            <w:pPr>
              <w:pStyle w:val="TableParagraph"/>
              <w:spacing w:line="264" w:lineRule="exact"/>
              <w:ind w:left="264"/>
              <w:rPr>
                <w:sz w:val="24"/>
              </w:rPr>
            </w:pPr>
            <w:r>
              <w:rPr>
                <w:sz w:val="24"/>
              </w:rPr>
              <w:t>單位收入）</w:t>
            </w:r>
            <w:r>
              <w:rPr>
                <w:spacing w:val="-1"/>
                <w:sz w:val="24"/>
              </w:rPr>
              <w:t>模式，作為衡量客戶貢獻價值的關鍵指標。這</w:t>
            </w:r>
          </w:p>
        </w:tc>
      </w:tr>
      <w:tr>
        <w:trPr>
          <w:trHeight w:val="1790" w:hRule="atLeast"/>
        </w:trPr>
        <w:tc>
          <w:tcPr>
            <w:tcW w:w="770" w:type="dxa"/>
            <w:vMerge/>
            <w:tcBorders>
              <w:top w:val="nil"/>
            </w:tcBorders>
          </w:tcPr>
          <w:p>
            <w:pPr>
              <w:rPr>
                <w:sz w:val="2"/>
                <w:szCs w:val="2"/>
              </w:rPr>
            </w:pPr>
          </w:p>
        </w:tc>
        <w:tc>
          <w:tcPr>
            <w:tcW w:w="1435" w:type="dxa"/>
            <w:tcBorders>
              <w:top w:val="nil"/>
            </w:tcBorders>
          </w:tcPr>
          <w:p>
            <w:pPr>
              <w:pStyle w:val="TableParagraph"/>
              <w:rPr>
                <w:rFonts w:ascii="Times New Roman"/>
                <w:sz w:val="22"/>
              </w:rPr>
            </w:pPr>
          </w:p>
        </w:tc>
        <w:tc>
          <w:tcPr>
            <w:tcW w:w="6574" w:type="dxa"/>
            <w:tcBorders>
              <w:top w:val="nil"/>
            </w:tcBorders>
          </w:tcPr>
          <w:p>
            <w:pPr>
              <w:pStyle w:val="TableParagraph"/>
              <w:spacing w:line="422" w:lineRule="auto" w:before="92"/>
              <w:ind w:left="264" w:right="240"/>
              <w:jc w:val="both"/>
              <w:rPr>
                <w:sz w:val="24"/>
              </w:rPr>
            </w:pPr>
            <w:r>
              <w:rPr>
                <w:spacing w:val="-2"/>
                <w:sz w:val="24"/>
              </w:rPr>
              <w:t>一模式幫助公司深入分析每床位可延伸的服務項目，並整合醫療耗材供應、專業培訓與其他增值服務，通過 </w:t>
            </w:r>
            <w:r>
              <w:rPr>
                <w:rFonts w:ascii="Times New Roman" w:eastAsia="Times New Roman"/>
                <w:sz w:val="24"/>
              </w:rPr>
              <w:t>ARPU</w:t>
            </w:r>
            <w:r>
              <w:rPr>
                <w:spacing w:val="-2"/>
                <w:sz w:val="24"/>
              </w:rPr>
              <w:t>模式，諾亞克每床位營收提升 </w:t>
            </w:r>
            <w:r>
              <w:rPr>
                <w:rFonts w:ascii="Times New Roman" w:eastAsia="Times New Roman"/>
                <w:sz w:val="24"/>
              </w:rPr>
              <w:t>10 </w:t>
            </w:r>
            <w:r>
              <w:rPr>
                <w:spacing w:val="-11"/>
                <w:sz w:val="24"/>
              </w:rPr>
              <w:t>至 </w:t>
            </w:r>
            <w:r>
              <w:rPr>
                <w:rFonts w:ascii="Times New Roman" w:eastAsia="Times New Roman"/>
                <w:sz w:val="24"/>
              </w:rPr>
              <w:t>15 </w:t>
            </w:r>
            <w:r>
              <w:rPr>
                <w:sz w:val="24"/>
              </w:rPr>
              <w:t>倍。</w:t>
            </w:r>
          </w:p>
        </w:tc>
      </w:tr>
    </w:tbl>
    <w:p>
      <w:pPr>
        <w:pStyle w:val="TableParagraph"/>
        <w:spacing w:after="0" w:line="422" w:lineRule="auto"/>
        <w:jc w:val="both"/>
        <w:rPr>
          <w:sz w:val="24"/>
        </w:rPr>
        <w:sectPr>
          <w:pgSz w:w="11910" w:h="16840"/>
          <w:pgMar w:header="0" w:footer="1197" w:top="1740" w:bottom="1380" w:left="1133" w:right="1133"/>
        </w:sect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435"/>
        <w:gridCol w:w="6574"/>
      </w:tblGrid>
      <w:tr>
        <w:trPr>
          <w:trHeight w:val="899" w:hRule="atLeast"/>
        </w:trPr>
        <w:tc>
          <w:tcPr>
            <w:tcW w:w="2205" w:type="dxa"/>
            <w:gridSpan w:val="2"/>
            <w:shd w:val="clear" w:color="auto" w:fill="D0CECE"/>
          </w:tcPr>
          <w:p>
            <w:pPr>
              <w:pStyle w:val="TableParagraph"/>
              <w:spacing w:before="203"/>
              <w:ind w:left="218" w:right="201"/>
              <w:jc w:val="center"/>
              <w:rPr>
                <w:rFonts w:ascii="Microsoft JhengHei" w:eastAsia="Microsoft JhengHei"/>
                <w:b/>
                <w:sz w:val="24"/>
              </w:rPr>
            </w:pPr>
            <w:r>
              <w:rPr>
                <w:rFonts w:ascii="Microsoft JhengHei" w:eastAsia="Microsoft JhengHei"/>
                <w:b/>
                <w:spacing w:val="-5"/>
                <w:sz w:val="24"/>
              </w:rPr>
              <w:t>理論</w:t>
            </w:r>
          </w:p>
        </w:tc>
        <w:tc>
          <w:tcPr>
            <w:tcW w:w="6574" w:type="dxa"/>
            <w:shd w:val="clear" w:color="auto" w:fill="D0CECE"/>
          </w:tcPr>
          <w:p>
            <w:pPr>
              <w:pStyle w:val="TableParagraph"/>
              <w:spacing w:before="203"/>
              <w:ind w:left="19"/>
              <w:jc w:val="center"/>
              <w:rPr>
                <w:rFonts w:ascii="Microsoft JhengHei" w:eastAsia="Microsoft JhengHei"/>
                <w:b/>
                <w:sz w:val="24"/>
              </w:rPr>
            </w:pPr>
            <w:r>
              <w:rPr>
                <w:rFonts w:ascii="Microsoft JhengHei" w:eastAsia="Microsoft JhengHei"/>
                <w:b/>
                <w:spacing w:val="-3"/>
                <w:sz w:val="24"/>
              </w:rPr>
              <w:t>觀察重點</w:t>
            </w:r>
          </w:p>
        </w:tc>
      </w:tr>
      <w:tr>
        <w:trPr>
          <w:trHeight w:val="3167" w:hRule="atLeast"/>
        </w:trPr>
        <w:tc>
          <w:tcPr>
            <w:tcW w:w="770"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86"/>
              <w:rPr>
                <w:rFonts w:ascii="Microsoft JhengHei"/>
                <w:b/>
                <w:sz w:val="24"/>
              </w:rPr>
            </w:pPr>
          </w:p>
          <w:p>
            <w:pPr>
              <w:pStyle w:val="TableParagraph"/>
              <w:spacing w:line="292" w:lineRule="auto"/>
              <w:ind w:left="263" w:right="244"/>
              <w:jc w:val="both"/>
              <w:rPr>
                <w:rFonts w:ascii="Microsoft JhengHei" w:eastAsia="Microsoft JhengHei"/>
                <w:b/>
                <w:sz w:val="24"/>
              </w:rPr>
            </w:pPr>
            <w:r>
              <w:rPr>
                <w:rFonts w:ascii="Microsoft JhengHei" w:eastAsia="Microsoft JhengHei"/>
                <w:b/>
                <w:spacing w:val="-10"/>
                <w:sz w:val="24"/>
              </w:rPr>
              <w:t>知識邊界</w:t>
            </w:r>
          </w:p>
        </w:tc>
        <w:tc>
          <w:tcPr>
            <w:tcW w:w="1435" w:type="dxa"/>
          </w:tcPr>
          <w:p>
            <w:pPr>
              <w:pStyle w:val="TableParagraph"/>
              <w:rPr>
                <w:rFonts w:ascii="Microsoft JhengHei"/>
                <w:b/>
                <w:sz w:val="24"/>
              </w:rPr>
            </w:pPr>
          </w:p>
          <w:p>
            <w:pPr>
              <w:pStyle w:val="TableParagraph"/>
              <w:spacing w:before="132"/>
              <w:rPr>
                <w:rFonts w:ascii="Microsoft JhengHei"/>
                <w:b/>
                <w:sz w:val="24"/>
              </w:rPr>
            </w:pPr>
          </w:p>
          <w:p>
            <w:pPr>
              <w:pStyle w:val="TableParagraph"/>
              <w:spacing w:line="352" w:lineRule="auto"/>
              <w:ind w:left="475" w:right="45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574" w:type="dxa"/>
          </w:tcPr>
          <w:p>
            <w:pPr>
              <w:pStyle w:val="TableParagraph"/>
              <w:spacing w:line="540" w:lineRule="exact" w:before="91"/>
              <w:ind w:left="264" w:right="239"/>
              <w:jc w:val="both"/>
              <w:rPr>
                <w:sz w:val="24"/>
              </w:rPr>
            </w:pPr>
            <w:r>
              <w:rPr>
                <w:rFonts w:ascii="Microsoft JhengHei" w:eastAsia="Microsoft JhengHei"/>
                <w:b/>
                <w:spacing w:val="-2"/>
                <w:sz w:val="24"/>
              </w:rPr>
              <w:t>耗材管理知識的不足</w:t>
            </w:r>
            <w:r>
              <w:rPr>
                <w:spacing w:val="-2"/>
                <w:sz w:val="24"/>
              </w:rPr>
              <w:t>：諾亞克對產品需求特性、應用場景</w:t>
            </w:r>
            <w:r>
              <w:rPr>
                <w:spacing w:val="-2"/>
                <w:sz w:val="24"/>
              </w:rPr>
              <w:t>及物流要求了解不足的挑戰。這導致公司在預測市場需求和設計產品方案方面存在困難。</w:t>
            </w:r>
          </w:p>
          <w:p>
            <w:pPr>
              <w:pStyle w:val="TableParagraph"/>
              <w:spacing w:line="336" w:lineRule="auto" w:before="220"/>
              <w:ind w:left="264" w:right="239"/>
              <w:rPr>
                <w:sz w:val="24"/>
              </w:rPr>
            </w:pPr>
            <w:r>
              <w:rPr>
                <w:rFonts w:ascii="Microsoft JhengHei" w:eastAsia="Microsoft JhengHei"/>
                <w:b/>
                <w:spacing w:val="-2"/>
                <w:sz w:val="24"/>
              </w:rPr>
              <w:t>無法有效管理供應鏈：</w:t>
            </w:r>
            <w:r>
              <w:rPr>
                <w:spacing w:val="-2"/>
                <w:sz w:val="24"/>
              </w:rPr>
              <w:t>耗材種類繁多，涉及複雜的供應鏈和物流環節，缺乏相關專業知識使企業難以有效管理。</w:t>
            </w:r>
          </w:p>
        </w:tc>
      </w:tr>
      <w:tr>
        <w:trPr>
          <w:trHeight w:val="3709" w:hRule="atLeast"/>
        </w:trPr>
        <w:tc>
          <w:tcPr>
            <w:tcW w:w="770" w:type="dxa"/>
            <w:vMerge/>
            <w:tcBorders>
              <w:top w:val="nil"/>
            </w:tcBorders>
          </w:tcPr>
          <w:p>
            <w:pPr>
              <w:rPr>
                <w:sz w:val="2"/>
                <w:szCs w:val="2"/>
              </w:rPr>
            </w:pPr>
          </w:p>
        </w:tc>
        <w:tc>
          <w:tcPr>
            <w:tcW w:w="1435" w:type="dxa"/>
          </w:tcPr>
          <w:p>
            <w:pPr>
              <w:pStyle w:val="TableParagraph"/>
              <w:rPr>
                <w:rFonts w:ascii="Microsoft JhengHei"/>
                <w:b/>
                <w:sz w:val="24"/>
              </w:rPr>
            </w:pPr>
          </w:p>
          <w:p>
            <w:pPr>
              <w:pStyle w:val="TableParagraph"/>
              <w:spacing w:before="403"/>
              <w:rPr>
                <w:rFonts w:ascii="Microsoft JhengHei"/>
                <w:b/>
                <w:sz w:val="24"/>
              </w:rPr>
            </w:pPr>
          </w:p>
          <w:p>
            <w:pPr>
              <w:pStyle w:val="TableParagraph"/>
              <w:spacing w:line="352" w:lineRule="auto"/>
              <w:ind w:left="175" w:right="277" w:firstLine="24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z w:val="24"/>
              </w:rPr>
              <w:t> </w:t>
            </w:r>
            <w:r>
              <w:rPr>
                <w:rFonts w:ascii="Microsoft JhengHei" w:eastAsia="Microsoft JhengHei"/>
                <w:b/>
                <w:spacing w:val="-4"/>
                <w:sz w:val="24"/>
              </w:rPr>
              <w:t>資源行動</w:t>
            </w:r>
          </w:p>
        </w:tc>
        <w:tc>
          <w:tcPr>
            <w:tcW w:w="6574" w:type="dxa"/>
          </w:tcPr>
          <w:p>
            <w:pPr>
              <w:pStyle w:val="TableParagraph"/>
              <w:spacing w:line="540" w:lineRule="exact" w:before="93"/>
              <w:ind w:left="264" w:right="241"/>
              <w:jc w:val="both"/>
              <w:rPr>
                <w:sz w:val="24"/>
              </w:rPr>
            </w:pPr>
            <w:r>
              <w:rPr>
                <w:rFonts w:ascii="Microsoft JhengHei" w:eastAsia="Microsoft JhengHei"/>
                <w:b/>
                <w:spacing w:val="-2"/>
                <w:sz w:val="24"/>
              </w:rPr>
              <w:t>投資物流與耗材廠商： </w:t>
            </w:r>
            <w:r>
              <w:rPr>
                <w:spacing w:val="-2"/>
                <w:sz w:val="24"/>
              </w:rPr>
              <w:t>諾亞克投資成立禾捷有限公司，併</w:t>
            </w:r>
            <w:r>
              <w:rPr>
                <w:spacing w:val="-2"/>
                <w:sz w:val="24"/>
              </w:rPr>
              <w:t>購建齊與卓和耗材供應商，以獲取專業知識，建立市場信</w:t>
            </w:r>
            <w:r>
              <w:rPr>
                <w:spacing w:val="-4"/>
                <w:sz w:val="24"/>
              </w:rPr>
              <w:t>任關係。</w:t>
            </w:r>
          </w:p>
          <w:p>
            <w:pPr>
              <w:pStyle w:val="TableParagraph"/>
              <w:spacing w:line="540" w:lineRule="exact" w:before="108"/>
              <w:ind w:left="264" w:right="236"/>
              <w:jc w:val="both"/>
              <w:rPr>
                <w:sz w:val="24"/>
              </w:rPr>
            </w:pPr>
            <w:r>
              <w:rPr>
                <w:sz w:val="24"/>
              </w:rPr>
              <mc:AlternateContent>
                <mc:Choice Requires="wps">
                  <w:drawing>
                    <wp:anchor distT="0" distB="0" distL="0" distR="0" allowOverlap="1" layoutInCell="1" locked="0" behindDoc="1" simplePos="0" relativeHeight="485819392">
                      <wp:simplePos x="0" y="0"/>
                      <wp:positionH relativeFrom="column">
                        <wp:posOffset>824611</wp:posOffset>
                      </wp:positionH>
                      <wp:positionV relativeFrom="paragraph">
                        <wp:posOffset>38988</wp:posOffset>
                      </wp:positionV>
                      <wp:extent cx="929640" cy="978535"/>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929640" cy="978535"/>
                                <a:chExt cx="929640" cy="978535"/>
                              </a:xfrm>
                            </wpg:grpSpPr>
                            <pic:pic>
                              <pic:nvPicPr>
                                <pic:cNvPr id="204" name="Image 204"/>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4.930008pt;margin-top:3.069981pt;width:73.2pt;height:77.05pt;mso-position-horizontal-relative:column;mso-position-vertical-relative:paragraph;z-index:-17497088" id="docshapegroup30" coordorigin="1299,61" coordsize="1464,1541">
                      <v:shape style="position:absolute;left:1298;top:61;width:1464;height:1541" type="#_x0000_t75" id="docshape31" stroked="false">
                        <v:imagedata r:id="rId6" o:title=""/>
                      </v:shape>
                      <w10:wrap type="none"/>
                    </v:group>
                  </w:pict>
                </mc:Fallback>
              </mc:AlternateContent>
            </w:r>
            <w:r>
              <w:rPr>
                <w:rFonts w:ascii="Microsoft JhengHei" w:eastAsia="Microsoft JhengHei"/>
                <w:b/>
                <w:sz w:val="24"/>
              </w:rPr>
              <w:t>全球供應鏈整合</w:t>
            </w:r>
            <w:r>
              <w:rPr>
                <w:rFonts w:ascii="Times New Roman" w:eastAsia="Times New Roman"/>
                <w:sz w:val="24"/>
              </w:rPr>
              <w:t>: </w:t>
            </w:r>
            <w:r>
              <w:rPr>
                <w:sz w:val="24"/>
              </w:rPr>
              <w:t>利用大規模採購降低成本，整合全球供</w:t>
            </w:r>
            <w:r>
              <w:rPr>
                <w:spacing w:val="-2"/>
                <w:sz w:val="24"/>
              </w:rPr>
              <w:t>應鏈，與多家國內外製造商合作，實現供應鏈優化與產品客製化，提升產品競爭力並滿足市場多樣化需求。</w:t>
            </w:r>
          </w:p>
        </w:tc>
      </w:tr>
      <w:tr>
        <w:trPr>
          <w:trHeight w:val="1547" w:hRule="atLeast"/>
        </w:trPr>
        <w:tc>
          <w:tcPr>
            <w:tcW w:w="770" w:type="dxa"/>
            <w:vMerge w:val="restart"/>
          </w:tcPr>
          <w:p>
            <w:pPr>
              <w:pStyle w:val="TableParagraph"/>
              <w:spacing w:before="59"/>
              <w:rPr>
                <w:rFonts w:ascii="Microsoft JhengHei"/>
                <w:b/>
                <w:sz w:val="24"/>
              </w:rPr>
            </w:pPr>
          </w:p>
          <w:p>
            <w:pPr>
              <w:pStyle w:val="TableParagraph"/>
              <w:spacing w:line="292" w:lineRule="auto" w:before="1"/>
              <w:ind w:left="263" w:right="244"/>
              <w:jc w:val="both"/>
              <w:rPr>
                <w:rFonts w:ascii="Microsoft JhengHei" w:eastAsia="Microsoft JhengHei"/>
                <w:b/>
                <w:sz w:val="24"/>
              </w:rPr>
            </w:pPr>
            <w:r>
              <w:rPr>
                <w:rFonts w:ascii="Microsoft JhengHei" w:eastAsia="Microsoft JhengHei"/>
                <w:b/>
                <w:spacing w:val="-10"/>
                <w:sz w:val="24"/>
              </w:rPr>
              <w:t>技術邊界</w:t>
            </w:r>
          </w:p>
        </w:tc>
        <w:tc>
          <w:tcPr>
            <w:tcW w:w="1435" w:type="dxa"/>
          </w:tcPr>
          <w:p>
            <w:pPr>
              <w:pStyle w:val="TableParagraph"/>
              <w:spacing w:line="352" w:lineRule="auto" w:before="203"/>
              <w:ind w:left="475" w:right="45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6574" w:type="dxa"/>
          </w:tcPr>
          <w:p>
            <w:pPr>
              <w:pStyle w:val="TableParagraph"/>
              <w:spacing w:line="336" w:lineRule="auto" w:before="203"/>
              <w:ind w:left="264" w:right="240"/>
              <w:rPr>
                <w:sz w:val="24"/>
              </w:rPr>
            </w:pPr>
            <w:r>
              <w:rPr>
                <w:rFonts w:ascii="Microsoft JhengHei" w:eastAsia="Microsoft JhengHei"/>
                <w:b/>
                <w:spacing w:val="-2"/>
                <w:sz w:val="24"/>
              </w:rPr>
              <w:t>資訊技術與傳統耗材採購流程的整合：</w:t>
            </w:r>
            <w:r>
              <w:rPr>
                <w:spacing w:val="-2"/>
                <w:sz w:val="24"/>
              </w:rPr>
              <w:t>如何將資訊技術與傳統耗材採購流程結合，提升流程效率。</w:t>
            </w:r>
          </w:p>
        </w:tc>
      </w:tr>
      <w:tr>
        <w:trPr>
          <w:trHeight w:val="1547" w:hRule="atLeast"/>
        </w:trPr>
        <w:tc>
          <w:tcPr>
            <w:tcW w:w="770" w:type="dxa"/>
            <w:vMerge/>
            <w:tcBorders>
              <w:top w:val="nil"/>
            </w:tcBorders>
          </w:tcPr>
          <w:p>
            <w:pPr>
              <w:rPr>
                <w:sz w:val="2"/>
                <w:szCs w:val="2"/>
              </w:rPr>
            </w:pPr>
          </w:p>
        </w:tc>
        <w:tc>
          <w:tcPr>
            <w:tcW w:w="1435" w:type="dxa"/>
          </w:tcPr>
          <w:p>
            <w:pPr>
              <w:pStyle w:val="TableParagraph"/>
              <w:spacing w:line="352" w:lineRule="auto" w:before="203"/>
              <w:ind w:left="175" w:right="277" w:firstLine="30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4"/>
                <w:sz w:val="24"/>
              </w:rPr>
              <w:t>資源行動</w:t>
            </w:r>
          </w:p>
        </w:tc>
        <w:tc>
          <w:tcPr>
            <w:tcW w:w="6574" w:type="dxa"/>
          </w:tcPr>
          <w:p>
            <w:pPr>
              <w:pStyle w:val="TableParagraph"/>
              <w:spacing w:line="336" w:lineRule="auto" w:before="203"/>
              <w:ind w:left="264" w:right="238"/>
              <w:rPr>
                <w:sz w:val="24"/>
              </w:rPr>
            </w:pPr>
            <w:r>
              <w:rPr>
                <w:rFonts w:ascii="Microsoft JhengHei" w:eastAsia="Microsoft JhengHei"/>
                <w:b/>
                <w:spacing w:val="-2"/>
                <w:sz w:val="24"/>
              </w:rPr>
              <w:t>建構數據導向採購模組：</w:t>
            </w:r>
            <w:r>
              <w:rPr>
                <w:spacing w:val="-2"/>
                <w:sz w:val="24"/>
              </w:rPr>
              <w:t>詳細記錄耗材使用情況，進行精確需求預測，並實現庫存與物流管理的自動化。</w:t>
            </w:r>
          </w:p>
        </w:tc>
      </w:tr>
      <w:tr>
        <w:trPr>
          <w:trHeight w:val="2125" w:hRule="atLeast"/>
        </w:trPr>
        <w:tc>
          <w:tcPr>
            <w:tcW w:w="2205" w:type="dxa"/>
            <w:gridSpan w:val="2"/>
          </w:tcPr>
          <w:p>
            <w:pPr>
              <w:pStyle w:val="TableParagraph"/>
              <w:spacing w:before="52"/>
              <w:rPr>
                <w:rFonts w:ascii="Microsoft JhengHei"/>
                <w:b/>
                <w:sz w:val="24"/>
              </w:rPr>
            </w:pPr>
          </w:p>
          <w:p>
            <w:pPr>
              <w:pStyle w:val="TableParagraph"/>
              <w:spacing w:line="352" w:lineRule="auto"/>
              <w:ind w:left="621" w:right="359" w:hanging="240"/>
              <w:rPr>
                <w:rFonts w:ascii="Microsoft JhengHei" w:eastAsia="Microsoft JhengHei"/>
                <w:b/>
                <w:sz w:val="24"/>
              </w:rPr>
            </w:pPr>
            <w:r>
              <w:rPr>
                <w:rFonts w:ascii="Microsoft JhengHei" w:eastAsia="Microsoft JhengHei"/>
                <w:b/>
                <w:spacing w:val="-2"/>
                <w:sz w:val="24"/>
              </w:rPr>
              <w:t>服務生態系的</w:t>
            </w:r>
            <w:r>
              <w:rPr>
                <w:rFonts w:ascii="Microsoft JhengHei" w:eastAsia="Microsoft JhengHei"/>
                <w:b/>
                <w:spacing w:val="-4"/>
                <w:sz w:val="24"/>
              </w:rPr>
              <w:t>動態拓展</w:t>
            </w:r>
          </w:p>
        </w:tc>
        <w:tc>
          <w:tcPr>
            <w:tcW w:w="6574" w:type="dxa"/>
          </w:tcPr>
          <w:p>
            <w:pPr>
              <w:pStyle w:val="TableParagraph"/>
              <w:spacing w:line="540" w:lineRule="exact" w:before="165"/>
              <w:ind w:left="144" w:right="58"/>
              <w:jc w:val="both"/>
              <w:rPr>
                <w:sz w:val="24"/>
              </w:rPr>
            </w:pPr>
            <w:r>
              <w:rPr>
                <w:rFonts w:ascii="Microsoft JhengHei" w:eastAsia="Microsoft JhengHei"/>
                <w:b/>
                <w:spacing w:val="-6"/>
                <w:sz w:val="24"/>
              </w:rPr>
              <w:t>耗材訂購與長照軟體的無縫整合服務：</w:t>
            </w:r>
            <w:r>
              <w:rPr>
                <w:spacing w:val="-6"/>
                <w:sz w:val="24"/>
              </w:rPr>
              <w:t>從訂購、生產、運送，到最後的物流與 </w:t>
            </w:r>
            <w:r>
              <w:rPr>
                <w:rFonts w:ascii="Times New Roman" w:eastAsia="Times New Roman"/>
                <w:spacing w:val="-2"/>
                <w:sz w:val="24"/>
              </w:rPr>
              <w:t>SaaS</w:t>
            </w:r>
            <w:r>
              <w:rPr>
                <w:rFonts w:ascii="Times New Roman" w:eastAsia="Times New Roman"/>
                <w:spacing w:val="-13"/>
                <w:sz w:val="24"/>
              </w:rPr>
              <w:t> </w:t>
            </w:r>
            <w:r>
              <w:rPr>
                <w:spacing w:val="-2"/>
                <w:sz w:val="24"/>
              </w:rPr>
              <w:t>系統提供無縫化服務。同時，耗材業務已成為公司核心收入來源，其客戶不限於長照機構。</w:t>
            </w:r>
          </w:p>
        </w:tc>
      </w:tr>
    </w:tbl>
    <w:p>
      <w:pPr>
        <w:pStyle w:val="TableParagraph"/>
        <w:spacing w:after="0" w:line="540" w:lineRule="exact"/>
        <w:jc w:val="both"/>
        <w:rPr>
          <w:sz w:val="24"/>
        </w:rPr>
        <w:sectPr>
          <w:type w:val="continuous"/>
          <w:pgSz w:w="11910" w:h="16840"/>
          <w:pgMar w:header="0" w:footer="1197" w:top="1660" w:bottom="1380" w:left="1133" w:right="1133"/>
        </w:sectPr>
      </w:pPr>
    </w:p>
    <w:p>
      <w:pPr>
        <w:pStyle w:val="BodyText"/>
        <w:spacing w:before="27"/>
        <w:ind w:left="597" w:right="118"/>
        <w:jc w:val="center"/>
      </w:pPr>
      <w:r>
        <w:rPr>
          <w:spacing w:val="-1"/>
        </w:rPr>
        <w:t>資料來源：本研究整理</w:t>
      </w:r>
    </w:p>
    <w:p>
      <w:pPr>
        <w:pStyle w:val="Heading2"/>
        <w:numPr>
          <w:ilvl w:val="1"/>
          <w:numId w:val="22"/>
        </w:numPr>
        <w:tabs>
          <w:tab w:pos="1047" w:val="left" w:leader="none"/>
        </w:tabs>
        <w:spacing w:line="240" w:lineRule="auto" w:before="267" w:after="0"/>
        <w:ind w:left="1047" w:right="0" w:hanging="478"/>
        <w:jc w:val="left"/>
      </w:pPr>
      <w:bookmarkStart w:name="_bookmark78" w:id="79"/>
      <w:bookmarkEnd w:id="79"/>
      <w:r>
        <w:rPr>
          <w:b w:val="0"/>
        </w:rPr>
      </w:r>
      <w:r>
        <w:rPr>
          <w:spacing w:val="-5"/>
        </w:rPr>
        <w:t>第三階段：生態協調模組拓展</w:t>
      </w:r>
    </w:p>
    <w:p>
      <w:pPr>
        <w:pStyle w:val="Heading2"/>
        <w:spacing w:before="310"/>
        <w:rPr>
          <w:position w:val="1"/>
        </w:rPr>
      </w:pPr>
      <w:r>
        <w:rPr>
          <w:b w:val="0"/>
        </w:rPr>
        <w:drawing>
          <wp:inline distT="0" distB="0" distL="0" distR="0">
            <wp:extent cx="390906" cy="145542"/>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05" cstate="print"/>
                    <a:stretch>
                      <a:fillRect/>
                    </a:stretch>
                  </pic:blipFill>
                  <pic:spPr>
                    <a:xfrm>
                      <a:off x="0" y="0"/>
                      <a:ext cx="390906" cy="145542"/>
                    </a:xfrm>
                    <a:prstGeom prst="rect">
                      <a:avLst/>
                    </a:prstGeom>
                  </pic:spPr>
                </pic:pic>
              </a:graphicData>
            </a:graphic>
          </wp:inline>
        </w:drawing>
      </w:r>
      <w:r>
        <w:rPr>
          <w:b w:val="0"/>
        </w:rPr>
      </w:r>
      <w:r>
        <w:rPr>
          <w:rFonts w:ascii="Times New Roman" w:eastAsia="Times New Roman"/>
          <w:b w:val="0"/>
          <w:spacing w:val="38"/>
          <w:position w:val="1"/>
          <w:sz w:val="20"/>
        </w:rPr>
        <w:t> </w:t>
      </w:r>
      <w:bookmarkStart w:name="_bookmark79" w:id="80"/>
      <w:bookmarkEnd w:id="80"/>
      <w:r>
        <w:rPr>
          <w:rFonts w:ascii="Times New Roman" w:eastAsia="Times New Roman"/>
          <w:b w:val="0"/>
          <w:spacing w:val="-12"/>
          <w:position w:val="1"/>
          <w:sz w:val="20"/>
        </w:rPr>
      </w:r>
      <w:r>
        <w:rPr>
          <w:spacing w:val="-2"/>
          <w:position w:val="1"/>
        </w:rPr>
        <w:t>競爭環境</w:t>
      </w:r>
    </w:p>
    <w:p>
      <w:pPr>
        <w:pStyle w:val="Heading4"/>
        <w:spacing w:before="307"/>
      </w:pPr>
      <w:r>
        <w:rPr>
          <w:spacing w:val="-1"/>
        </w:rPr>
        <w:t>台灣市場碎片化，缺乏有效的整合模式</w:t>
      </w:r>
    </w:p>
    <w:p>
      <w:pPr>
        <w:pStyle w:val="BodyText"/>
        <w:spacing w:line="422" w:lineRule="auto" w:before="358"/>
        <w:ind w:right="683" w:firstLine="479"/>
      </w:pPr>
      <w:r>
        <w:rPr>
          <w:spacing w:val="-6"/>
        </w:rPr>
        <w:t>隨著產業蓬勃發展，許多照護科技相關公司紛紛成立。然而，長照服務供應</w:t>
      </w:r>
      <w:r>
        <w:rPr>
          <w:spacing w:val="-4"/>
        </w:rPr>
        <w:t>商通常依賴政府補助並以較小規模運營，主要目的是控制成本，而非擴展服務能</w:t>
      </w:r>
      <w:r>
        <w:rPr>
          <w:spacing w:val="-2"/>
        </w:rPr>
        <w:t>力或提升整合效益。因此，大多數服務單位集中於提供特定服務。</w:t>
      </w:r>
    </w:p>
    <w:p>
      <w:pPr>
        <w:pStyle w:val="BodyText"/>
        <w:spacing w:line="422" w:lineRule="auto" w:before="105"/>
        <w:ind w:right="683" w:firstLine="479"/>
      </w:pPr>
      <w:r>
        <w:rPr/>
        <w:drawing>
          <wp:anchor distT="0" distB="0" distL="0" distR="0" allowOverlap="1" layoutInCell="1" locked="0" behindDoc="1" simplePos="0" relativeHeight="485819904">
            <wp:simplePos x="0" y="0"/>
            <wp:positionH relativeFrom="page">
              <wp:posOffset>3312414</wp:posOffset>
            </wp:positionH>
            <wp:positionV relativeFrom="paragraph">
              <wp:posOffset>639125</wp:posOffset>
            </wp:positionV>
            <wp:extent cx="929640" cy="978408"/>
            <wp:effectExtent l="0" t="0" r="0" b="0"/>
            <wp:wrapNone/>
            <wp:docPr id="206" name="Image 206"/>
            <wp:cNvGraphicFramePr>
              <a:graphicFrameLocks/>
            </wp:cNvGraphicFramePr>
            <a:graphic>
              <a:graphicData uri="http://schemas.openxmlformats.org/drawingml/2006/picture">
                <pic:pic>
                  <pic:nvPicPr>
                    <pic:cNvPr id="206" name="Image 206"/>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這種碎片化的市場格局加劇了產業內部的競爭壓力，各自為政的結果是，許</w:t>
      </w:r>
      <w:r>
        <w:rPr>
          <w:spacing w:val="-4"/>
        </w:rPr>
        <w:t>多機構和供應商之間的資訊流通不順暢，導致資源重複投入、效率低下，並且無</w:t>
      </w:r>
      <w:r>
        <w:rPr>
          <w:spacing w:val="-2"/>
        </w:rPr>
        <w:t>法有效滿足使用者對於高品質綜合服務的需求。特別是在需求迅速增長的情況下，如何透過有效整合來提升整體產業競爭力已成為關鍵課題。</w:t>
      </w:r>
    </w:p>
    <w:p>
      <w:pPr>
        <w:spacing w:line="405" w:lineRule="auto" w:before="93"/>
        <w:ind w:left="1701" w:right="1699" w:firstLine="480"/>
        <w:jc w:val="both"/>
        <w:rPr>
          <w:sz w:val="25"/>
        </w:rPr>
      </w:pPr>
      <w:r>
        <w:rPr>
          <w:spacing w:val="-12"/>
          <w:sz w:val="25"/>
        </w:rPr>
        <w:t>「這個產業其實非常碎片化，山頭林立，各自提供自己的服務。我參考了一些國外的經驗，發現長照的整合服務其</w:t>
      </w:r>
      <w:r>
        <w:rPr>
          <w:spacing w:val="-14"/>
          <w:sz w:val="25"/>
        </w:rPr>
        <w:t>實還有很大的提升空間。</w:t>
      </w:r>
      <w:r>
        <w:rPr>
          <w:spacing w:val="-161"/>
          <w:sz w:val="25"/>
        </w:rPr>
        <w:t>」</w:t>
      </w:r>
      <w:r>
        <w:rPr>
          <w:spacing w:val="-14"/>
          <w:sz w:val="25"/>
        </w:rPr>
        <w:t>（沈家平執行長，天下雜誌資料）</w:t>
      </w:r>
    </w:p>
    <w:p>
      <w:pPr>
        <w:pStyle w:val="Heading4"/>
        <w:spacing w:before="107"/>
      </w:pPr>
      <w:r>
        <w:rPr>
          <w:spacing w:val="-1"/>
        </w:rPr>
        <w:t>台灣長照市場收費模式的局限性</w:t>
      </w:r>
    </w:p>
    <w:p>
      <w:pPr>
        <w:pStyle w:val="BodyText"/>
        <w:spacing w:line="422" w:lineRule="auto" w:before="358"/>
        <w:ind w:right="468" w:firstLine="479"/>
        <w:jc w:val="left"/>
      </w:pPr>
      <w:r>
        <w:rPr>
          <w:spacing w:val="-2"/>
        </w:rPr>
        <w:t>由於臺灣市場中的定價受到政策管控且資源有限，長照機構多數被定位為</w:t>
      </w:r>
      <w:r>
        <w:rPr>
          <w:spacing w:val="80"/>
        </w:rPr>
        <w:t> </w:t>
      </w:r>
      <w:r>
        <w:rPr>
          <w:spacing w:val="-2"/>
        </w:rPr>
        <w:t>社會福利性質，收入主要來自於政府補助和低廉的自費收入。因此，台灣的長照機構必須注重成本控制，以確保在有限的收入下仍能維持營運。這種低價位、高</w:t>
      </w:r>
      <w:r>
        <w:rPr>
          <w:spacing w:val="-6"/>
        </w:rPr>
        <w:t>成本壓力的市場狀況，迫使許多長照機構在運營上縮減成本，難以提升服務品質。</w:t>
      </w:r>
    </w:p>
    <w:p>
      <w:pPr>
        <w:spacing w:line="405" w:lineRule="auto" w:before="94"/>
        <w:ind w:left="1701" w:right="1700" w:firstLine="480"/>
        <w:jc w:val="left"/>
        <w:rPr>
          <w:sz w:val="25"/>
        </w:rPr>
      </w:pPr>
      <w:r>
        <w:rPr>
          <w:spacing w:val="-12"/>
          <w:sz w:val="25"/>
        </w:rPr>
        <w:t>「台灣的長照產業無法支持太多的資訊科技。其實台灣</w:t>
      </w:r>
      <w:r>
        <w:rPr>
          <w:spacing w:val="-17"/>
          <w:sz w:val="25"/>
        </w:rPr>
        <w:t>有很多優秀的資訊科技，例如智慧床墊，還有許多 </w:t>
      </w:r>
      <w:r>
        <w:rPr>
          <w:rFonts w:ascii="Times New Roman" w:eastAsia="Times New Roman"/>
          <w:i/>
          <w:spacing w:val="-14"/>
          <w:sz w:val="24"/>
        </w:rPr>
        <w:t>AI</w:t>
      </w:r>
      <w:r>
        <w:rPr>
          <w:rFonts w:ascii="Times New Roman" w:eastAsia="Times New Roman"/>
          <w:i/>
          <w:spacing w:val="4"/>
          <w:sz w:val="24"/>
        </w:rPr>
        <w:t> </w:t>
      </w:r>
      <w:r>
        <w:rPr>
          <w:spacing w:val="-14"/>
          <w:sz w:val="25"/>
        </w:rPr>
        <w:t>技術，</w:t>
      </w:r>
    </w:p>
    <w:p>
      <w:pPr>
        <w:spacing w:after="0" w:line="405" w:lineRule="auto"/>
        <w:jc w:val="left"/>
        <w:rPr>
          <w:sz w:val="25"/>
        </w:rPr>
        <w:sectPr>
          <w:pgSz w:w="11910" w:h="16840"/>
          <w:pgMar w:header="0" w:footer="1197" w:top="1760" w:bottom="1380" w:left="1133" w:right="1133"/>
        </w:sectPr>
      </w:pPr>
    </w:p>
    <w:p>
      <w:pPr>
        <w:spacing w:line="405" w:lineRule="auto" w:before="37"/>
        <w:ind w:left="1701" w:right="1699" w:firstLine="0"/>
        <w:jc w:val="left"/>
        <w:rPr>
          <w:sz w:val="25"/>
        </w:rPr>
      </w:pPr>
      <w:r>
        <w:rPr>
          <w:spacing w:val="-14"/>
          <w:sz w:val="25"/>
        </w:rPr>
        <w:t>但在台灣很難變現，難以找到收費的方式。</w:t>
      </w:r>
      <w:r>
        <w:rPr>
          <w:spacing w:val="-161"/>
          <w:sz w:val="25"/>
        </w:rPr>
        <w:t>」</w:t>
      </w:r>
      <w:r>
        <w:rPr>
          <w:spacing w:val="-14"/>
          <w:sz w:val="25"/>
        </w:rPr>
        <w:t>（林恩宇研發副</w:t>
      </w:r>
      <w:r>
        <w:rPr>
          <w:sz w:val="25"/>
        </w:rPr>
        <w:t>總，</w:t>
      </w:r>
      <w:r>
        <w:rPr>
          <w:rFonts w:ascii="Times New Roman" w:eastAsia="Times New Roman"/>
          <w:i/>
          <w:sz w:val="24"/>
        </w:rPr>
        <w:t>2023 </w:t>
      </w:r>
      <w:r>
        <w:rPr>
          <w:sz w:val="25"/>
        </w:rPr>
        <w:t>訪談資料）</w:t>
      </w:r>
    </w:p>
    <w:p>
      <w:pPr>
        <w:pStyle w:val="Heading2"/>
        <w:spacing w:before="112"/>
        <w:rPr>
          <w:position w:val="1"/>
        </w:rPr>
      </w:pPr>
      <w:r>
        <w:rPr>
          <w:b w:val="0"/>
        </w:rPr>
        <w:drawing>
          <wp:inline distT="0" distB="0" distL="0" distR="0">
            <wp:extent cx="397002" cy="145542"/>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106" cstate="print"/>
                    <a:stretch>
                      <a:fillRect/>
                    </a:stretch>
                  </pic:blipFill>
                  <pic:spPr>
                    <a:xfrm>
                      <a:off x="0" y="0"/>
                      <a:ext cx="397002" cy="145542"/>
                    </a:xfrm>
                    <a:prstGeom prst="rect">
                      <a:avLst/>
                    </a:prstGeom>
                  </pic:spPr>
                </pic:pic>
              </a:graphicData>
            </a:graphic>
          </wp:inline>
        </w:drawing>
      </w:r>
      <w:r>
        <w:rPr>
          <w:b w:val="0"/>
        </w:rPr>
      </w:r>
      <w:r>
        <w:rPr>
          <w:rFonts w:ascii="Times New Roman" w:eastAsia="Times New Roman"/>
          <w:b w:val="0"/>
          <w:spacing w:val="28"/>
          <w:position w:val="1"/>
          <w:sz w:val="20"/>
        </w:rPr>
        <w:t> </w:t>
      </w:r>
      <w:bookmarkStart w:name="_bookmark80" w:id="81"/>
      <w:bookmarkEnd w:id="81"/>
      <w:r>
        <w:rPr>
          <w:rFonts w:ascii="Times New Roman" w:eastAsia="Times New Roman"/>
          <w:b w:val="0"/>
          <w:spacing w:val="-22"/>
          <w:position w:val="1"/>
          <w:sz w:val="20"/>
        </w:rPr>
      </w:r>
      <w:r>
        <w:rPr>
          <w:spacing w:val="-2"/>
          <w:position w:val="1"/>
        </w:rPr>
        <w:t>組織策略</w:t>
      </w:r>
    </w:p>
    <w:p>
      <w:pPr>
        <w:pStyle w:val="BodyText"/>
        <w:spacing w:line="422" w:lineRule="auto" w:before="386"/>
        <w:ind w:right="682" w:firstLine="479"/>
      </w:pPr>
      <w:r>
        <w:rPr>
          <w:spacing w:val="-6"/>
        </w:rPr>
        <w:t>在組織發展的第三階段，諾亞克採取了以「生態協調」為核心的策略，著重</w:t>
      </w:r>
      <w:r>
        <w:rPr>
          <w:spacing w:val="-4"/>
        </w:rPr>
        <w:t>將原有模式延伸至其他產業、國家與應用場景，以提升資產槓桿效益並擴展服務市場。該策略的重點在於充分發揮 </w:t>
      </w:r>
      <w:r>
        <w:rPr>
          <w:rFonts w:ascii="Times New Roman" w:eastAsia="Times New Roman"/>
          <w:spacing w:val="-2"/>
        </w:rPr>
        <w:t>SaaS</w:t>
      </w:r>
      <w:r>
        <w:rPr>
          <w:rFonts w:ascii="Times New Roman" w:eastAsia="Times New Roman"/>
          <w:spacing w:val="-8"/>
        </w:rPr>
        <w:t> </w:t>
      </w:r>
      <w:r>
        <w:rPr>
          <w:spacing w:val="-2"/>
        </w:rPr>
        <w:t>服務的可複製性與彈性特質，快速響應市場變化，並將長照資訊系統模式擴展至多元場域，實現規模化發展。</w:t>
      </w:r>
    </w:p>
    <w:p>
      <w:pPr>
        <w:pStyle w:val="BodyText"/>
        <w:spacing w:line="422" w:lineRule="auto" w:before="104"/>
        <w:ind w:right="686" w:firstLine="479"/>
      </w:pPr>
      <w:r>
        <w:rPr/>
        <w:drawing>
          <wp:anchor distT="0" distB="0" distL="0" distR="0" allowOverlap="1" layoutInCell="1" locked="0" behindDoc="1" simplePos="0" relativeHeight="485820416">
            <wp:simplePos x="0" y="0"/>
            <wp:positionH relativeFrom="page">
              <wp:posOffset>3312414</wp:posOffset>
            </wp:positionH>
            <wp:positionV relativeFrom="paragraph">
              <wp:posOffset>935930</wp:posOffset>
            </wp:positionV>
            <wp:extent cx="929640" cy="978408"/>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eastAsia="Times New Roman"/>
        </w:rPr>
        <w:t>SaaS </w:t>
      </w:r>
      <w:r>
        <w:rPr/>
        <w:t>服務具備技術可擴展性與模組化特徵，為諾亞克在跨領域及跨國界的</w:t>
      </w:r>
      <w:r>
        <w:rPr>
          <w:spacing w:val="-6"/>
        </w:rPr>
        <w:t>發展提供了強有力的技術支持。然而，單純的系統複製並不足以解決市場需求與</w:t>
      </w:r>
      <w:r>
        <w:rPr>
          <w:spacing w:val="-7"/>
        </w:rPr>
        <w:t>運營挑戰的多樣性。例如：系統在不同場域的適應性、新市場或產業的資源需求</w:t>
      </w:r>
    </w:p>
    <w:p>
      <w:pPr>
        <w:pStyle w:val="BodyText"/>
        <w:spacing w:line="304" w:lineRule="exact"/>
        <w:jc w:val="left"/>
      </w:pPr>
      <w:r>
        <w:rPr/>
        <w:t>（包括技術與人力</w:t>
      </w:r>
      <w:r>
        <w:rPr>
          <w:spacing w:val="-120"/>
        </w:rPr>
        <w:t>）</w:t>
      </w:r>
      <w:r>
        <w:rPr>
          <w:spacing w:val="-1"/>
        </w:rPr>
        <w:t>，以及在擴展過程中如何保持組織資源的靈活性與效率。</w:t>
      </w:r>
    </w:p>
    <w:p>
      <w:pPr>
        <w:pStyle w:val="BodyText"/>
        <w:spacing w:before="33"/>
        <w:ind w:left="0"/>
        <w:jc w:val="left"/>
      </w:pPr>
    </w:p>
    <w:p>
      <w:pPr>
        <w:pStyle w:val="BodyText"/>
        <w:spacing w:line="422" w:lineRule="auto"/>
        <w:ind w:right="683" w:firstLine="479"/>
      </w:pPr>
      <w:r>
        <w:rPr>
          <w:spacing w:val="-6"/>
        </w:rPr>
        <w:t>為應對上述挑戰，諾亞克在「系統擴展」與「新系統構建」之間進行動態選</w:t>
      </w:r>
      <w:r>
        <w:rPr>
          <w:spacing w:val="-4"/>
        </w:rPr>
        <w:t>擇，以確保策略的靈活性與適應性。同時，組織在選擇擴展領域時，會慎重評估</w:t>
      </w:r>
      <w:r>
        <w:rPr>
          <w:spacing w:val="-2"/>
        </w:rPr>
        <w:t>新市場與既有系統的關聯性，從而確保擴展策略的可行性與高效性。</w:t>
      </w:r>
    </w:p>
    <w:p>
      <w:pPr>
        <w:pStyle w:val="BodyText"/>
        <w:spacing w:line="422" w:lineRule="auto" w:before="105"/>
        <w:ind w:right="683" w:firstLine="479"/>
      </w:pPr>
      <w:r>
        <w:rPr>
          <w:spacing w:val="-2"/>
        </w:rPr>
        <w:t>在這一策略的指導下，諾亞克發現藥局的數位化與耗材管理與其長照系統</w:t>
      </w:r>
      <w:r>
        <w:rPr>
          <w:spacing w:val="-4"/>
        </w:rPr>
        <w:t>有類似的特性。此時，來自美國的長照機構負責人注意到諾亞克的特殊模式，並有意將其引入美國市場。因此，接下來的章節將深入探討諾亞克如何在美國市場</w:t>
      </w:r>
      <w:r>
        <w:rPr>
          <w:spacing w:val="-2"/>
        </w:rPr>
        <w:t>與藥局的跨界管理中，實現這一策略的具體應用與突破。</w:t>
      </w:r>
    </w:p>
    <w:p>
      <w:pPr>
        <w:spacing w:line="405" w:lineRule="auto" w:before="94"/>
        <w:ind w:left="1701" w:right="1698" w:firstLine="480"/>
        <w:jc w:val="both"/>
        <w:rPr>
          <w:sz w:val="25"/>
        </w:rPr>
      </w:pPr>
      <w:r>
        <w:rPr>
          <w:spacing w:val="-12"/>
          <w:sz w:val="25"/>
        </w:rPr>
        <w:t>「長照是諾亞克最先切入的領域，但其實在整個泛醫療產業還有非常多可以做的事情。包含了產後、動物醫院、牙醫或是遠距醫療，其實都是每個都是一個很值得去經營的一</w:t>
      </w:r>
      <w:r>
        <w:rPr>
          <w:spacing w:val="-24"/>
          <w:sz w:val="25"/>
        </w:rPr>
        <w:t>個領域。」</w:t>
      </w:r>
      <w:r>
        <w:rPr>
          <w:sz w:val="25"/>
        </w:rPr>
        <w:t>（</w:t>
      </w:r>
      <w:r>
        <w:rPr>
          <w:spacing w:val="-4"/>
          <w:sz w:val="25"/>
        </w:rPr>
        <w:t>劉禹辰 數據長，</w:t>
      </w:r>
      <w:r>
        <w:rPr>
          <w:rFonts w:ascii="Times New Roman" w:eastAsia="Times New Roman"/>
          <w:i/>
          <w:sz w:val="24"/>
        </w:rPr>
        <w:t>2024</w:t>
      </w:r>
      <w:r>
        <w:rPr>
          <w:rFonts w:ascii="Times New Roman" w:eastAsia="Times New Roman"/>
          <w:i/>
          <w:spacing w:val="-7"/>
          <w:sz w:val="24"/>
        </w:rPr>
        <w:t> </w:t>
      </w:r>
      <w:r>
        <w:rPr>
          <w:sz w:val="25"/>
        </w:rPr>
        <w:t>訪談資料）</w:t>
      </w:r>
    </w:p>
    <w:p>
      <w:pPr>
        <w:spacing w:after="0" w:line="405" w:lineRule="auto"/>
        <w:jc w:val="both"/>
        <w:rPr>
          <w:sz w:val="25"/>
        </w:rPr>
        <w:sectPr>
          <w:pgSz w:w="11910" w:h="16840"/>
          <w:pgMar w:header="0" w:footer="1197" w:top="1740" w:bottom="1380" w:left="1133" w:right="1133"/>
        </w:sectPr>
      </w:pPr>
    </w:p>
    <w:p>
      <w:pPr>
        <w:pStyle w:val="Heading2"/>
        <w:spacing w:line="500" w:lineRule="exact"/>
        <w:rPr>
          <w:position w:val="1"/>
        </w:rPr>
      </w:pPr>
      <w:r>
        <w:rPr>
          <w:b w:val="0"/>
        </w:rPr>
        <w:drawing>
          <wp:inline distT="0" distB="0" distL="0" distR="0">
            <wp:extent cx="393953" cy="145542"/>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07" cstate="print"/>
                    <a:stretch>
                      <a:fillRect/>
                    </a:stretch>
                  </pic:blipFill>
                  <pic:spPr>
                    <a:xfrm>
                      <a:off x="0" y="0"/>
                      <a:ext cx="393953" cy="145542"/>
                    </a:xfrm>
                    <a:prstGeom prst="rect">
                      <a:avLst/>
                    </a:prstGeom>
                  </pic:spPr>
                </pic:pic>
              </a:graphicData>
            </a:graphic>
          </wp:inline>
        </w:drawing>
      </w:r>
      <w:r>
        <w:rPr>
          <w:b w:val="0"/>
        </w:rPr>
      </w:r>
      <w:r>
        <w:rPr>
          <w:rFonts w:ascii="Times New Roman" w:eastAsia="Times New Roman"/>
          <w:b w:val="0"/>
          <w:spacing w:val="33"/>
          <w:position w:val="1"/>
          <w:sz w:val="20"/>
        </w:rPr>
        <w:t> </w:t>
      </w:r>
      <w:bookmarkStart w:name="_bookmark81" w:id="82"/>
      <w:bookmarkEnd w:id="82"/>
      <w:r>
        <w:rPr>
          <w:rFonts w:ascii="Times New Roman" w:eastAsia="Times New Roman"/>
          <w:b w:val="0"/>
          <w:spacing w:val="-17"/>
          <w:position w:val="1"/>
          <w:sz w:val="20"/>
        </w:rPr>
      </w:r>
      <w:r>
        <w:rPr>
          <w:spacing w:val="-2"/>
          <w:position w:val="1"/>
        </w:rPr>
        <w:t>藥局市場邊界</w:t>
      </w:r>
    </w:p>
    <w:p>
      <w:pPr>
        <w:pStyle w:val="Heading3"/>
        <w:rPr>
          <w:position w:val="1"/>
        </w:rPr>
      </w:pPr>
      <w:r>
        <w:rPr>
          <w:b w:val="0"/>
        </w:rPr>
        <w:drawing>
          <wp:inline distT="0" distB="0" distL="0" distR="0">
            <wp:extent cx="529590" cy="130301"/>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08"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市場跨界探索</w:t>
      </w:r>
    </w:p>
    <w:p>
      <w:pPr>
        <w:pStyle w:val="Heading4"/>
        <w:spacing w:before="340"/>
      </w:pPr>
      <w:r>
        <w:rPr>
          <w:spacing w:val="-1"/>
        </w:rPr>
        <w:t>藥局具有與長照機構協同創新的潛力</w:t>
      </w:r>
    </w:p>
    <w:p>
      <w:pPr>
        <w:pStyle w:val="BodyText"/>
        <w:spacing w:line="422" w:lineRule="auto" w:before="358"/>
        <w:ind w:right="683" w:firstLine="479"/>
      </w:pPr>
      <w:r>
        <w:rPr/>
        <w:drawing>
          <wp:anchor distT="0" distB="0" distL="0" distR="0" allowOverlap="1" layoutInCell="1" locked="0" behindDoc="1" simplePos="0" relativeHeight="485820928">
            <wp:simplePos x="0" y="0"/>
            <wp:positionH relativeFrom="page">
              <wp:posOffset>3312414</wp:posOffset>
            </wp:positionH>
            <wp:positionV relativeFrom="paragraph">
              <wp:posOffset>2308972</wp:posOffset>
            </wp:positionV>
            <wp:extent cx="929640" cy="978408"/>
            <wp:effectExtent l="0" t="0" r="0" b="0"/>
            <wp:wrapNone/>
            <wp:docPr id="211" name="Image 211"/>
            <wp:cNvGraphicFramePr>
              <a:graphicFrameLocks/>
            </wp:cNvGraphicFramePr>
            <a:graphic>
              <a:graphicData uri="http://schemas.openxmlformats.org/drawingml/2006/picture">
                <pic:pic>
                  <pic:nvPicPr>
                    <pic:cNvPr id="211" name="Image 211"/>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長照機構內，長者的藥物來源多樣，包括醫院、診所，以及家屬自備的保健</w:t>
      </w:r>
      <w:r>
        <w:rPr>
          <w:spacing w:val="-5"/>
        </w:rPr>
        <w:t>食品等。為了集中管理，護理人員需手動將所有藥物資訊輸入 </w:t>
      </w:r>
      <w:r>
        <w:rPr>
          <w:rFonts w:ascii="Times New Roman" w:eastAsia="Times New Roman"/>
          <w:spacing w:val="-4"/>
        </w:rPr>
        <w:t>Ucare</w:t>
      </w:r>
      <w:r>
        <w:rPr>
          <w:rFonts w:ascii="Times New Roman" w:eastAsia="Times New Roman"/>
          <w:spacing w:val="-11"/>
        </w:rPr>
        <w:t> </w:t>
      </w:r>
      <w:r>
        <w:rPr>
          <w:spacing w:val="-4"/>
        </w:rPr>
        <w:t>系統。此事件讓諾亞克發現，醫療產業中，傳統供應鏈和服務鏈條往往各自獨立，藥局、醫療機構、療養院及居家照護等環節缺乏有效協同，導致運營效率低下，患者體驗不佳。因此，構建一個涵蓋藥品供應、長期照護與健康管理的整合服務模式，不</w:t>
      </w:r>
      <w:r>
        <w:rPr>
          <w:spacing w:val="-2"/>
        </w:rPr>
        <w:t>僅可以促進市場中各類醫療服務提供者的協同合作，還能通過標準化的服務流</w:t>
      </w:r>
      <w:r>
        <w:rPr>
          <w:spacing w:val="-4"/>
        </w:rPr>
        <w:t>程，將這一模式快速複製到不同市場。這將提升運營效率與患者滿意度，並促進</w:t>
      </w:r>
      <w:r>
        <w:rPr>
          <w:spacing w:val="-2"/>
        </w:rPr>
        <w:t>醫療生態系統的可持續發展。</w:t>
      </w:r>
    </w:p>
    <w:p>
      <w:pPr>
        <w:pStyle w:val="BodyText"/>
        <w:spacing w:line="422" w:lineRule="auto" w:before="99"/>
        <w:ind w:right="683" w:firstLine="479"/>
      </w:pPr>
      <w:r>
        <w:rPr>
          <w:spacing w:val="-6"/>
        </w:rPr>
        <w:t>此外，這類數位化機會不限於台灣市場，亦能應用於如美國等挑戰性更高的</w:t>
      </w:r>
      <w:r>
        <w:rPr>
          <w:spacing w:val="-4"/>
        </w:rPr>
        <w:t>市場。由於美國地廣人稀，醫療資源取得相對困難，對藥局與居家健康管理間的</w:t>
      </w:r>
      <w:r>
        <w:rPr>
          <w:spacing w:val="-2"/>
        </w:rPr>
        <w:t>緊密連接需求更為迫切，這也賦予數位化系統在美國市場更大的發展潛力。</w:t>
      </w:r>
    </w:p>
    <w:p>
      <w:pPr>
        <w:spacing w:line="405" w:lineRule="auto" w:before="95"/>
        <w:ind w:left="1701" w:right="1695" w:firstLine="480"/>
        <w:jc w:val="both"/>
        <w:rPr>
          <w:sz w:val="25"/>
        </w:rPr>
      </w:pPr>
      <w:r>
        <w:rPr>
          <w:spacing w:val="-8"/>
          <w:sz w:val="25"/>
        </w:rPr>
        <w:t>「在耗材業務上，我們的運作模式確實是如此</w:t>
      </w:r>
      <w:r>
        <w:rPr>
          <w:rFonts w:ascii="Times New Roman" w:hAnsi="Times New Roman" w:eastAsia="Times New Roman"/>
          <w:i/>
          <w:spacing w:val="-8"/>
          <w:sz w:val="24"/>
        </w:rPr>
        <w:t>——</w:t>
      </w:r>
      <w:r>
        <w:rPr>
          <w:spacing w:val="-8"/>
          <w:sz w:val="25"/>
        </w:rPr>
        <w:t>從第</w:t>
      </w:r>
      <w:r>
        <w:rPr>
          <w:spacing w:val="-12"/>
          <w:sz w:val="25"/>
        </w:rPr>
        <w:t>一間到第二間、再到第三間，主要是將我們過去的經驗直接複製過去。現在在藥局業務方面，我們的操作方式也是相同</w:t>
      </w:r>
      <w:r>
        <w:rPr>
          <w:spacing w:val="-6"/>
          <w:sz w:val="25"/>
        </w:rPr>
        <w:t>的。就像剛才提到的，藥局使用的系統大多是 </w:t>
      </w:r>
      <w:r>
        <w:rPr>
          <w:rFonts w:ascii="Times New Roman" w:hAnsi="Times New Roman" w:eastAsia="Times New Roman"/>
          <w:i/>
          <w:spacing w:val="-4"/>
          <w:sz w:val="24"/>
        </w:rPr>
        <w:t>POS</w:t>
      </w:r>
      <w:r>
        <w:rPr>
          <w:rFonts w:ascii="Times New Roman" w:hAnsi="Times New Roman" w:eastAsia="Times New Roman"/>
          <w:i/>
          <w:spacing w:val="-11"/>
          <w:sz w:val="24"/>
        </w:rPr>
        <w:t> </w:t>
      </w:r>
      <w:r>
        <w:rPr>
          <w:spacing w:val="-4"/>
          <w:sz w:val="25"/>
        </w:rPr>
        <w:t>系統、</w:t>
      </w:r>
      <w:r>
        <w:rPr>
          <w:spacing w:val="-10"/>
          <w:sz w:val="25"/>
        </w:rPr>
        <w:t>處方用藥系統、</w:t>
      </w:r>
      <w:r>
        <w:rPr>
          <w:rFonts w:ascii="Times New Roman" w:hAnsi="Times New Roman" w:eastAsia="Times New Roman"/>
          <w:i/>
          <w:spacing w:val="-10"/>
          <w:sz w:val="24"/>
        </w:rPr>
        <w:t>ERP</w:t>
      </w:r>
      <w:r>
        <w:rPr>
          <w:rFonts w:ascii="Times New Roman" w:hAnsi="Times New Roman" w:eastAsia="Times New Roman"/>
          <w:i/>
          <w:spacing w:val="-5"/>
          <w:sz w:val="24"/>
        </w:rPr>
        <w:t> </w:t>
      </w:r>
      <w:r>
        <w:rPr>
          <w:spacing w:val="-10"/>
          <w:sz w:val="25"/>
        </w:rPr>
        <w:t>系統，甚至一些特定的管理系統，不同</w:t>
      </w:r>
      <w:r>
        <w:rPr>
          <w:spacing w:val="-12"/>
          <w:sz w:val="25"/>
        </w:rPr>
        <w:t>藥局之間基本上使用的系統差異不大。因此，只要我們完成自家藥局的整合，就有能力幫助台灣超過一半的藥局進行數</w:t>
      </w:r>
      <w:r>
        <w:rPr>
          <w:spacing w:val="-24"/>
          <w:sz w:val="25"/>
        </w:rPr>
        <w:t>位轉型。」</w:t>
      </w:r>
      <w:r>
        <w:rPr>
          <w:sz w:val="25"/>
        </w:rPr>
        <w:t>（林恩宇研發副總，</w:t>
      </w:r>
      <w:r>
        <w:rPr>
          <w:rFonts w:ascii="Times New Roman" w:hAnsi="Times New Roman" w:eastAsia="Times New Roman"/>
          <w:i/>
          <w:sz w:val="24"/>
        </w:rPr>
        <w:t>2023</w:t>
      </w:r>
      <w:r>
        <w:rPr>
          <w:rFonts w:ascii="Times New Roman" w:hAnsi="Times New Roman" w:eastAsia="Times New Roman"/>
          <w:i/>
          <w:spacing w:val="-15"/>
          <w:sz w:val="24"/>
        </w:rPr>
        <w:t> </w:t>
      </w:r>
      <w:r>
        <w:rPr>
          <w:sz w:val="25"/>
        </w:rPr>
        <w:t>訪談資料）</w:t>
      </w:r>
    </w:p>
    <w:p>
      <w:pPr>
        <w:spacing w:after="0" w:line="405" w:lineRule="auto"/>
        <w:jc w:val="both"/>
        <w:rPr>
          <w:sz w:val="25"/>
        </w:rPr>
        <w:sectPr>
          <w:pgSz w:w="11910" w:h="16840"/>
          <w:pgMar w:header="0" w:footer="1197" w:top="1800" w:bottom="1380" w:left="1133" w:right="1133"/>
        </w:sectPr>
      </w:pPr>
    </w:p>
    <w:p>
      <w:pPr>
        <w:pStyle w:val="Heading3"/>
        <w:spacing w:line="448" w:lineRule="exact" w:before="0"/>
        <w:rPr>
          <w:position w:val="1"/>
        </w:rPr>
      </w:pPr>
      <w:r>
        <w:rPr>
          <w:b w:val="0"/>
        </w:rPr>
        <w:drawing>
          <wp:inline distT="0" distB="0" distL="0" distR="0">
            <wp:extent cx="529590" cy="130301"/>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109"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市場跨界資源行動</w:t>
      </w:r>
    </w:p>
    <w:p>
      <w:pPr>
        <w:pStyle w:val="Heading4"/>
        <w:spacing w:before="339"/>
      </w:pPr>
      <w:r>
        <w:rPr>
          <w:spacing w:val="-1"/>
        </w:rPr>
        <w:t>提出「醫藥養生態圈」的願景</w:t>
      </w:r>
    </w:p>
    <w:p>
      <w:pPr>
        <w:pStyle w:val="BodyText"/>
        <w:spacing w:line="422" w:lineRule="auto" w:before="358"/>
        <w:ind w:right="686" w:firstLine="479"/>
      </w:pPr>
      <w:r>
        <w:rPr>
          <w:spacing w:val="-6"/>
        </w:rPr>
        <w:t>諾亞克核心願景是構建一個整合藥局、醫療院所、療養院，以及居家與長照機構的一站式服務體系，這一模式致力於消除傳統醫療供應鏈各環節間的隔閡，</w:t>
      </w:r>
      <w:r>
        <w:rPr>
          <w:spacing w:val="-2"/>
        </w:rPr>
        <w:t>實現高度連續性的健康管理，最終達成「醫藥養生態圈」的整合目標。</w:t>
      </w:r>
    </w:p>
    <w:p>
      <w:pPr>
        <w:pStyle w:val="BodyText"/>
        <w:spacing w:line="422" w:lineRule="auto" w:before="105"/>
        <w:ind w:right="685" w:firstLine="479"/>
      </w:pPr>
      <w:r>
        <w:rPr>
          <w:spacing w:val="-2"/>
        </w:rPr>
        <w:t>為達成上述目標，諾亞克計劃將其在長照和醫療耗材領域的經驗與能力延伸至醫藥產業，這些服務將通過 </w:t>
      </w:r>
      <w:r>
        <w:rPr>
          <w:rFonts w:ascii="Times New Roman" w:eastAsia="Times New Roman"/>
        </w:rPr>
        <w:t>ERP</w:t>
      </w:r>
      <w:r>
        <w:rPr>
          <w:rFonts w:ascii="Times New Roman" w:eastAsia="Times New Roman"/>
          <w:spacing w:val="-15"/>
        </w:rPr>
        <w:t> </w:t>
      </w:r>
      <w:r>
        <w:rPr/>
        <w:t>系統進行統一管理與支付追蹤，實現整體</w:t>
      </w:r>
      <w:r>
        <w:rPr>
          <w:spacing w:val="-2"/>
        </w:rPr>
        <w:t>流程的數位化和便利化，致力於成為「醫療保健產業的 </w:t>
      </w:r>
      <w:r>
        <w:rPr>
          <w:rFonts w:ascii="Times New Roman" w:eastAsia="Times New Roman"/>
        </w:rPr>
        <w:t>Amazon</w:t>
      </w:r>
      <w:r>
        <w:rPr>
          <w:spacing w:val="-120"/>
        </w:rPr>
        <w:t>」。</w:t>
      </w:r>
    </w:p>
    <w:p>
      <w:pPr>
        <w:pStyle w:val="BodyText"/>
        <w:spacing w:line="422" w:lineRule="auto" w:before="105"/>
        <w:ind w:right="682" w:firstLine="479"/>
      </w:pPr>
      <w:r>
        <w:rPr/>
        <w:drawing>
          <wp:anchor distT="0" distB="0" distL="0" distR="0" allowOverlap="1" layoutInCell="1" locked="0" behindDoc="1" simplePos="0" relativeHeight="485821440">
            <wp:simplePos x="0" y="0"/>
            <wp:positionH relativeFrom="page">
              <wp:posOffset>3312414</wp:posOffset>
            </wp:positionH>
            <wp:positionV relativeFrom="paragraph">
              <wp:posOffset>524643</wp:posOffset>
            </wp:positionV>
            <wp:extent cx="929640" cy="978408"/>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除了台灣市場，諾亞克的下一步是將這些經驗和生態系統模式擴展至美國市場。由於美國地廣人稀，醫療資源的獲取存在諸多困難，因此 </w:t>
      </w:r>
      <w:r>
        <w:rPr>
          <w:rFonts w:ascii="Times New Roman" w:eastAsia="Times New Roman"/>
        </w:rPr>
        <w:t>B2C</w:t>
      </w:r>
      <w:r>
        <w:rPr>
          <w:rFonts w:ascii="Times New Roman" w:eastAsia="Times New Roman"/>
          <w:spacing w:val="-15"/>
        </w:rPr>
        <w:t> </w:t>
      </w:r>
      <w:r>
        <w:rPr/>
        <w:t>醫療網絡</w:t>
      </w:r>
      <w:r>
        <w:rPr>
          <w:spacing w:val="-4"/>
        </w:rPr>
        <w:t>的需求比台灣更高。憑藉在台灣成功實施的數位化升級與整合經驗，諾亞克計劃以此為範本，將台灣的成功經驗應用於美國市場，實現更高的整體效率與服務覆</w:t>
      </w:r>
      <w:r>
        <w:rPr>
          <w:spacing w:val="-6"/>
        </w:rPr>
        <w:t>蓋。</w:t>
      </w:r>
    </w:p>
    <w:p>
      <w:pPr>
        <w:spacing w:line="405" w:lineRule="auto" w:before="92"/>
        <w:ind w:left="1701" w:right="1580" w:firstLine="480"/>
        <w:jc w:val="both"/>
        <w:rPr>
          <w:sz w:val="25"/>
        </w:rPr>
      </w:pPr>
      <w:r>
        <w:rPr>
          <w:spacing w:val="-6"/>
          <w:sz w:val="25"/>
        </w:rPr>
        <w:t>「健康是近十年來百家爭鳴的產業，要在其中嶄露頭角需要有實績。諾亞克已達成第一步目標，站穩長照資訊產業</w:t>
      </w:r>
      <w:r>
        <w:rPr>
          <w:spacing w:val="-18"/>
          <w:sz w:val="25"/>
        </w:rPr>
        <w:t>圈，下一步是鞏固醫藥產業，再深化「大健康生態圈」，最終</w:t>
      </w:r>
      <w:r>
        <w:rPr>
          <w:spacing w:val="-19"/>
          <w:sz w:val="25"/>
        </w:rPr>
        <w:t>達成「醫藥養」整合。」</w:t>
      </w:r>
      <w:r>
        <w:rPr>
          <w:spacing w:val="-8"/>
          <w:sz w:val="25"/>
        </w:rPr>
        <w:t>（</w:t>
      </w:r>
      <w:r>
        <w:rPr>
          <w:spacing w:val="-10"/>
          <w:sz w:val="25"/>
        </w:rPr>
        <w:t>劉禹辰 數據長，</w:t>
      </w:r>
      <w:r>
        <w:rPr>
          <w:rFonts w:ascii="Times New Roman" w:eastAsia="Times New Roman"/>
          <w:i/>
          <w:spacing w:val="-8"/>
          <w:sz w:val="24"/>
        </w:rPr>
        <w:t>2024</w:t>
      </w:r>
      <w:r>
        <w:rPr>
          <w:rFonts w:ascii="Times New Roman" w:eastAsia="Times New Roman"/>
          <w:i/>
          <w:spacing w:val="45"/>
          <w:sz w:val="24"/>
        </w:rPr>
        <w:t> </w:t>
      </w:r>
      <w:r>
        <w:rPr>
          <w:spacing w:val="-8"/>
          <w:sz w:val="25"/>
        </w:rPr>
        <w:t>訪談資料</w:t>
      </w:r>
      <w:r>
        <w:rPr>
          <w:spacing w:val="-13"/>
          <w:sz w:val="25"/>
        </w:rPr>
        <w:t>）</w:t>
      </w:r>
    </w:p>
    <w:p>
      <w:pPr>
        <w:spacing w:line="405" w:lineRule="auto" w:before="103"/>
        <w:ind w:left="1701" w:right="1700" w:firstLine="480"/>
        <w:jc w:val="both"/>
        <w:rPr>
          <w:sz w:val="25"/>
        </w:rPr>
      </w:pPr>
      <w:r>
        <w:rPr>
          <w:spacing w:val="-12"/>
          <w:sz w:val="25"/>
        </w:rPr>
        <w:t>「除了長照這個領域，我們其實一直思考的是怎麼樣在</w:t>
      </w:r>
      <w:r>
        <w:rPr>
          <w:spacing w:val="-4"/>
          <w:sz w:val="25"/>
        </w:rPr>
        <w:t>大健康的這個領域做更多的事情</w:t>
      </w:r>
      <w:r>
        <w:rPr>
          <w:rFonts w:ascii="Times New Roman" w:eastAsia="Times New Roman"/>
          <w:spacing w:val="74"/>
          <w:w w:val="150"/>
          <w:sz w:val="25"/>
        </w:rPr>
        <w:t>  </w:t>
      </w:r>
      <w:r>
        <w:rPr>
          <w:spacing w:val="-5"/>
          <w:sz w:val="25"/>
        </w:rPr>
        <w:t>我們希望在醫藥養，這</w:t>
      </w:r>
    </w:p>
    <w:p>
      <w:pPr>
        <w:spacing w:line="405" w:lineRule="auto" w:before="0"/>
        <w:ind w:left="1701" w:right="1580" w:firstLine="0"/>
        <w:jc w:val="left"/>
        <w:rPr>
          <w:sz w:val="25"/>
        </w:rPr>
      </w:pPr>
      <w:r>
        <w:rPr>
          <w:spacing w:val="-22"/>
          <w:sz w:val="25"/>
        </w:rPr>
        <w:t>三個領域都分別有一些的耕耘，在 </w:t>
      </w:r>
      <w:r>
        <w:rPr>
          <w:rFonts w:ascii="Times New Roman" w:eastAsia="Times New Roman"/>
          <w:i/>
          <w:spacing w:val="-10"/>
          <w:sz w:val="24"/>
        </w:rPr>
        <w:t>2023</w:t>
      </w:r>
      <w:r>
        <w:rPr>
          <w:rFonts w:ascii="Times New Roman" w:eastAsia="Times New Roman"/>
          <w:i/>
          <w:spacing w:val="-5"/>
          <w:sz w:val="24"/>
        </w:rPr>
        <w:t> </w:t>
      </w:r>
      <w:r>
        <w:rPr>
          <w:spacing w:val="-22"/>
          <w:sz w:val="25"/>
        </w:rPr>
        <w:t>年我們先選擇了「藥」</w:t>
      </w:r>
      <w:r>
        <w:rPr>
          <w:spacing w:val="-10"/>
          <w:sz w:val="25"/>
        </w:rPr>
        <w:t>的這個賽道去來開始耕耘，所以去併購這個藥局。</w:t>
      </w:r>
      <w:r>
        <w:rPr>
          <w:spacing w:val="-161"/>
          <w:sz w:val="25"/>
        </w:rPr>
        <w:t>」</w:t>
      </w:r>
      <w:r>
        <w:rPr>
          <w:spacing w:val="-10"/>
          <w:sz w:val="25"/>
        </w:rPr>
        <w:t>（沈家平</w:t>
      </w:r>
      <w:r>
        <w:rPr>
          <w:spacing w:val="-2"/>
          <w:sz w:val="25"/>
        </w:rPr>
        <w:t>執行長，天下雜誌資料）</w:t>
      </w:r>
    </w:p>
    <w:p>
      <w:pPr>
        <w:spacing w:after="0" w:line="405" w:lineRule="auto"/>
        <w:jc w:val="left"/>
        <w:rPr>
          <w:sz w:val="25"/>
        </w:rPr>
        <w:sectPr>
          <w:pgSz w:w="11910" w:h="16840"/>
          <w:pgMar w:header="0" w:footer="1197" w:top="1820" w:bottom="1380" w:left="1133" w:right="1133"/>
        </w:sectPr>
      </w:pPr>
    </w:p>
    <w:p>
      <w:pPr>
        <w:pStyle w:val="Heading2"/>
        <w:spacing w:line="500" w:lineRule="exact"/>
        <w:rPr>
          <w:position w:val="1"/>
        </w:rPr>
      </w:pPr>
      <w:r>
        <w:rPr>
          <w:b w:val="0"/>
        </w:rPr>
        <w:drawing>
          <wp:inline distT="0" distB="0" distL="0" distR="0">
            <wp:extent cx="398525" cy="145542"/>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110"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82" w:id="83"/>
      <w:bookmarkEnd w:id="83"/>
      <w:r>
        <w:rPr>
          <w:rFonts w:ascii="Times New Roman" w:eastAsia="Times New Roman"/>
          <w:b w:val="0"/>
          <w:spacing w:val="-24"/>
          <w:position w:val="1"/>
          <w:sz w:val="20"/>
        </w:rPr>
      </w:r>
      <w:r>
        <w:rPr>
          <w:spacing w:val="-2"/>
          <w:position w:val="1"/>
        </w:rPr>
        <w:t>藥局知識邊界</w:t>
      </w:r>
    </w:p>
    <w:p>
      <w:pPr>
        <w:pStyle w:val="Heading3"/>
        <w:rPr>
          <w:position w:val="1"/>
        </w:rPr>
      </w:pPr>
      <w:r>
        <w:rPr>
          <w:b w:val="0"/>
        </w:rPr>
        <w:drawing>
          <wp:inline distT="0" distB="0" distL="0" distR="0">
            <wp:extent cx="529590" cy="130301"/>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111"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知識跨界探索</w:t>
      </w:r>
    </w:p>
    <w:p>
      <w:pPr>
        <w:pStyle w:val="Heading4"/>
        <w:spacing w:before="340"/>
      </w:pPr>
      <w:r>
        <w:rPr>
          <w:spacing w:val="-1"/>
        </w:rPr>
        <w:t>疫情與人力吃緊無法做調研</w:t>
      </w:r>
    </w:p>
    <w:p>
      <w:pPr>
        <w:pStyle w:val="BodyText"/>
        <w:spacing w:line="422" w:lineRule="auto" w:before="358"/>
        <w:ind w:right="683" w:firstLine="479"/>
      </w:pPr>
      <w:r>
        <w:rPr/>
        <w:drawing>
          <wp:anchor distT="0" distB="0" distL="0" distR="0" allowOverlap="1" layoutInCell="1" locked="0" behindDoc="1" simplePos="0" relativeHeight="485821952">
            <wp:simplePos x="0" y="0"/>
            <wp:positionH relativeFrom="page">
              <wp:posOffset>3312414</wp:posOffset>
            </wp:positionH>
            <wp:positionV relativeFrom="paragraph">
              <wp:posOffset>2308972</wp:posOffset>
            </wp:positionV>
            <wp:extent cx="929640" cy="978408"/>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最初在考慮開發藥局系統時，諾亞克公司就擔心再次經歷從零開始的創業</w:t>
      </w:r>
      <w:r>
        <w:rPr>
          <w:spacing w:val="-4"/>
        </w:rPr>
        <w:t>挑戰。按照以往的方法，新系統的開發需要逐一拜訪潛在客戶，並邀請他們協助測試或接受訪談。然而，這種方式對公司有限的人力和資源形成了巨大壓力。此</w:t>
      </w:r>
      <w:r>
        <w:rPr>
          <w:spacing w:val="-4"/>
        </w:rPr>
        <w:t>外，在拓展藥局市場的過程中，正值疫情期間，客戶對外部訪客的接觸保持高度謹慎，導致許多藥局拒絕參與調研活動。同時，人力資源的緊張也使藥局員工無</w:t>
      </w:r>
      <w:r>
        <w:rPr>
          <w:spacing w:val="-2"/>
        </w:rPr>
        <w:t>法抽出時間配合系統測試或訪談，進一步加劇了這些挑戰。</w:t>
      </w:r>
    </w:p>
    <w:p>
      <w:pPr>
        <w:pStyle w:val="BodyText"/>
        <w:spacing w:line="422" w:lineRule="auto" w:before="101"/>
        <w:ind w:right="469" w:firstLine="479"/>
        <w:jc w:val="left"/>
      </w:pPr>
      <w:r>
        <w:rPr>
          <w:spacing w:val="-2"/>
        </w:rPr>
        <w:t>這些因素使得傳統市場調研模式難以實施，限制了對市場需求的了解，也拖</w:t>
      </w:r>
      <w:r>
        <w:rPr>
          <w:spacing w:val="-6"/>
        </w:rPr>
        <w:t>延了新系統的開發進程。在這種現實困境下，諾亞克需要減少對外部場域的依賴，</w:t>
      </w:r>
      <w:r>
        <w:rPr>
          <w:spacing w:val="-2"/>
        </w:rPr>
        <w:t>探索新的調研與驗證方式，以克服現有障礙並推動系統開發的進展。</w:t>
      </w:r>
    </w:p>
    <w:p>
      <w:pPr>
        <w:spacing w:line="405" w:lineRule="auto" w:before="95"/>
        <w:ind w:left="1701" w:right="1461" w:firstLine="480"/>
        <w:jc w:val="left"/>
        <w:rPr>
          <w:sz w:val="25"/>
        </w:rPr>
      </w:pPr>
      <w:r>
        <w:rPr>
          <w:spacing w:val="-4"/>
          <w:sz w:val="25"/>
        </w:rPr>
        <w:t>「如果重新開發系統，還需要逐一拜訪客戶，請他們試</w:t>
      </w:r>
      <w:r>
        <w:rPr>
          <w:spacing w:val="-4"/>
          <w:sz w:val="25"/>
        </w:rPr>
        <w:t> </w:t>
      </w:r>
      <w:r>
        <w:rPr>
          <w:spacing w:val="-12"/>
          <w:sz w:val="25"/>
        </w:rPr>
        <w:t>用或進行訪談，這對我們公司的現有能力來說是過於負荷的。</w:t>
      </w:r>
      <w:r>
        <w:rPr>
          <w:spacing w:val="-9"/>
          <w:sz w:val="25"/>
        </w:rPr>
        <w:t>因為現在很多客戶不太願意配合，一部分原因是 </w:t>
      </w:r>
      <w:r>
        <w:rPr>
          <w:rFonts w:ascii="Times New Roman" w:eastAsia="Times New Roman"/>
          <w:i/>
          <w:spacing w:val="-8"/>
          <w:sz w:val="24"/>
        </w:rPr>
        <w:t>COVID</w:t>
      </w:r>
      <w:r>
        <w:rPr>
          <w:rFonts w:ascii="Times New Roman" w:eastAsia="Times New Roman"/>
          <w:i/>
          <w:spacing w:val="21"/>
          <w:sz w:val="24"/>
        </w:rPr>
        <w:t> </w:t>
      </w:r>
      <w:r>
        <w:rPr>
          <w:spacing w:val="-8"/>
          <w:sz w:val="25"/>
        </w:rPr>
        <w:t>的影</w:t>
      </w:r>
      <w:r>
        <w:rPr>
          <w:spacing w:val="-12"/>
          <w:sz w:val="25"/>
        </w:rPr>
        <w:t>響，另一部分是近兩三年人力資源短缺，客戶實在無法投入多</w:t>
      </w:r>
      <w:r>
        <w:rPr>
          <w:spacing w:val="-24"/>
          <w:sz w:val="25"/>
        </w:rPr>
        <w:t>餘人力。」</w:t>
      </w:r>
      <w:r>
        <w:rPr>
          <w:sz w:val="25"/>
        </w:rPr>
        <w:t>（林恩宇研發副總，</w:t>
      </w:r>
      <w:r>
        <w:rPr>
          <w:rFonts w:ascii="Times New Roman" w:eastAsia="Times New Roman"/>
          <w:i/>
          <w:sz w:val="24"/>
        </w:rPr>
        <w:t>2024</w:t>
      </w:r>
      <w:r>
        <w:rPr>
          <w:rFonts w:ascii="Times New Roman" w:eastAsia="Times New Roman"/>
          <w:i/>
          <w:spacing w:val="-15"/>
          <w:sz w:val="24"/>
        </w:rPr>
        <w:t> </w:t>
      </w:r>
      <w:r>
        <w:rPr>
          <w:sz w:val="25"/>
        </w:rPr>
        <w:t>訪談資料）</w:t>
      </w:r>
    </w:p>
    <w:p>
      <w:pPr>
        <w:pStyle w:val="Heading3"/>
        <w:spacing w:before="77"/>
        <w:rPr>
          <w:position w:val="1"/>
        </w:rPr>
      </w:pPr>
      <w:r>
        <w:rPr>
          <w:b w:val="0"/>
        </w:rPr>
        <w:drawing>
          <wp:inline distT="0" distB="0" distL="0" distR="0">
            <wp:extent cx="529590" cy="130301"/>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112"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知識邊界之資源行動</w:t>
      </w:r>
    </w:p>
    <w:p>
      <w:pPr>
        <w:pStyle w:val="Heading4"/>
        <w:spacing w:before="341"/>
      </w:pPr>
      <w:r>
        <w:rPr>
          <w:spacing w:val="-1"/>
        </w:rPr>
        <w:t>投資春天藥局，了解藥事專業知識</w:t>
      </w:r>
    </w:p>
    <w:p>
      <w:pPr>
        <w:pStyle w:val="BodyText"/>
        <w:spacing w:line="422" w:lineRule="auto" w:before="345"/>
        <w:ind w:right="682" w:firstLine="479"/>
      </w:pPr>
      <w:r>
        <w:rPr>
          <w:spacing w:val="-2"/>
        </w:rPr>
        <w:t>諾亞克的成長很大程度上依賴於併購策略，這源於健康和醫療產業對信任</w:t>
      </w:r>
      <w:r>
        <w:rPr>
          <w:spacing w:val="-4"/>
        </w:rPr>
        <w:t>的高度依賴。在這些領域，單憑自身力量直接進入市場成功的可能性較低。透過</w:t>
      </w:r>
      <w:r>
        <w:rPr>
          <w:spacing w:val="-1"/>
        </w:rPr>
        <w:t>併購現有市場的合作夥伴，諾亞克能夠借助對方的影響力和資源快速切入市場</w:t>
      </w:r>
    </w:p>
    <w:p>
      <w:pPr>
        <w:pStyle w:val="BodyText"/>
        <w:spacing w:after="0" w:line="422" w:lineRule="auto"/>
        <w:sectPr>
          <w:pgSz w:w="11910" w:h="16840"/>
          <w:pgMar w:header="0" w:footer="1197" w:top="1800" w:bottom="1380" w:left="1133" w:right="1133"/>
        </w:sectPr>
      </w:pPr>
    </w:p>
    <w:p>
      <w:pPr>
        <w:pStyle w:val="BodyText"/>
        <w:spacing w:line="422" w:lineRule="auto" w:before="27"/>
        <w:ind w:right="683"/>
        <w:jc w:val="left"/>
      </w:pPr>
      <w:r>
        <w:rPr>
          <w:spacing w:val="-4"/>
        </w:rPr>
        <w:t>並獲得信任。在決定併購對象或尋求合作之前，諾亞克進行了深入研究，充分了</w:t>
      </w:r>
      <w:r>
        <w:rPr>
          <w:spacing w:val="-7"/>
        </w:rPr>
        <w:t>解潛在合作對象的運營狀況和市場背景，確保能夠建立緊密且有效的合作關係。</w:t>
      </w:r>
    </w:p>
    <w:p>
      <w:pPr>
        <w:pStyle w:val="BodyText"/>
        <w:spacing w:line="422" w:lineRule="auto" w:before="105"/>
        <w:ind w:right="683" w:firstLine="479"/>
      </w:pPr>
      <w:r>
        <w:rPr>
          <w:spacing w:val="-5"/>
        </w:rPr>
        <w:t>作為策略的一部分，諾亞克選擇投資春天藥局，持有其 </w:t>
      </w:r>
      <w:r>
        <w:rPr>
          <w:rFonts w:ascii="Times New Roman" w:eastAsia="Times New Roman"/>
          <w:spacing w:val="-4"/>
        </w:rPr>
        <w:t>47.5%</w:t>
      </w:r>
      <w:r>
        <w:rPr>
          <w:spacing w:val="-4"/>
        </w:rPr>
        <w:t>的股份，以此深入了解藥局數位化整合過程中的服務缺口。通過這次合作，諾亞克快速掌握了藥局業務中的關鍵概念，例如「計庫」制度。在傳統的庫存管理中，庫存成本通常等同於倉庫中現有物資的價值。然而，藥局的「計庫」制度不同，指的是客戶已支付藥款但藥品仍保留在藥局，物資的所有權已轉移至客戶。這一制度對庫存</w:t>
      </w:r>
      <w:r>
        <w:rPr>
          <w:spacing w:val="-2"/>
        </w:rPr>
        <w:t>管理提出了不同於一般商品管理的要求，為諾亞克帶來了全新的學習經驗。</w:t>
      </w:r>
    </w:p>
    <w:p>
      <w:pPr>
        <w:spacing w:line="405" w:lineRule="auto" w:before="91"/>
        <w:ind w:left="1701" w:right="1692" w:firstLine="480"/>
        <w:jc w:val="both"/>
        <w:rPr>
          <w:sz w:val="25"/>
        </w:rPr>
      </w:pPr>
      <w:r>
        <w:rPr>
          <w:sz w:val="25"/>
        </w:rPr>
        <w:drawing>
          <wp:anchor distT="0" distB="0" distL="0" distR="0" allowOverlap="1" layoutInCell="1" locked="0" behindDoc="1" simplePos="0" relativeHeight="485822464">
            <wp:simplePos x="0" y="0"/>
            <wp:positionH relativeFrom="page">
              <wp:posOffset>3312414</wp:posOffset>
            </wp:positionH>
            <wp:positionV relativeFrom="paragraph">
              <wp:posOffset>865631</wp:posOffset>
            </wp:positionV>
            <wp:extent cx="929640" cy="978408"/>
            <wp:effectExtent l="0" t="0" r="0" b="0"/>
            <wp:wrapNone/>
            <wp:docPr id="218" name="Image 218"/>
            <wp:cNvGraphicFramePr>
              <a:graphicFrameLocks/>
            </wp:cNvGraphicFramePr>
            <a:graphic>
              <a:graphicData uri="http://schemas.openxmlformats.org/drawingml/2006/picture">
                <pic:pic>
                  <pic:nvPicPr>
                    <pic:cNvPr id="218" name="Image 218"/>
                    <pic:cNvPicPr/>
                  </pic:nvPicPr>
                  <pic:blipFill>
                    <a:blip r:embed="rId6" cstate="print"/>
                    <a:stretch>
                      <a:fillRect/>
                    </a:stretch>
                  </pic:blipFill>
                  <pic:spPr>
                    <a:xfrm>
                      <a:off x="0" y="0"/>
                      <a:ext cx="929640" cy="978408"/>
                    </a:xfrm>
                    <a:prstGeom prst="rect">
                      <a:avLst/>
                    </a:prstGeom>
                  </pic:spPr>
                </pic:pic>
              </a:graphicData>
            </a:graphic>
          </wp:anchor>
        </w:drawing>
      </w:r>
      <w:r>
        <w:rPr>
          <w:spacing w:val="-10"/>
          <w:sz w:val="25"/>
        </w:rPr>
        <w:t>「併購的這些場域之後，其實他們原本經營團隊我們都</w:t>
      </w:r>
      <w:r>
        <w:rPr>
          <w:spacing w:val="-8"/>
          <w:sz w:val="25"/>
        </w:rPr>
        <w:t>沒有動，我們只是去從 </w:t>
      </w:r>
      <w:r>
        <w:rPr>
          <w:rFonts w:ascii="Times New Roman" w:eastAsia="Times New Roman"/>
          <w:i/>
          <w:spacing w:val="-6"/>
          <w:sz w:val="24"/>
        </w:rPr>
        <w:t>IT </w:t>
      </w:r>
      <w:r>
        <w:rPr>
          <w:spacing w:val="-6"/>
          <w:sz w:val="25"/>
        </w:rPr>
        <w:t>角度去看說怎麼去提高他們的效</w:t>
      </w:r>
      <w:r>
        <w:rPr>
          <w:spacing w:val="-2"/>
          <w:sz w:val="25"/>
        </w:rPr>
        <w:t>率？怎麼去幫他們把他們的資料整起來？他們才能夠更好</w:t>
      </w:r>
      <w:r>
        <w:rPr>
          <w:spacing w:val="-10"/>
          <w:sz w:val="25"/>
        </w:rPr>
        <w:t>的去經營，然後把整個公司不管是在原本既有的資源下去達到一個更高的</w:t>
      </w:r>
      <w:r>
        <w:rPr>
          <w:rFonts w:ascii="Times New Roman" w:eastAsia="Times New Roman"/>
          <w:i/>
          <w:spacing w:val="-10"/>
          <w:sz w:val="24"/>
        </w:rPr>
        <w:t>revenue</w:t>
      </w:r>
      <w:r>
        <w:rPr>
          <w:spacing w:val="-10"/>
          <w:sz w:val="25"/>
        </w:rPr>
        <w:t>，或是說創造更好的利潤，那個是我們</w:t>
      </w:r>
      <w:r>
        <w:rPr>
          <w:spacing w:val="-17"/>
          <w:sz w:val="25"/>
        </w:rPr>
        <w:t>想要做的事情。」</w:t>
      </w:r>
      <w:r>
        <w:rPr>
          <w:spacing w:val="-2"/>
          <w:sz w:val="25"/>
        </w:rPr>
        <w:t>（林恩宇研發副總，</w:t>
      </w:r>
      <w:r>
        <w:rPr>
          <w:rFonts w:ascii="Times New Roman" w:eastAsia="Times New Roman"/>
          <w:i/>
          <w:spacing w:val="-2"/>
          <w:sz w:val="24"/>
        </w:rPr>
        <w:t>2024</w:t>
      </w:r>
      <w:r>
        <w:rPr>
          <w:rFonts w:ascii="Times New Roman" w:eastAsia="Times New Roman"/>
          <w:i/>
          <w:spacing w:val="-11"/>
          <w:sz w:val="24"/>
        </w:rPr>
        <w:t> </w:t>
      </w:r>
      <w:r>
        <w:rPr>
          <w:spacing w:val="-2"/>
          <w:sz w:val="25"/>
        </w:rPr>
        <w:t>訪談資料）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8525" cy="145542"/>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13"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83" w:id="84"/>
      <w:bookmarkEnd w:id="84"/>
      <w:r>
        <w:rPr>
          <w:rFonts w:ascii="Times New Roman" w:eastAsia="Times New Roman"/>
          <w:b w:val="0"/>
          <w:spacing w:val="-24"/>
          <w:position w:val="1"/>
          <w:sz w:val="20"/>
        </w:rPr>
      </w:r>
      <w:r>
        <w:rPr>
          <w:spacing w:val="-2"/>
          <w:position w:val="1"/>
        </w:rPr>
        <w:t>藥局技術邊界</w:t>
      </w:r>
    </w:p>
    <w:p>
      <w:pPr>
        <w:pStyle w:val="Heading3"/>
        <w:rPr>
          <w:position w:val="1"/>
        </w:rPr>
      </w:pPr>
      <w:r>
        <w:rPr>
          <w:b w:val="0"/>
        </w:rPr>
        <w:drawing>
          <wp:inline distT="0" distB="0" distL="0" distR="0">
            <wp:extent cx="529590" cy="130301"/>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114"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技術跨界探索</w:t>
      </w:r>
    </w:p>
    <w:p>
      <w:pPr>
        <w:pStyle w:val="Heading4"/>
        <w:spacing w:before="268"/>
        <w:ind w:left="689"/>
      </w:pPr>
      <w:r>
        <w:rPr/>
        <w:t>系統割裂導致 </w:t>
      </w:r>
      <w:r>
        <w:rPr>
          <w:rFonts w:ascii="Times New Roman" w:eastAsia="Times New Roman"/>
        </w:rPr>
        <w:t>POS </w:t>
      </w:r>
      <w:r>
        <w:rPr>
          <w:spacing w:val="-2"/>
        </w:rPr>
        <w:t>與處方管理無法串接</w:t>
      </w:r>
    </w:p>
    <w:p>
      <w:pPr>
        <w:pStyle w:val="BodyText"/>
        <w:spacing w:line="422" w:lineRule="auto" w:before="286"/>
        <w:ind w:right="683" w:firstLine="479"/>
      </w:pPr>
      <w:r>
        <w:rPr>
          <w:spacing w:val="-6"/>
        </w:rPr>
        <w:t>台灣藥局的技術邊界主要在於數位化程度不足與系統割裂的現象。目前，藥</w:t>
      </w:r>
      <w:r>
        <w:rPr>
          <w:spacing w:val="-5"/>
        </w:rPr>
        <w:t>局的自費商品 </w:t>
      </w:r>
      <w:r>
        <w:rPr>
          <w:rFonts w:ascii="Times New Roman" w:eastAsia="Times New Roman"/>
        </w:rPr>
        <w:t>POS</w:t>
      </w:r>
      <w:r>
        <w:rPr>
          <w:rFonts w:ascii="Times New Roman" w:eastAsia="Times New Roman"/>
          <w:spacing w:val="-15"/>
        </w:rPr>
        <w:t> </w:t>
      </w:r>
      <w:r>
        <w:rPr/>
        <w:t>系統和處方藥管理系統之間缺乏串接，這使得庫存管理面臨</w:t>
      </w:r>
      <w:r>
        <w:rPr>
          <w:spacing w:val="-4"/>
        </w:rPr>
        <w:t>挑戰，並且數據無法實現有效共享，導致運營效率低下和服務準確性不足。這些系統間缺乏整合，無法實現統一的庫存追蹤和高效的資源管理。因此，藥局在數位化升級和系統整合方面存在顯著的技術邊界，需要透過系統的整合與升級，來</w:t>
      </w:r>
      <w:r>
        <w:rPr>
          <w:spacing w:val="-2"/>
        </w:rPr>
        <w:t>提高其數位化能力，實現更精確和高效的運營。</w:t>
      </w:r>
    </w:p>
    <w:p>
      <w:pPr>
        <w:spacing w:line="405" w:lineRule="auto" w:before="91"/>
        <w:ind w:left="1701" w:right="1700" w:firstLine="480"/>
        <w:jc w:val="both"/>
        <w:rPr>
          <w:rFonts w:ascii="Times New Roman" w:eastAsia="Times New Roman"/>
          <w:i/>
          <w:sz w:val="24"/>
        </w:rPr>
      </w:pPr>
      <w:r>
        <w:rPr>
          <w:rFonts w:ascii="Times New Roman" w:eastAsia="Times New Roman"/>
          <w:i/>
          <w:sz w:val="24"/>
        </w:rPr>
        <w:drawing>
          <wp:anchor distT="0" distB="0" distL="0" distR="0" allowOverlap="1" layoutInCell="1" locked="0" behindDoc="1" simplePos="0" relativeHeight="485822976">
            <wp:simplePos x="0" y="0"/>
            <wp:positionH relativeFrom="page">
              <wp:posOffset>3312414</wp:posOffset>
            </wp:positionH>
            <wp:positionV relativeFrom="paragraph">
              <wp:posOffset>111110</wp:posOffset>
            </wp:positionV>
            <wp:extent cx="929640" cy="978408"/>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6" cstate="print"/>
                    <a:stretch>
                      <a:fillRect/>
                    </a:stretch>
                  </pic:blipFill>
                  <pic:spPr>
                    <a:xfrm>
                      <a:off x="0" y="0"/>
                      <a:ext cx="929640" cy="978408"/>
                    </a:xfrm>
                    <a:prstGeom prst="rect">
                      <a:avLst/>
                    </a:prstGeom>
                  </pic:spPr>
                </pic:pic>
              </a:graphicData>
            </a:graphic>
          </wp:anchor>
        </w:drawing>
      </w:r>
      <w:r>
        <w:rPr>
          <w:spacing w:val="-12"/>
          <w:sz w:val="25"/>
        </w:rPr>
        <w:t>「發現說他們的庫存很難精准，因為他們系統之間都沒</w:t>
      </w:r>
      <w:r>
        <w:rPr>
          <w:spacing w:val="-27"/>
          <w:sz w:val="25"/>
        </w:rPr>
        <w:t>有串接，包含他們的 </w:t>
      </w:r>
      <w:r>
        <w:rPr>
          <w:rFonts w:ascii="Times New Roman" w:eastAsia="Times New Roman"/>
          <w:i/>
          <w:spacing w:val="-16"/>
          <w:sz w:val="24"/>
        </w:rPr>
        <w:t>POS</w:t>
      </w:r>
      <w:r>
        <w:rPr>
          <w:rFonts w:ascii="Times New Roman" w:eastAsia="Times New Roman"/>
          <w:i/>
          <w:spacing w:val="11"/>
          <w:sz w:val="24"/>
        </w:rPr>
        <w:t> </w:t>
      </w:r>
      <w:r>
        <w:rPr>
          <w:spacing w:val="-29"/>
          <w:sz w:val="25"/>
        </w:rPr>
        <w:t>系統，到後面的這個處方用藥系統，</w:t>
      </w:r>
      <w:r>
        <w:rPr>
          <w:spacing w:val="-15"/>
          <w:sz w:val="25"/>
        </w:rPr>
        <w:t>到後面他們的 </w:t>
      </w:r>
      <w:r>
        <w:rPr>
          <w:rFonts w:ascii="Times New Roman" w:eastAsia="Times New Roman"/>
          <w:i/>
          <w:spacing w:val="-14"/>
          <w:sz w:val="24"/>
        </w:rPr>
        <w:t>ERP</w:t>
      </w:r>
      <w:r>
        <w:rPr>
          <w:rFonts w:ascii="Times New Roman" w:eastAsia="Times New Roman"/>
          <w:i/>
          <w:spacing w:val="-1"/>
          <w:sz w:val="24"/>
        </w:rPr>
        <w:t> </w:t>
      </w:r>
      <w:r>
        <w:rPr>
          <w:spacing w:val="-14"/>
          <w:sz w:val="25"/>
        </w:rPr>
        <w:t>系統全部都是分開的，所以他們資料是對</w:t>
      </w:r>
      <w:r>
        <w:rPr>
          <w:sz w:val="25"/>
        </w:rPr>
        <w:t>不起來。」</w:t>
      </w:r>
      <w:r>
        <w:rPr>
          <w:rFonts w:ascii="Times New Roman" w:eastAsia="Times New Roman"/>
          <w:i/>
          <w:sz w:val="24"/>
        </w:rPr>
        <w:t>(</w:t>
      </w:r>
      <w:r>
        <w:rPr>
          <w:sz w:val="25"/>
        </w:rPr>
        <w:t>林恩宇研發副總，</w:t>
      </w:r>
      <w:r>
        <w:rPr>
          <w:rFonts w:ascii="Times New Roman" w:eastAsia="Times New Roman"/>
          <w:i/>
          <w:sz w:val="24"/>
        </w:rPr>
        <w:t>2024</w:t>
      </w:r>
      <w:r>
        <w:rPr>
          <w:rFonts w:ascii="Times New Roman" w:eastAsia="Times New Roman"/>
          <w:i/>
          <w:spacing w:val="-12"/>
          <w:sz w:val="24"/>
        </w:rPr>
        <w:t> </w:t>
      </w:r>
      <w:r>
        <w:rPr>
          <w:sz w:val="25"/>
        </w:rPr>
        <w:t>訪談資料</w:t>
      </w:r>
      <w:r>
        <w:rPr>
          <w:rFonts w:ascii="Times New Roman" w:eastAsia="Times New Roman"/>
          <w:i/>
          <w:sz w:val="24"/>
        </w:rPr>
        <w:t>)</w:t>
      </w:r>
    </w:p>
    <w:p>
      <w:pPr>
        <w:pStyle w:val="Heading3"/>
        <w:spacing w:before="79"/>
        <w:rPr>
          <w:position w:val="1"/>
        </w:rPr>
      </w:pPr>
      <w:r>
        <w:rPr>
          <w:b w:val="0"/>
        </w:rPr>
        <w:drawing>
          <wp:inline distT="0" distB="0" distL="0" distR="0">
            <wp:extent cx="529590" cy="130301"/>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115"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技術邊界之資源行動</w:t>
      </w:r>
    </w:p>
    <w:p>
      <w:pPr>
        <w:pStyle w:val="Heading4"/>
        <w:spacing w:before="340"/>
      </w:pPr>
      <w:r>
        <w:rPr>
          <w:spacing w:val="-1"/>
        </w:rPr>
        <w:t>整合雙邊系統，改善藥局系統的資料整合與庫存管理</w:t>
      </w:r>
    </w:p>
    <w:p>
      <w:pPr>
        <w:pStyle w:val="BodyText"/>
        <w:spacing w:line="422" w:lineRule="auto" w:before="358"/>
        <w:ind w:right="682" w:firstLine="479"/>
      </w:pPr>
      <w:r>
        <w:rPr>
          <w:spacing w:val="-6"/>
        </w:rPr>
        <w:t>在拓展藥局市場的過程中，諾亞克必須克服藥局數位化程度不足的問題。藥</w:t>
      </w:r>
      <w:r>
        <w:rPr>
          <w:spacing w:val="-10"/>
        </w:rPr>
        <w:t>局的 </w:t>
      </w:r>
      <w:r>
        <w:rPr>
          <w:rFonts w:ascii="Times New Roman" w:eastAsia="Times New Roman"/>
        </w:rPr>
        <w:t>POS</w:t>
      </w:r>
      <w:r>
        <w:rPr>
          <w:rFonts w:ascii="Times New Roman" w:eastAsia="Times New Roman"/>
          <w:spacing w:val="-15"/>
        </w:rPr>
        <w:t> </w:t>
      </w:r>
      <w:r>
        <w:rPr/>
        <w:t>系統和處方藥管理系統長期割裂，導致庫存管理不精確和數據整合困</w:t>
      </w:r>
      <w:r>
        <w:rPr>
          <w:spacing w:val="-4"/>
        </w:rPr>
        <w:t>難，這些都是影響運營效率的重要問題。為了解決這些技術障礙，諾亞克的工程師團隊深入藥局現場，從現有的資料庫中提取所有數據，進行重新盤點與庫存管理優化。經過一年的技術投入，藥局的庫存管理精確度從原來的低水平提升到八九成。同時，藥局系統的數據整合使得藥局可以更加準確地管理庫存，同時減少</w:t>
      </w:r>
      <w:r>
        <w:rPr>
          <w:spacing w:val="-2"/>
        </w:rPr>
        <w:t>不必要的資源浪費。</w:t>
      </w:r>
    </w:p>
    <w:p>
      <w:pPr>
        <w:pStyle w:val="BodyText"/>
        <w:spacing w:after="0" w:line="422" w:lineRule="auto"/>
        <w:sectPr>
          <w:pgSz w:w="11910" w:h="16840"/>
          <w:pgMar w:header="0" w:footer="1197" w:top="1800" w:bottom="1380" w:left="1133" w:right="1133"/>
        </w:sectPr>
      </w:pPr>
    </w:p>
    <w:p>
      <w:pPr>
        <w:pStyle w:val="BodyText"/>
        <w:spacing w:line="422" w:lineRule="auto" w:before="27"/>
        <w:ind w:right="470" w:firstLine="479"/>
        <w:jc w:val="left"/>
      </w:pPr>
      <w:r>
        <w:rPr>
          <w:spacing w:val="-6"/>
        </w:rPr>
        <w:t>諾亞克也逐步將藥局、長照機構和護理人員之間的系統進行數據對接。例如，</w:t>
      </w:r>
      <w:r>
        <w:rPr>
          <w:spacing w:val="-2"/>
        </w:rPr>
        <w:t>當護理人員將藥單交給藥師時，藥師將藥品資料入進系統進行健保申報，然後再</w:t>
      </w:r>
      <w:r>
        <w:rPr/>
        <w:t>把相關資料反饋至 </w:t>
      </w:r>
      <w:r>
        <w:rPr>
          <w:rFonts w:ascii="Times New Roman" w:eastAsia="Times New Roman"/>
        </w:rPr>
        <w:t>Ucare</w:t>
      </w:r>
      <w:r>
        <w:rPr>
          <w:rFonts w:ascii="Times New Roman" w:eastAsia="Times New Roman"/>
          <w:spacing w:val="80"/>
        </w:rPr>
        <w:t> </w:t>
      </w:r>
      <w:r>
        <w:rPr/>
        <w:t>系統中。這樣的系統對接讓藥品詳細資訊可以在藥局</w:t>
      </w:r>
      <w:r>
        <w:rPr>
          <w:spacing w:val="-2"/>
        </w:rPr>
        <w:t>與長照機構之間無縫流動，實現了各環節的協同工作。</w:t>
      </w:r>
    </w:p>
    <w:p>
      <w:pPr>
        <w:pStyle w:val="BodyText"/>
        <w:spacing w:line="422" w:lineRule="auto" w:before="103"/>
        <w:ind w:right="682" w:firstLine="479"/>
      </w:pPr>
      <w:r>
        <w:rPr>
          <w:spacing w:val="-6"/>
        </w:rPr>
        <w:t>這些資源行動突破原有技術邊界，不僅解決了藥局系統內的資料孤島問題，</w:t>
      </w:r>
      <w:r>
        <w:rPr>
          <w:spacing w:val="-8"/>
        </w:rPr>
        <w:t>也成功實現了 </w:t>
      </w:r>
      <w:r>
        <w:rPr>
          <w:rFonts w:ascii="Times New Roman" w:eastAsia="Times New Roman"/>
          <w:spacing w:val="-4"/>
        </w:rPr>
        <w:t>ERP</w:t>
      </w:r>
      <w:r>
        <w:rPr>
          <w:rFonts w:ascii="Times New Roman" w:eastAsia="Times New Roman"/>
          <w:spacing w:val="-11"/>
        </w:rPr>
        <w:t> </w:t>
      </w:r>
      <w:r>
        <w:rPr>
          <w:spacing w:val="-15"/>
        </w:rPr>
        <w:t>與 </w:t>
      </w:r>
      <w:r>
        <w:rPr>
          <w:rFonts w:ascii="Times New Roman" w:eastAsia="Times New Roman"/>
          <w:spacing w:val="-4"/>
        </w:rPr>
        <w:t>POS</w:t>
      </w:r>
      <w:r>
        <w:rPr>
          <w:rFonts w:ascii="Times New Roman" w:eastAsia="Times New Roman"/>
          <w:spacing w:val="-1"/>
        </w:rPr>
        <w:t> </w:t>
      </w:r>
      <w:r>
        <w:rPr>
          <w:spacing w:val="-4"/>
        </w:rPr>
        <w:t>系統的結合，提升了藥局整體的數位化程度，並且促</w:t>
      </w:r>
      <w:r>
        <w:rPr>
          <w:spacing w:val="-17"/>
        </w:rPr>
        <w:t>進了藥局與長照機構的供應鏈管理和協同運作，達成其「醫藥養生態圈」的願景。</w:t>
      </w:r>
    </w:p>
    <w:p>
      <w:pPr>
        <w:spacing w:line="405" w:lineRule="auto" w:before="95"/>
        <w:ind w:left="1701" w:right="1484" w:firstLine="480"/>
        <w:jc w:val="left"/>
        <w:rPr>
          <w:sz w:val="25"/>
        </w:rPr>
      </w:pPr>
      <w:r>
        <w:rPr>
          <w:sz w:val="25"/>
        </w:rPr>
        <w:drawing>
          <wp:anchor distT="0" distB="0" distL="0" distR="0" allowOverlap="1" layoutInCell="1" locked="0" behindDoc="1" simplePos="0" relativeHeight="485823488">
            <wp:simplePos x="0" y="0"/>
            <wp:positionH relativeFrom="page">
              <wp:posOffset>3312414</wp:posOffset>
            </wp:positionH>
            <wp:positionV relativeFrom="paragraph">
              <wp:posOffset>1210563</wp:posOffset>
            </wp:positionV>
            <wp:extent cx="929640" cy="978408"/>
            <wp:effectExtent l="0" t="0" r="0" b="0"/>
            <wp:wrapNone/>
            <wp:docPr id="223" name="Image 223"/>
            <wp:cNvGraphicFramePr>
              <a:graphicFrameLocks/>
            </wp:cNvGraphicFramePr>
            <a:graphic>
              <a:graphicData uri="http://schemas.openxmlformats.org/drawingml/2006/picture">
                <pic:pic>
                  <pic:nvPicPr>
                    <pic:cNvPr id="223" name="Image 223"/>
                    <pic:cNvPicPr/>
                  </pic:nvPicPr>
                  <pic:blipFill>
                    <a:blip r:embed="rId6" cstate="print"/>
                    <a:stretch>
                      <a:fillRect/>
                    </a:stretch>
                  </pic:blipFill>
                  <pic:spPr>
                    <a:xfrm>
                      <a:off x="0" y="0"/>
                      <a:ext cx="929640" cy="978408"/>
                    </a:xfrm>
                    <a:prstGeom prst="rect">
                      <a:avLst/>
                    </a:prstGeom>
                  </pic:spPr>
                </pic:pic>
              </a:graphicData>
            </a:graphic>
          </wp:anchor>
        </w:drawing>
      </w:r>
      <w:r>
        <w:rPr>
          <w:spacing w:val="-17"/>
          <w:sz w:val="25"/>
        </w:rPr>
        <w:t>「因爲藥局系統之間都沒有串接，包含他們的 </w:t>
      </w:r>
      <w:r>
        <w:rPr>
          <w:rFonts w:ascii="Times New Roman" w:eastAsia="Times New Roman"/>
          <w:i/>
          <w:spacing w:val="-14"/>
          <w:sz w:val="24"/>
        </w:rPr>
        <w:t>POS</w:t>
      </w:r>
      <w:r>
        <w:rPr>
          <w:rFonts w:ascii="Times New Roman" w:eastAsia="Times New Roman"/>
          <w:i/>
          <w:spacing w:val="-3"/>
          <w:sz w:val="24"/>
        </w:rPr>
        <w:t> </w:t>
      </w:r>
      <w:r>
        <w:rPr>
          <w:spacing w:val="-14"/>
          <w:sz w:val="25"/>
        </w:rPr>
        <w:t>系統，</w:t>
      </w:r>
      <w:r>
        <w:rPr>
          <w:spacing w:val="-9"/>
          <w:sz w:val="25"/>
        </w:rPr>
        <w:t>到後面的這個處方用藥系統，到後面他們的 </w:t>
      </w:r>
      <w:r>
        <w:rPr>
          <w:rFonts w:ascii="Times New Roman" w:eastAsia="Times New Roman"/>
          <w:i/>
          <w:spacing w:val="-6"/>
          <w:sz w:val="24"/>
        </w:rPr>
        <w:t>ERP</w:t>
      </w:r>
      <w:r>
        <w:rPr>
          <w:rFonts w:ascii="Times New Roman" w:eastAsia="Times New Roman"/>
          <w:i/>
          <w:spacing w:val="-5"/>
          <w:sz w:val="24"/>
        </w:rPr>
        <w:t> </w:t>
      </w:r>
      <w:r>
        <w:rPr>
          <w:spacing w:val="-6"/>
          <w:sz w:val="25"/>
        </w:rPr>
        <w:t>系統全部都</w:t>
      </w:r>
      <w:r>
        <w:rPr>
          <w:spacing w:val="-4"/>
          <w:sz w:val="25"/>
        </w:rPr>
        <w:t>是分開的，所以資料對不起來。那我們就是需要花我們的自己的工程師資源進去說，那我們怎麼幫他們，不管是重新開發也好、幫他們做資料整合也好，像我們就進去，先幫他們</w:t>
      </w:r>
      <w:r>
        <w:rPr>
          <w:spacing w:val="-2"/>
          <w:sz w:val="25"/>
        </w:rPr>
        <w:t>把所有裡面資料庫的資料先倒出來，然後先幫他們做盤點、</w:t>
      </w:r>
      <w:r>
        <w:rPr>
          <w:spacing w:val="-19"/>
          <w:sz w:val="25"/>
        </w:rPr>
        <w:t>做庫存管理。」</w:t>
      </w:r>
      <w:r>
        <w:rPr>
          <w:spacing w:val="-2"/>
          <w:sz w:val="25"/>
        </w:rPr>
        <w:t>（林恩宇研發副總，</w:t>
      </w:r>
      <w:r>
        <w:rPr>
          <w:rFonts w:ascii="Times New Roman" w:eastAsia="Times New Roman"/>
          <w:i/>
          <w:spacing w:val="-2"/>
          <w:sz w:val="24"/>
        </w:rPr>
        <w:t>2024</w:t>
      </w:r>
      <w:r>
        <w:rPr>
          <w:rFonts w:ascii="Times New Roman" w:eastAsia="Times New Roman"/>
          <w:i/>
          <w:spacing w:val="-3"/>
          <w:sz w:val="24"/>
        </w:rPr>
        <w:t> </w:t>
      </w:r>
      <w:r>
        <w:rPr>
          <w:spacing w:val="-2"/>
          <w:sz w:val="25"/>
        </w:rPr>
        <w:t>訪談資料）</w:t>
      </w:r>
    </w:p>
    <w:p>
      <w:pPr>
        <w:spacing w:after="0" w:line="405" w:lineRule="auto"/>
        <w:jc w:val="left"/>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400050" cy="145542"/>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16" cstate="print"/>
                    <a:stretch>
                      <a:fillRect/>
                    </a:stretch>
                  </pic:blipFill>
                  <pic:spPr>
                    <a:xfrm>
                      <a:off x="0" y="0"/>
                      <a:ext cx="400050" cy="145542"/>
                    </a:xfrm>
                    <a:prstGeom prst="rect">
                      <a:avLst/>
                    </a:prstGeom>
                  </pic:spPr>
                </pic:pic>
              </a:graphicData>
            </a:graphic>
          </wp:inline>
        </w:drawing>
      </w:r>
      <w:r>
        <w:rPr>
          <w:b w:val="0"/>
        </w:rPr>
      </w:r>
      <w:r>
        <w:rPr>
          <w:rFonts w:ascii="Times New Roman" w:eastAsia="Times New Roman"/>
          <w:b w:val="0"/>
          <w:position w:val="1"/>
          <w:sz w:val="20"/>
        </w:rPr>
        <w:t> </w:t>
      </w:r>
      <w:bookmarkStart w:name="_bookmark84" w:id="85"/>
      <w:bookmarkEnd w:id="85"/>
      <w:r>
        <w:rPr>
          <w:rFonts w:ascii="Times New Roman" w:eastAsia="Times New Roman"/>
          <w:b w:val="0"/>
          <w:spacing w:val="23"/>
          <w:position w:val="1"/>
          <w:sz w:val="20"/>
        </w:rPr>
      </w:r>
      <w:r>
        <w:rPr>
          <w:spacing w:val="-2"/>
          <w:position w:val="1"/>
        </w:rPr>
        <w:t>美國市場邊界</w:t>
      </w:r>
    </w:p>
    <w:p>
      <w:pPr>
        <w:pStyle w:val="Heading3"/>
        <w:rPr>
          <w:position w:val="1"/>
        </w:rPr>
      </w:pPr>
      <w:r>
        <w:rPr>
          <w:b w:val="0"/>
        </w:rPr>
        <w:drawing>
          <wp:inline distT="0" distB="0" distL="0" distR="0">
            <wp:extent cx="529590" cy="130301"/>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17"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市場跨界探索</w:t>
      </w:r>
    </w:p>
    <w:p>
      <w:pPr>
        <w:pStyle w:val="Heading4"/>
        <w:spacing w:before="340"/>
      </w:pPr>
      <w:r>
        <w:rPr>
          <w:spacing w:val="-1"/>
        </w:rPr>
        <w:t>健全的收入模式支持企業研發</w:t>
      </w:r>
    </w:p>
    <w:p>
      <w:pPr>
        <w:pStyle w:val="BodyText"/>
        <w:spacing w:line="422" w:lineRule="auto" w:before="358"/>
        <w:ind w:right="683" w:firstLine="479"/>
      </w:pPr>
      <w:r>
        <w:rPr>
          <w:spacing w:val="-2"/>
        </w:rPr>
        <w:t>美國的長照機構通常能夠依靠政府保險和商業保險的支撐，確保收入的穩</w:t>
      </w:r>
      <w:r>
        <w:rPr>
          <w:spacing w:val="-4"/>
        </w:rPr>
        <w:t>定性和持續性，因此發展非常蓬勃。以長照市場規模而言，美國佔據了全球四成</w:t>
      </w:r>
      <w:r>
        <w:rPr/>
        <w:t>的份額。此外，</w:t>
      </w:r>
      <w:r>
        <w:rPr>
          <w:rFonts w:ascii="Times New Roman" w:eastAsia="Times New Roman"/>
        </w:rPr>
        <w:t>SaaS </w:t>
      </w:r>
      <w:r>
        <w:rPr/>
        <w:t>系統的資訊服務因能提供精確的成本與收益資訊，被視為</w:t>
      </w:r>
      <w:r>
        <w:rPr>
          <w:spacing w:val="-4"/>
        </w:rPr>
        <w:t>極具價值的工具，相同類型機構的收費可能是台灣的 </w:t>
      </w:r>
      <w:r>
        <w:rPr>
          <w:rFonts w:ascii="Times New Roman" w:eastAsia="Times New Roman"/>
          <w:spacing w:val="-2"/>
        </w:rPr>
        <w:t>5</w:t>
      </w:r>
      <w:r>
        <w:rPr>
          <w:rFonts w:ascii="Times New Roman" w:eastAsia="Times New Roman"/>
          <w:spacing w:val="-13"/>
        </w:rPr>
        <w:t> </w:t>
      </w:r>
      <w:r>
        <w:rPr>
          <w:spacing w:val="-15"/>
        </w:rPr>
        <w:t>至 </w:t>
      </w:r>
      <w:r>
        <w:rPr>
          <w:rFonts w:ascii="Times New Roman" w:eastAsia="Times New Roman"/>
          <w:spacing w:val="-2"/>
        </w:rPr>
        <w:t>15</w:t>
      </w:r>
      <w:r>
        <w:rPr>
          <w:rFonts w:ascii="Times New Roman" w:eastAsia="Times New Roman"/>
          <w:spacing w:val="-13"/>
        </w:rPr>
        <w:t> </w:t>
      </w:r>
      <w:r>
        <w:rPr>
          <w:spacing w:val="-2"/>
        </w:rPr>
        <w:t>倍，這種顯著的價格差異直接影響了兩國長照市場的競爭方式與經營模式。</w:t>
      </w:r>
    </w:p>
    <w:p>
      <w:pPr>
        <w:pStyle w:val="BodyText"/>
        <w:spacing w:line="422" w:lineRule="auto" w:before="102"/>
        <w:ind w:right="683" w:firstLine="479"/>
      </w:pPr>
      <w:r>
        <w:rPr/>
        <w:drawing>
          <wp:anchor distT="0" distB="0" distL="0" distR="0" allowOverlap="1" layoutInCell="1" locked="0" behindDoc="1" simplePos="0" relativeHeight="485824000">
            <wp:simplePos x="0" y="0"/>
            <wp:positionH relativeFrom="page">
              <wp:posOffset>3312414</wp:posOffset>
            </wp:positionH>
            <wp:positionV relativeFrom="paragraph">
              <wp:posOffset>363332</wp:posOffset>
            </wp:positionV>
            <wp:extent cx="929640" cy="978408"/>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由於這些保險支撐，美國的長照機構能夠收取更高的費用來支持運營和改</w:t>
      </w:r>
      <w:r>
        <w:rPr>
          <w:spacing w:val="-4"/>
        </w:rPr>
        <w:t>進服務品質。因此，美國的長照業者在面對競爭時，重點不在於成本控制，更在於如何引入新技術以提升服務效率和住民生活質量。在這種背景下，技術創新成</w:t>
      </w:r>
      <w:r>
        <w:rPr>
          <w:spacing w:val="-2"/>
        </w:rPr>
        <w:t>為了美國市場的一大競爭優勢，而這對於進入美國市場的外國企業來說是一個</w:t>
      </w:r>
      <w:r>
        <w:rPr>
          <w:spacing w:val="-4"/>
        </w:rPr>
        <w:t>機遇，能夠通過提供數位化解決方案和整合服務來滿足當地市場的需求，進而贏</w:t>
      </w:r>
      <w:r>
        <w:rPr>
          <w:spacing w:val="-2"/>
        </w:rPr>
        <w:t>得競爭優勢。</w:t>
      </w:r>
    </w:p>
    <w:p>
      <w:pPr>
        <w:spacing w:line="405" w:lineRule="auto" w:before="92"/>
        <w:ind w:left="1701" w:right="1700" w:firstLine="480"/>
        <w:jc w:val="both"/>
        <w:rPr>
          <w:sz w:val="25"/>
        </w:rPr>
      </w:pPr>
      <w:r>
        <w:rPr>
          <w:spacing w:val="-12"/>
          <w:sz w:val="25"/>
        </w:rPr>
        <w:t>「美國的長照機構有保險支撐，因此這些機構的現金流</w:t>
      </w:r>
      <w:r>
        <w:rPr>
          <w:spacing w:val="-20"/>
          <w:sz w:val="25"/>
        </w:rPr>
        <w:t>十分穩健。相比之下，台灣的長照機構被視為社會福利事業，</w:t>
      </w:r>
      <w:r>
        <w:rPr>
          <w:spacing w:val="-12"/>
          <w:sz w:val="25"/>
        </w:rPr>
        <w:t>即使服務再好，每月收費也僅是美國的六分之一左右，這使得經營者非常重視成本控制。而在美國，若你的產品能幫助</w:t>
      </w:r>
      <w:r>
        <w:rPr>
          <w:spacing w:val="-14"/>
          <w:sz w:val="25"/>
        </w:rPr>
        <w:t>他們節省成本或提升效率，他們願意投入資金。</w:t>
      </w:r>
      <w:r>
        <w:rPr>
          <w:spacing w:val="-161"/>
          <w:sz w:val="25"/>
        </w:rPr>
        <w:t>」</w:t>
      </w:r>
      <w:r>
        <w:rPr>
          <w:spacing w:val="-14"/>
          <w:sz w:val="25"/>
        </w:rPr>
        <w:t>（林恩宇研</w:t>
      </w:r>
      <w:r>
        <w:rPr>
          <w:sz w:val="25"/>
        </w:rPr>
        <w:t>發副總，</w:t>
      </w:r>
      <w:r>
        <w:rPr>
          <w:rFonts w:ascii="Times New Roman" w:eastAsia="Times New Roman"/>
          <w:i/>
          <w:sz w:val="24"/>
        </w:rPr>
        <w:t>2023 </w:t>
      </w:r>
      <w:r>
        <w:rPr>
          <w:sz w:val="25"/>
        </w:rPr>
        <w:t>訪談資料）</w:t>
      </w:r>
    </w:p>
    <w:p>
      <w:pPr>
        <w:spacing w:after="0" w:line="405" w:lineRule="auto"/>
        <w:jc w:val="both"/>
        <w:rPr>
          <w:sz w:val="25"/>
        </w:rPr>
        <w:sectPr>
          <w:pgSz w:w="11910" w:h="16840"/>
          <w:pgMar w:header="0" w:footer="1197" w:top="1800" w:bottom="1380" w:left="1133" w:right="1133"/>
        </w:sectPr>
      </w:pPr>
    </w:p>
    <w:p>
      <w:pPr>
        <w:pStyle w:val="Heading4"/>
        <w:spacing w:line="389" w:lineRule="exact"/>
      </w:pPr>
      <w:r>
        <w:rPr>
          <w:spacing w:val="-2"/>
        </w:rPr>
        <w:t>長照市場的信任壁壘</w:t>
      </w:r>
    </w:p>
    <w:p>
      <w:pPr>
        <w:pStyle w:val="BodyText"/>
        <w:spacing w:line="422" w:lineRule="auto" w:before="358"/>
        <w:ind w:right="469" w:firstLine="479"/>
        <w:jc w:val="left"/>
      </w:pPr>
      <w:r>
        <w:rPr>
          <w:spacing w:val="-2"/>
        </w:rPr>
        <w:t>美國的醫療與長照產業除了因市場規模不同而呈現差異外，其相對封閉的</w:t>
      </w:r>
      <w:r>
        <w:rPr>
          <w:spacing w:val="80"/>
        </w:rPr>
        <w:t> </w:t>
      </w:r>
      <w:r>
        <w:rPr>
          <w:spacing w:val="-6"/>
        </w:rPr>
        <w:t>市場也是一大特徵。這種封閉性主要由各個族群的社群力量所主導，例如猶太人、</w:t>
      </w:r>
      <w:r>
        <w:rPr>
          <w:spacing w:val="-2"/>
        </w:rPr>
        <w:t>摩門教徒和華人等族群，擁有獨立運作的長照機構與服務生態系統，並在長期發展中形成了穩固的社群結構。</w:t>
      </w:r>
    </w:p>
    <w:p>
      <w:pPr>
        <w:pStyle w:val="BodyText"/>
        <w:spacing w:line="422" w:lineRule="auto" w:before="103"/>
        <w:ind w:right="683" w:firstLine="479"/>
      </w:pPr>
      <w:r>
        <w:rPr>
          <w:spacing w:val="-2"/>
        </w:rPr>
        <w:t>這些社群不僅在市場中建立了深厚的社會資本與信任網絡，同時也對新進</w:t>
      </w:r>
      <w:r>
        <w:rPr>
          <w:spacing w:val="-4"/>
        </w:rPr>
        <w:t>入者設立了較高的信任門檻。對於希望進入這些市場的企業而言，必須在品牌信</w:t>
      </w:r>
      <w:r>
        <w:rPr>
          <w:spacing w:val="-4"/>
        </w:rPr>
        <w:t>譽、社群關係以及文化認同等方面投入大量資源，才能獲得當地社群的接受與支</w:t>
      </w:r>
      <w:r>
        <w:rPr>
          <w:spacing w:val="-6"/>
        </w:rPr>
        <w:t>持。</w:t>
      </w:r>
    </w:p>
    <w:p>
      <w:pPr>
        <w:pStyle w:val="BodyText"/>
        <w:spacing w:line="422" w:lineRule="auto" w:before="104"/>
        <w:ind w:right="682" w:firstLine="479"/>
      </w:pPr>
      <w:r>
        <w:rPr/>
        <w:drawing>
          <wp:anchor distT="0" distB="0" distL="0" distR="0" allowOverlap="1" layoutInCell="1" locked="0" behindDoc="1" simplePos="0" relativeHeight="485824512">
            <wp:simplePos x="0" y="0"/>
            <wp:positionH relativeFrom="page">
              <wp:posOffset>3312414</wp:posOffset>
            </wp:positionH>
            <wp:positionV relativeFrom="paragraph">
              <wp:posOffset>409759</wp:posOffset>
            </wp:positionV>
            <wp:extent cx="929640" cy="978408"/>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這種信任壁壘為新進入者帶來雙重挑戰：一方面，他們需要提供能滿足當地</w:t>
      </w:r>
      <w:r>
        <w:rPr>
          <w:spacing w:val="-4"/>
        </w:rPr>
        <w:t>需求的高品質服務與技術；另一方面，還需通過長期的關係建立和本地化策略來贏得當地社群的認可。因此，建立社會信任是進入美國長照市場的關鍵因素，也</w:t>
      </w:r>
      <w:r>
        <w:rPr>
          <w:spacing w:val="-2"/>
        </w:rPr>
        <w:t>是企業能否成功拓展業務並取得市場份額的主要障礙之一。</w:t>
      </w:r>
    </w:p>
    <w:p>
      <w:pPr>
        <w:spacing w:line="405" w:lineRule="auto" w:before="93"/>
        <w:ind w:left="1701" w:right="1696" w:firstLine="480"/>
        <w:jc w:val="both"/>
        <w:rPr>
          <w:sz w:val="25"/>
        </w:rPr>
      </w:pPr>
      <w:r>
        <w:rPr>
          <w:spacing w:val="-12"/>
          <w:sz w:val="25"/>
        </w:rPr>
        <w:t>「起初我們以為美國與台灣的差異很大，尤其在醫療產業方面，但後來發現各國的醫療領域其實都相對封閉，並且非常重視信任。在美國，長照產業主要由三個群體主導：猶</w:t>
      </w:r>
      <w:r>
        <w:rPr>
          <w:spacing w:val="-18"/>
          <w:sz w:val="25"/>
        </w:rPr>
        <w:t>太人、摩門教徒和華人。</w:t>
      </w:r>
      <w:r>
        <w:rPr>
          <w:spacing w:val="-197"/>
          <w:sz w:val="25"/>
        </w:rPr>
        <w:t>」</w:t>
      </w:r>
      <w:r>
        <w:rPr>
          <w:spacing w:val="-18"/>
          <w:sz w:val="25"/>
        </w:rPr>
        <w:t>（</w:t>
      </w:r>
      <w:r>
        <w:rPr>
          <w:spacing w:val="-17"/>
          <w:sz w:val="25"/>
        </w:rPr>
        <w:t>劉禹辰 數據長，</w:t>
      </w:r>
      <w:r>
        <w:rPr>
          <w:rFonts w:ascii="Times New Roman" w:eastAsia="Times New Roman"/>
          <w:i/>
          <w:spacing w:val="-18"/>
          <w:sz w:val="24"/>
        </w:rPr>
        <w:t>2024</w:t>
      </w:r>
      <w:r>
        <w:rPr>
          <w:rFonts w:ascii="Times New Roman" w:eastAsia="Times New Roman"/>
          <w:i/>
          <w:spacing w:val="5"/>
          <w:sz w:val="24"/>
        </w:rPr>
        <w:t> </w:t>
      </w:r>
      <w:r>
        <w:rPr>
          <w:spacing w:val="-18"/>
          <w:sz w:val="25"/>
        </w:rPr>
        <w:t>訪談資料）</w:t>
      </w:r>
    </w:p>
    <w:p>
      <w:pPr>
        <w:pStyle w:val="Heading3"/>
        <w:spacing w:before="78"/>
        <w:rPr>
          <w:position w:val="1"/>
        </w:rPr>
      </w:pPr>
      <w:r>
        <w:rPr>
          <w:b w:val="0"/>
        </w:rPr>
        <w:drawing>
          <wp:inline distT="0" distB="0" distL="0" distR="0">
            <wp:extent cx="529590" cy="130301"/>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118"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市場跨界資源行動</w:t>
      </w:r>
    </w:p>
    <w:p>
      <w:pPr>
        <w:pStyle w:val="Heading4"/>
        <w:spacing w:before="341"/>
      </w:pPr>
      <w:r>
        <w:rPr>
          <w:spacing w:val="-1"/>
        </w:rPr>
        <w:t>尋找進軍美國的合作夥伴以打破信任壁壘</w:t>
      </w:r>
    </w:p>
    <w:p>
      <w:pPr>
        <w:pStyle w:val="BodyText"/>
        <w:spacing w:line="422" w:lineRule="auto" w:before="358"/>
        <w:ind w:right="686" w:firstLine="479"/>
      </w:pPr>
      <w:r>
        <w:rPr>
          <w:spacing w:val="-2"/>
        </w:rPr>
        <w:t>美國長照市場因行業特性和文化差異，建立信任成為新進入者面臨的首要</w:t>
      </w:r>
      <w:r>
        <w:rPr>
          <w:spacing w:val="-7"/>
        </w:rPr>
        <w:t>挑戰之一。為突破這一壁壘，諾亞克於 </w:t>
      </w:r>
      <w:r>
        <w:rPr>
          <w:rFonts w:ascii="Times New Roman" w:eastAsia="Times New Roman"/>
          <w:spacing w:val="-6"/>
        </w:rPr>
        <w:t>2018</w:t>
      </w:r>
      <w:r>
        <w:rPr>
          <w:rFonts w:ascii="Times New Roman" w:eastAsia="Times New Roman"/>
          <w:spacing w:val="-9"/>
        </w:rPr>
        <w:t> </w:t>
      </w:r>
      <w:r>
        <w:rPr>
          <w:spacing w:val="-7"/>
        </w:rPr>
        <w:t>年與戰略股東 </w:t>
      </w:r>
      <w:r>
        <w:rPr>
          <w:rFonts w:ascii="Times New Roman" w:eastAsia="Times New Roman"/>
          <w:spacing w:val="-6"/>
        </w:rPr>
        <w:t>Eva</w:t>
      </w:r>
      <w:r>
        <w:rPr>
          <w:rFonts w:ascii="Times New Roman" w:eastAsia="Times New Roman"/>
          <w:spacing w:val="-9"/>
        </w:rPr>
        <w:t> </w:t>
      </w:r>
      <w:r>
        <w:rPr>
          <w:rFonts w:ascii="Times New Roman" w:eastAsia="Times New Roman"/>
          <w:spacing w:val="-6"/>
        </w:rPr>
        <w:t>Care</w:t>
      </w:r>
      <w:r>
        <w:rPr>
          <w:rFonts w:ascii="Times New Roman" w:eastAsia="Times New Roman"/>
          <w:spacing w:val="-9"/>
        </w:rPr>
        <w:t> </w:t>
      </w:r>
      <w:r>
        <w:rPr>
          <w:rFonts w:ascii="Times New Roman" w:eastAsia="Times New Roman"/>
          <w:spacing w:val="-6"/>
        </w:rPr>
        <w:t>Group</w:t>
      </w:r>
      <w:r>
        <w:rPr>
          <w:rFonts w:ascii="Times New Roman" w:eastAsia="Times New Roman"/>
          <w:spacing w:val="-8"/>
        </w:rPr>
        <w:t> (</w:t>
      </w:r>
      <w:r>
        <w:rPr>
          <w:rFonts w:ascii="Times New Roman" w:eastAsia="Times New Roman"/>
          <w:spacing w:val="-6"/>
        </w:rPr>
        <w:t>ECG</w:t>
      </w:r>
      <w:r>
        <w:rPr>
          <w:rFonts w:ascii="Times New Roman" w:eastAsia="Times New Roman"/>
          <w:spacing w:val="-6"/>
        </w:rPr>
        <w:t>)</w:t>
      </w:r>
      <w:r>
        <w:rPr/>
        <w:t>合作。</w:t>
      </w:r>
      <w:r>
        <w:rPr>
          <w:rFonts w:ascii="Times New Roman" w:eastAsia="Times New Roman"/>
        </w:rPr>
        <w:t>ECG </w:t>
      </w:r>
      <w:r>
        <w:rPr/>
        <w:t>在加州長照產業中占有重要地位，擁有深厚的市場根基和豐富的養</w:t>
      </w:r>
      <w:r>
        <w:rPr>
          <w:spacing w:val="-2"/>
        </w:rPr>
        <w:t>老院資源，為諾亞克提供了一條快速進入美國市場的捷徑。</w:t>
      </w:r>
    </w:p>
    <w:p>
      <w:pPr>
        <w:pStyle w:val="BodyText"/>
        <w:spacing w:after="0" w:line="422" w:lineRule="auto"/>
        <w:sectPr>
          <w:pgSz w:w="11910" w:h="16840"/>
          <w:pgMar w:header="0" w:footer="1197" w:top="1760" w:bottom="1380" w:left="1133" w:right="1133"/>
        </w:sectPr>
      </w:pPr>
    </w:p>
    <w:p>
      <w:pPr>
        <w:pStyle w:val="BodyText"/>
        <w:spacing w:line="422" w:lineRule="auto" w:before="27"/>
        <w:ind w:right="682" w:firstLine="479"/>
      </w:pPr>
      <w:r>
        <w:rPr>
          <w:spacing w:val="-2"/>
        </w:rPr>
        <w:t>這一戰略合作的成功背後，得益於諾亞克高層管理團隊的明確分工與有效</w:t>
      </w:r>
      <w:r>
        <w:rPr>
          <w:spacing w:val="-4"/>
        </w:rPr>
        <w:t>協作。總經理沈家平專注於軟體開發與系統升級，確保技術的領先性和產品的穩</w:t>
      </w:r>
      <w:r>
        <w:rPr>
          <w:spacing w:val="-2"/>
        </w:rPr>
        <w:t>定性以滿足市場不斷變化的需求；董事長 </w:t>
      </w:r>
      <w:r>
        <w:rPr>
          <w:rFonts w:ascii="Times New Roman" w:eastAsia="Times New Roman"/>
        </w:rPr>
        <w:t>Dr</w:t>
      </w:r>
      <w:r>
        <w:rPr>
          <w:rFonts w:ascii="Times New Roman" w:eastAsia="Times New Roman"/>
          <w:spacing w:val="-8"/>
        </w:rPr>
        <w:t>. </w:t>
      </w:r>
      <w:r>
        <w:rPr>
          <w:rFonts w:ascii="Times New Roman" w:eastAsia="Times New Roman"/>
        </w:rPr>
        <w:t>John</w:t>
      </w:r>
      <w:r>
        <w:rPr>
          <w:rFonts w:ascii="Times New Roman" w:eastAsia="Times New Roman"/>
          <w:spacing w:val="-15"/>
        </w:rPr>
        <w:t> </w:t>
      </w:r>
      <w:r>
        <w:rPr>
          <w:rFonts w:ascii="Times New Roman" w:eastAsia="Times New Roman"/>
        </w:rPr>
        <w:t>Chen</w:t>
      </w:r>
      <w:r>
        <w:rPr>
          <w:rFonts w:ascii="Times New Roman" w:eastAsia="Times New Roman"/>
          <w:spacing w:val="-1"/>
        </w:rPr>
        <w:t> </w:t>
      </w:r>
      <w:r>
        <w:rPr/>
        <w:t>則專注於市場拓展與策</w:t>
      </w:r>
      <w:r>
        <w:rPr>
          <w:spacing w:val="-4"/>
        </w:rPr>
        <w:t>略導入，憑藉其在美國長照市場的豐富經驗與廣泛人脈，能快速識別市場需求並</w:t>
      </w:r>
      <w:r>
        <w:rPr>
          <w:spacing w:val="-2"/>
        </w:rPr>
        <w:t>尋找最佳合作夥伴，促使諾亞克的系統順利落地於美國的長照機構。</w:t>
      </w:r>
    </w:p>
    <w:p>
      <w:pPr>
        <w:pStyle w:val="BodyText"/>
        <w:spacing w:line="422" w:lineRule="auto" w:before="101"/>
        <w:ind w:right="683" w:firstLine="479"/>
      </w:pPr>
      <w:r>
        <w:rPr>
          <w:spacing w:val="-12"/>
        </w:rPr>
        <w:t>透過 </w:t>
      </w:r>
      <w:r>
        <w:rPr>
          <w:rFonts w:ascii="Times New Roman" w:eastAsia="Times New Roman"/>
          <w:spacing w:val="-4"/>
        </w:rPr>
        <w:t>ECG</w:t>
      </w:r>
      <w:r>
        <w:rPr>
          <w:rFonts w:ascii="Times New Roman" w:eastAsia="Times New Roman"/>
          <w:spacing w:val="-11"/>
        </w:rPr>
        <w:t> </w:t>
      </w:r>
      <w:r>
        <w:rPr>
          <w:spacing w:val="-4"/>
        </w:rPr>
        <w:t>的支持，諾亞克成功打破信任壁壘，迅速融入當地市場。</w:t>
      </w:r>
      <w:r>
        <w:rPr>
          <w:rFonts w:ascii="Times New Roman" w:eastAsia="Times New Roman"/>
          <w:spacing w:val="-4"/>
        </w:rPr>
        <w:t>ECG</w:t>
      </w:r>
      <w:r>
        <w:rPr>
          <w:rFonts w:ascii="Times New Roman" w:eastAsia="Times New Roman"/>
          <w:spacing w:val="5"/>
        </w:rPr>
        <w:t> </w:t>
      </w:r>
      <w:r>
        <w:rPr>
          <w:spacing w:val="-4"/>
        </w:rPr>
        <w:t>的</w:t>
      </w:r>
      <w:r>
        <w:rPr>
          <w:spacing w:val="-2"/>
        </w:rPr>
        <w:t>背書不僅使諾亞克贏得美國長照機構的信任，為後續與當地業者的深度合作奠</w:t>
      </w:r>
      <w:r>
        <w:rPr>
          <w:spacing w:val="-4"/>
        </w:rPr>
        <w:t>定了基礎。在這些戰略合作的支持下，諾亞克成功克服市場進入障礙，順利進入</w:t>
      </w:r>
      <w:r>
        <w:rPr>
          <w:spacing w:val="-2"/>
        </w:rPr>
        <w:t>美國長照市場提供相關服務，為其在當地市場的長期發展奠定了基礎。</w:t>
      </w:r>
    </w:p>
    <w:p>
      <w:pPr>
        <w:spacing w:line="405" w:lineRule="auto" w:before="94"/>
        <w:ind w:left="1701" w:right="1696" w:firstLine="480"/>
        <w:jc w:val="both"/>
        <w:rPr>
          <w:sz w:val="25"/>
        </w:rPr>
      </w:pPr>
      <w:r>
        <w:rPr>
          <w:sz w:val="25"/>
        </w:rPr>
        <w:drawing>
          <wp:anchor distT="0" distB="0" distL="0" distR="0" allowOverlap="1" layoutInCell="1" locked="0" behindDoc="1" simplePos="0" relativeHeight="485825024">
            <wp:simplePos x="0" y="0"/>
            <wp:positionH relativeFrom="page">
              <wp:posOffset>3312414</wp:posOffset>
            </wp:positionH>
            <wp:positionV relativeFrom="paragraph">
              <wp:posOffset>524509</wp:posOffset>
            </wp:positionV>
            <wp:extent cx="929640" cy="978408"/>
            <wp:effectExtent l="0" t="0" r="0" b="0"/>
            <wp:wrapNone/>
            <wp:docPr id="229" name="Image 229"/>
            <wp:cNvGraphicFramePr>
              <a:graphicFrameLocks/>
            </wp:cNvGraphicFramePr>
            <a:graphic>
              <a:graphicData uri="http://schemas.openxmlformats.org/drawingml/2006/picture">
                <pic:pic>
                  <pic:nvPicPr>
                    <pic:cNvPr id="229" name="Image 229"/>
                    <pic:cNvPicPr/>
                  </pic:nvPicPr>
                  <pic:blipFill>
                    <a:blip r:embed="rId6" cstate="print"/>
                    <a:stretch>
                      <a:fillRect/>
                    </a:stretch>
                  </pic:blipFill>
                  <pic:spPr>
                    <a:xfrm>
                      <a:off x="0" y="0"/>
                      <a:ext cx="929640" cy="978408"/>
                    </a:xfrm>
                    <a:prstGeom prst="rect">
                      <a:avLst/>
                    </a:prstGeom>
                  </pic:spPr>
                </pic:pic>
              </a:graphicData>
            </a:graphic>
          </wp:anchor>
        </w:drawing>
      </w:r>
      <w:r>
        <w:rPr>
          <w:spacing w:val="-12"/>
          <w:sz w:val="25"/>
        </w:rPr>
        <w:t>「透過與他們的合作，我們希望實現系統導入、耗材供應，以及實際經營長照機構的多元業務。華人群體中，我們有幸與美商長榮集團合作，這讓我們有機會進入美國的長照</w:t>
      </w:r>
      <w:r>
        <w:rPr>
          <w:spacing w:val="-19"/>
          <w:sz w:val="25"/>
        </w:rPr>
        <w:t>市場，並與其他業者交手合作。」</w:t>
      </w:r>
      <w:r>
        <w:rPr>
          <w:spacing w:val="-10"/>
          <w:sz w:val="25"/>
        </w:rPr>
        <w:t>（</w:t>
      </w:r>
      <w:r>
        <w:rPr>
          <w:spacing w:val="-13"/>
          <w:sz w:val="25"/>
        </w:rPr>
        <w:t>劉禹辰 數據長，</w:t>
      </w:r>
      <w:r>
        <w:rPr>
          <w:rFonts w:ascii="Times New Roman" w:eastAsia="Times New Roman"/>
          <w:i/>
          <w:spacing w:val="-10"/>
          <w:sz w:val="24"/>
        </w:rPr>
        <w:t>2024</w:t>
      </w:r>
      <w:r>
        <w:rPr>
          <w:rFonts w:ascii="Times New Roman" w:eastAsia="Times New Roman"/>
          <w:i/>
          <w:spacing w:val="-5"/>
          <w:sz w:val="24"/>
        </w:rPr>
        <w:t> </w:t>
      </w:r>
      <w:r>
        <w:rPr>
          <w:spacing w:val="-10"/>
          <w:sz w:val="25"/>
        </w:rPr>
        <w:t>訪</w:t>
      </w:r>
      <w:r>
        <w:rPr>
          <w:spacing w:val="-4"/>
          <w:sz w:val="25"/>
        </w:rPr>
        <w:t>談資料）</w:t>
      </w:r>
    </w:p>
    <w:p>
      <w:pPr>
        <w:spacing w:after="0" w:line="405" w:lineRule="auto"/>
        <w:jc w:val="both"/>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401574" cy="145542"/>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119" cstate="print"/>
                    <a:stretch>
                      <a:fillRect/>
                    </a:stretch>
                  </pic:blipFill>
                  <pic:spPr>
                    <a:xfrm>
                      <a:off x="0" y="0"/>
                      <a:ext cx="401574" cy="145542"/>
                    </a:xfrm>
                    <a:prstGeom prst="rect">
                      <a:avLst/>
                    </a:prstGeom>
                  </pic:spPr>
                </pic:pic>
              </a:graphicData>
            </a:graphic>
          </wp:inline>
        </w:drawing>
      </w:r>
      <w:r>
        <w:rPr>
          <w:b w:val="0"/>
        </w:rPr>
      </w:r>
      <w:r>
        <w:rPr>
          <w:rFonts w:ascii="Times New Roman" w:eastAsia="Times New Roman"/>
          <w:b w:val="0"/>
          <w:position w:val="1"/>
          <w:sz w:val="20"/>
        </w:rPr>
        <w:t> </w:t>
      </w:r>
      <w:bookmarkStart w:name="_bookmark85" w:id="86"/>
      <w:bookmarkEnd w:id="86"/>
      <w:r>
        <w:rPr>
          <w:rFonts w:ascii="Times New Roman" w:eastAsia="Times New Roman"/>
          <w:b w:val="0"/>
          <w:spacing w:val="21"/>
          <w:position w:val="1"/>
          <w:sz w:val="20"/>
        </w:rPr>
      </w:r>
      <w:r>
        <w:rPr>
          <w:spacing w:val="-2"/>
          <w:position w:val="1"/>
        </w:rPr>
        <w:t>美國知識邊界</w:t>
      </w:r>
    </w:p>
    <w:p>
      <w:pPr>
        <w:pStyle w:val="Heading3"/>
        <w:rPr>
          <w:position w:val="1"/>
        </w:rPr>
      </w:pPr>
      <w:r>
        <w:rPr>
          <w:b w:val="0"/>
        </w:rPr>
        <w:drawing>
          <wp:inline distT="0" distB="0" distL="0" distR="0">
            <wp:extent cx="529590" cy="130301"/>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120"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知識跨界探索</w:t>
      </w:r>
    </w:p>
    <w:p>
      <w:pPr>
        <w:pStyle w:val="Heading4"/>
        <w:spacing w:before="340"/>
      </w:pPr>
      <w:r>
        <w:rPr>
          <w:spacing w:val="-1"/>
        </w:rPr>
        <w:t>市場特定適用的法律限制</w:t>
      </w:r>
    </w:p>
    <w:p>
      <w:pPr>
        <w:pStyle w:val="BodyText"/>
        <w:spacing w:line="422" w:lineRule="auto" w:before="358"/>
        <w:ind w:right="683" w:firstLine="479"/>
      </w:pPr>
      <w:r>
        <w:rPr>
          <w:spacing w:val="-2"/>
        </w:rPr>
        <w:t>美國的長照市場擁有獨特的人文特質和複雜的法律框架，因此企業必須深</w:t>
      </w:r>
      <w:r>
        <w:rPr>
          <w:spacing w:val="-4"/>
        </w:rPr>
        <w:t>入了解並靈活應對，特別是在專業性高且需求特殊的領域，使得系統不僅需要滿</w:t>
      </w:r>
      <w:r>
        <w:rPr>
          <w:spacing w:val="-2"/>
        </w:rPr>
        <w:t>足日常運營的精確性，還必須適應長照產業特有的複雜規範和高標準要求。</w:t>
      </w:r>
    </w:p>
    <w:p>
      <w:pPr>
        <w:pStyle w:val="BodyText"/>
        <w:spacing w:line="422" w:lineRule="auto" w:before="105"/>
        <w:ind w:right="683" w:firstLine="479"/>
      </w:pPr>
      <w:r>
        <w:rPr/>
        <w:drawing>
          <wp:anchor distT="0" distB="0" distL="0" distR="0" allowOverlap="1" layoutInCell="1" locked="0" behindDoc="1" simplePos="0" relativeHeight="485825536">
            <wp:simplePos x="0" y="0"/>
            <wp:positionH relativeFrom="page">
              <wp:posOffset>3312414</wp:posOffset>
            </wp:positionH>
            <wp:positionV relativeFrom="paragraph">
              <wp:posOffset>1050656</wp:posOffset>
            </wp:positionV>
            <wp:extent cx="929640" cy="978408"/>
            <wp:effectExtent l="0" t="0" r="0" b="0"/>
            <wp:wrapNone/>
            <wp:docPr id="232" name="Image 232"/>
            <wp:cNvGraphicFramePr>
              <a:graphicFrameLocks/>
            </wp:cNvGraphicFramePr>
            <a:graphic>
              <a:graphicData uri="http://schemas.openxmlformats.org/drawingml/2006/picture">
                <pic:pic>
                  <pic:nvPicPr>
                    <pic:cNvPr id="232" name="Image 232"/>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舉例來說，美國的照護產業極具特殊性，特別是在法規與操作層面，諾亞克</w:t>
      </w:r>
      <w:r>
        <w:rPr>
          <w:spacing w:val="-4"/>
        </w:rPr>
        <w:t>必須掌握多層次的法律規範，包括聯邦法律、州級政府的規定及長照相關的具體法規。例如，台灣近期經常討論的醫護人員工時與人力配置問題，在美國同樣存在挑戰，諾亞克需要掌握如何為長照機構計算照護人力，醫療照護產業對系統的</w:t>
      </w:r>
      <w:r>
        <w:rPr>
          <w:spacing w:val="-2"/>
        </w:rPr>
        <w:t>要求非常特別，必須精確地計算人力需求並遵循嚴格的合規標準。</w:t>
      </w:r>
    </w:p>
    <w:p>
      <w:pPr>
        <w:pStyle w:val="BodyText"/>
        <w:spacing w:line="422" w:lineRule="auto" w:before="102"/>
        <w:ind w:right="683" w:firstLine="479"/>
      </w:pPr>
      <w:r>
        <w:rPr>
          <w:spacing w:val="-6"/>
        </w:rPr>
        <w:t>因此，諾亞克在進入美國市場的過程中，不僅僅是開發一套符合技術需求的</w:t>
      </w:r>
      <w:r>
        <w:rPr>
          <w:spacing w:val="-4"/>
        </w:rPr>
        <w:t>系統，更重要的是深入了解並掌握美國的法律環境和醫療保險制度，以確保系統</w:t>
      </w:r>
      <w:r>
        <w:rPr>
          <w:spacing w:val="-2"/>
        </w:rPr>
        <w:t>符合當地的合規要求並能真實解決當地長照機構的管理需求。</w:t>
      </w:r>
    </w:p>
    <w:p>
      <w:pPr>
        <w:spacing w:line="405" w:lineRule="auto" w:before="95"/>
        <w:ind w:left="1701" w:right="1461" w:firstLine="480"/>
        <w:jc w:val="left"/>
        <w:rPr>
          <w:sz w:val="25"/>
        </w:rPr>
      </w:pPr>
      <w:r>
        <w:rPr>
          <w:spacing w:val="-4"/>
          <w:sz w:val="25"/>
        </w:rPr>
        <w:t>「我們到美國之後才發現，原來當地沒有一家科技公司</w:t>
      </w:r>
      <w:r>
        <w:rPr>
          <w:spacing w:val="-4"/>
          <w:sz w:val="25"/>
        </w:rPr>
        <w:t> </w:t>
      </w:r>
      <w:r>
        <w:rPr>
          <w:spacing w:val="-12"/>
          <w:sz w:val="25"/>
        </w:rPr>
        <w:t>或軟體公司專門為長照機構提供人事系統服務。雖然做人事系統的公司很多，但他們的系統大多是針對一般產業設計的，各行各業都可以使用。然而，一旦應用到醫療照護產業，這些系統的表現都非常不理想。原因在於，照護產業是一個非常特殊</w:t>
      </w:r>
      <w:r>
        <w:rPr>
          <w:spacing w:val="-24"/>
          <w:sz w:val="25"/>
        </w:rPr>
        <w:t>的事業。」</w:t>
      </w:r>
      <w:r>
        <w:rPr>
          <w:sz w:val="25"/>
        </w:rPr>
        <w:t>（林恩宇研發副總，</w:t>
      </w:r>
      <w:r>
        <w:rPr>
          <w:rFonts w:ascii="Times New Roman" w:eastAsia="Times New Roman"/>
          <w:i/>
          <w:sz w:val="24"/>
        </w:rPr>
        <w:t>2024</w:t>
      </w:r>
      <w:r>
        <w:rPr>
          <w:rFonts w:ascii="Times New Roman" w:eastAsia="Times New Roman"/>
          <w:i/>
          <w:spacing w:val="-15"/>
          <w:sz w:val="24"/>
        </w:rPr>
        <w:t> </w:t>
      </w:r>
      <w:r>
        <w:rPr>
          <w:sz w:val="25"/>
        </w:rPr>
        <w:t>訪談資料）</w:t>
      </w:r>
    </w:p>
    <w:p>
      <w:pPr>
        <w:spacing w:after="0" w:line="405" w:lineRule="auto"/>
        <w:jc w:val="left"/>
        <w:rPr>
          <w:sz w:val="25"/>
        </w:rPr>
        <w:sectPr>
          <w:pgSz w:w="11910" w:h="16840"/>
          <w:pgMar w:header="0" w:footer="1197" w:top="1800" w:bottom="1380" w:left="1133" w:right="1133"/>
        </w:sectPr>
      </w:pPr>
    </w:p>
    <w:p>
      <w:pPr>
        <w:pStyle w:val="Heading4"/>
        <w:spacing w:line="389" w:lineRule="exact"/>
      </w:pPr>
      <w:r>
        <w:rPr>
          <w:spacing w:val="-1"/>
        </w:rPr>
        <w:t>重視人文關懷的服務模式</w:t>
      </w:r>
    </w:p>
    <w:p>
      <w:pPr>
        <w:pStyle w:val="BodyText"/>
        <w:spacing w:line="422" w:lineRule="auto" w:before="358"/>
        <w:ind w:right="683" w:firstLine="479"/>
      </w:pPr>
      <w:r>
        <w:rPr>
          <w:spacing w:val="-6"/>
        </w:rPr>
        <w:t>在進入美國市場的過程中，諾亞克意識到，美國長期照護市場高度重視人文</w:t>
      </w:r>
      <w:r>
        <w:rPr>
          <w:spacing w:val="-4"/>
        </w:rPr>
        <w:t>關懷與多元包容，並以「信任」作為核心價值基石。因此，單純提供技術解決方案不足以滿足當地需求，更需深入理解美國文化中的人文精神，並將此作為服務</w:t>
      </w:r>
      <w:r>
        <w:rPr>
          <w:spacing w:val="-2"/>
        </w:rPr>
        <w:t>設計的起點與核心理念。這些洞察揭示了美國長照市場的人文特質並非僅停留於價值觀層面，而是深深嵌入日常運營的細節之中。</w:t>
      </w:r>
    </w:p>
    <w:p>
      <w:pPr>
        <w:spacing w:line="405" w:lineRule="auto" w:before="92"/>
        <w:ind w:left="1701" w:right="1696" w:firstLine="600"/>
        <w:jc w:val="both"/>
        <w:rPr>
          <w:sz w:val="25"/>
        </w:rPr>
      </w:pPr>
      <w:r>
        <w:rPr>
          <w:sz w:val="25"/>
        </w:rPr>
        <w:drawing>
          <wp:anchor distT="0" distB="0" distL="0" distR="0" allowOverlap="1" layoutInCell="1" locked="0" behindDoc="1" simplePos="0" relativeHeight="485826048">
            <wp:simplePos x="0" y="0"/>
            <wp:positionH relativeFrom="page">
              <wp:posOffset>3312414</wp:posOffset>
            </wp:positionH>
            <wp:positionV relativeFrom="paragraph">
              <wp:posOffset>1506150</wp:posOffset>
            </wp:positionV>
            <wp:extent cx="929640" cy="978408"/>
            <wp:effectExtent l="0" t="0" r="0" b="0"/>
            <wp:wrapNone/>
            <wp:docPr id="233" name="Image 233"/>
            <wp:cNvGraphicFramePr>
              <a:graphicFrameLocks/>
            </wp:cNvGraphicFramePr>
            <a:graphic>
              <a:graphicData uri="http://schemas.openxmlformats.org/drawingml/2006/picture">
                <pic:pic>
                  <pic:nvPicPr>
                    <pic:cNvPr id="233" name="Image 233"/>
                    <pic:cNvPicPr/>
                  </pic:nvPicPr>
                  <pic:blipFill>
                    <a:blip r:embed="rId6" cstate="print"/>
                    <a:stretch>
                      <a:fillRect/>
                    </a:stretch>
                  </pic:blipFill>
                  <pic:spPr>
                    <a:xfrm>
                      <a:off x="0" y="0"/>
                      <a:ext cx="929640" cy="978408"/>
                    </a:xfrm>
                    <a:prstGeom prst="rect">
                      <a:avLst/>
                    </a:prstGeom>
                  </pic:spPr>
                </pic:pic>
              </a:graphicData>
            </a:graphic>
          </wp:anchor>
        </w:drawing>
      </w:r>
      <w:r>
        <w:rPr>
          <w:spacing w:val="-6"/>
          <w:sz w:val="25"/>
        </w:rPr>
        <w:t>「你可以從細節中看到美國人如何展現多元包容。例</w:t>
      </w:r>
      <w:r>
        <w:rPr>
          <w:spacing w:val="-12"/>
          <w:sz w:val="25"/>
        </w:rPr>
        <w:t>如每個人用餐習慣不同，機構人員卻不會刻意為不同習慣的人分桌，而是以餐巾折角、標記的方式，不著痕跡地讓不同需求被看見。這種尊重差異、去標籤化的做法，非常不同於</w:t>
      </w:r>
      <w:r>
        <w:rPr>
          <w:spacing w:val="-14"/>
          <w:sz w:val="25"/>
        </w:rPr>
        <w:t>我們在台灣的經驗。」</w:t>
      </w:r>
      <w:r>
        <w:rPr>
          <w:spacing w:val="-2"/>
          <w:sz w:val="25"/>
        </w:rPr>
        <w:t>（沈家平執行長，風傳媒）</w:t>
      </w:r>
    </w:p>
    <w:p>
      <w:pPr>
        <w:pStyle w:val="BodyText"/>
        <w:spacing w:line="422" w:lineRule="auto" w:before="112"/>
        <w:ind w:right="683" w:firstLine="479"/>
      </w:pPr>
      <w:r>
        <w:rPr>
          <w:spacing w:val="-2"/>
        </w:rPr>
        <w:t>這些觀察反映出美國長照市場中的人文特質不僅是外部表象，更是深入日</w:t>
      </w:r>
      <w:r>
        <w:rPr>
          <w:spacing w:val="-4"/>
        </w:rPr>
        <w:t>常運營細節中的一部分。為了在這樣的市場中立足，諾亞克必須打造能夠理解和尊重個體需求的服務體驗。因此，理解和適應美國文化中這些看似微小但意義重</w:t>
      </w:r>
      <w:r>
        <w:rPr>
          <w:spacing w:val="-2"/>
        </w:rPr>
        <w:t>大的細節，將是諾亞克成功進入美國市場的重要因素。</w:t>
      </w:r>
    </w:p>
    <w:p>
      <w:pPr>
        <w:pStyle w:val="Heading3"/>
        <w:spacing w:before="69"/>
        <w:rPr>
          <w:position w:val="1"/>
        </w:rPr>
      </w:pPr>
      <w:r>
        <w:rPr>
          <w:b w:val="0"/>
        </w:rPr>
        <w:drawing>
          <wp:inline distT="0" distB="0" distL="0" distR="0">
            <wp:extent cx="529590" cy="130301"/>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121"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知識邊界之資源行動</w:t>
      </w:r>
    </w:p>
    <w:p>
      <w:pPr>
        <w:pStyle w:val="Heading4"/>
        <w:spacing w:before="340"/>
      </w:pPr>
      <w:r>
        <w:rPr>
          <w:spacing w:val="-1"/>
        </w:rPr>
        <w:t>併購長照機構，成為深耕美國體性的示範點</w:t>
      </w:r>
    </w:p>
    <w:p>
      <w:pPr>
        <w:pStyle w:val="BodyText"/>
        <w:spacing w:line="422" w:lineRule="auto" w:before="358"/>
        <w:ind w:right="683" w:firstLine="479"/>
      </w:pPr>
      <w:r>
        <w:rPr>
          <w:spacing w:val="-2"/>
        </w:rPr>
        <w:t>諾亞克透過併購當地長期照護機構並進行實際運營，目標不僅是管理該機</w:t>
      </w:r>
      <w:r>
        <w:rPr>
          <w:spacing w:val="-4"/>
        </w:rPr>
        <w:t>構，而是將其打造成為展示諾亞克產業整合能力的示範站點。這一策略使諾亞克能夠深入探索美國長照市場的核心問題，掌握「服務價值化」的實踐方法，並以</w:t>
      </w:r>
      <w:r>
        <w:rPr>
          <w:spacing w:val="-2"/>
        </w:rPr>
        <w:t>此為基礎推出完整的長照解決方案。</w:t>
      </w:r>
    </w:p>
    <w:p>
      <w:pPr>
        <w:pStyle w:val="BodyText"/>
        <w:spacing w:line="422" w:lineRule="auto" w:before="104"/>
        <w:ind w:right="683" w:firstLine="479"/>
        <w:jc w:val="left"/>
      </w:pPr>
      <w:r>
        <w:rPr>
          <w:spacing w:val="-6"/>
        </w:rPr>
        <w:t>此外，進軍美國市場的策略不僅僅是技術輸出，更是一場對不同文化和生命</w:t>
      </w:r>
      <w:r>
        <w:rPr>
          <w:spacing w:val="-7"/>
        </w:rPr>
        <w:t>觀點的探索與融入。在這一過程中，諾亞克採取了「落地、學習、借鏡、回饋」</w:t>
      </w:r>
    </w:p>
    <w:p>
      <w:pPr>
        <w:pStyle w:val="BodyText"/>
        <w:spacing w:after="0" w:line="422" w:lineRule="auto"/>
        <w:jc w:val="left"/>
        <w:sectPr>
          <w:pgSz w:w="11910" w:h="16840"/>
          <w:pgMar w:header="0" w:footer="1197" w:top="1760" w:bottom="1380" w:left="1133" w:right="1133"/>
        </w:sectPr>
      </w:pPr>
    </w:p>
    <w:p>
      <w:pPr>
        <w:pStyle w:val="BodyText"/>
        <w:spacing w:line="422" w:lineRule="auto" w:before="27"/>
        <w:ind w:right="683"/>
      </w:pPr>
      <w:r>
        <w:rPr>
          <w:spacing w:val="-4"/>
        </w:rPr>
        <w:t>的核心思維，透過在地化運營，深入理解並適應美國文化中對長照服務的需求與期待。通過融入這些特質，進一步細緻化其服務，提供既具意義又具價值，並符</w:t>
      </w:r>
      <w:r>
        <w:rPr>
          <w:spacing w:val="-2"/>
        </w:rPr>
        <w:t>合美國市場需求的創新長照解決方案。</w:t>
      </w:r>
    </w:p>
    <w:p>
      <w:pPr>
        <w:spacing w:line="405" w:lineRule="auto" w:before="94"/>
        <w:ind w:left="1701" w:right="1640" w:firstLine="480"/>
        <w:jc w:val="left"/>
        <w:rPr>
          <w:sz w:val="25"/>
        </w:rPr>
      </w:pPr>
      <w:r>
        <w:rPr>
          <w:spacing w:val="-8"/>
          <w:sz w:val="25"/>
        </w:rPr>
        <w:t>「從不同文化與生命觀點，跳脫框架來看待長照服務，</w:t>
      </w:r>
      <w:r>
        <w:rPr>
          <w:spacing w:val="-13"/>
          <w:sz w:val="25"/>
        </w:rPr>
        <w:t>才是本次併購的關鍵。」</w:t>
      </w:r>
      <w:r>
        <w:rPr>
          <w:spacing w:val="-2"/>
          <w:sz w:val="25"/>
        </w:rPr>
        <w:t>（沈家平執行長，風傳媒）</w:t>
      </w:r>
    </w:p>
    <w:p>
      <w:pPr>
        <w:spacing w:line="405" w:lineRule="auto" w:before="105"/>
        <w:ind w:left="1701" w:right="1700" w:firstLine="480"/>
        <w:jc w:val="both"/>
        <w:rPr>
          <w:sz w:val="25"/>
        </w:rPr>
      </w:pPr>
      <w:r>
        <w:rPr>
          <w:spacing w:val="-12"/>
          <w:sz w:val="25"/>
        </w:rPr>
        <w:t>「藉由親身經營一家長照機構，更能將諾亞克的資訊科</w:t>
      </w:r>
      <w:r>
        <w:rPr>
          <w:spacing w:val="-22"/>
          <w:sz w:val="25"/>
        </w:rPr>
        <w:t>技專業深耕美國，實踐我們 </w:t>
      </w:r>
      <w:r>
        <w:rPr>
          <w:rFonts w:ascii="Times New Roman" w:eastAsia="Times New Roman"/>
          <w:i/>
          <w:spacing w:val="-12"/>
          <w:sz w:val="24"/>
        </w:rPr>
        <w:t>Bottom</w:t>
      </w:r>
      <w:r>
        <w:rPr>
          <w:rFonts w:ascii="Times New Roman" w:eastAsia="Times New Roman"/>
          <w:i/>
          <w:spacing w:val="-3"/>
          <w:sz w:val="24"/>
        </w:rPr>
        <w:t> </w:t>
      </w:r>
      <w:r>
        <w:rPr>
          <w:rFonts w:ascii="Times New Roman" w:eastAsia="Times New Roman"/>
          <w:i/>
          <w:spacing w:val="-12"/>
          <w:sz w:val="24"/>
        </w:rPr>
        <w:t>Up</w:t>
      </w:r>
      <w:r>
        <w:rPr>
          <w:rFonts w:ascii="Times New Roman" w:eastAsia="Times New Roman"/>
          <w:i/>
          <w:spacing w:val="-2"/>
          <w:sz w:val="24"/>
        </w:rPr>
        <w:t> </w:t>
      </w:r>
      <w:r>
        <w:rPr>
          <w:spacing w:val="-18"/>
          <w:sz w:val="25"/>
        </w:rPr>
        <w:t>解決需求的品牌理念。</w:t>
      </w:r>
      <w:r>
        <w:rPr>
          <w:spacing w:val="-14"/>
          <w:sz w:val="25"/>
        </w:rPr>
        <w:t>同時，也向美國市場展示我們的長照生態系管理能力。</w:t>
      </w:r>
      <w:r>
        <w:rPr>
          <w:spacing w:val="-161"/>
          <w:sz w:val="25"/>
        </w:rPr>
        <w:t>」</w:t>
      </w:r>
      <w:r>
        <w:rPr>
          <w:spacing w:val="-14"/>
          <w:sz w:val="25"/>
        </w:rPr>
        <w:t>（沈</w:t>
      </w:r>
      <w:r>
        <w:rPr>
          <w:spacing w:val="-2"/>
          <w:sz w:val="25"/>
        </w:rPr>
        <w:t>家平執行長，商業週刊）</w:t>
      </w:r>
    </w:p>
    <w:p>
      <w:pPr>
        <w:pStyle w:val="Heading4"/>
        <w:spacing w:before="106"/>
      </w:pPr>
      <w:r>
        <w:rPr>
          <w:spacing w:val="-1"/>
        </w:rPr>
        <w:t>取得美國法規及醫療保險制度的研究</w:t>
      </w:r>
    </w:p>
    <w:p>
      <w:pPr>
        <w:pStyle w:val="BodyText"/>
        <w:spacing w:line="422" w:lineRule="auto" w:before="358"/>
        <w:ind w:right="682" w:firstLine="479"/>
      </w:pPr>
      <w:r>
        <w:rPr/>
        <w:drawing>
          <wp:anchor distT="0" distB="0" distL="0" distR="0" allowOverlap="1" layoutInCell="1" locked="0" behindDoc="1" simplePos="0" relativeHeight="485826560">
            <wp:simplePos x="0" y="0"/>
            <wp:positionH relativeFrom="page">
              <wp:posOffset>3312414</wp:posOffset>
            </wp:positionH>
            <wp:positionV relativeFrom="paragraph">
              <wp:posOffset>114238</wp:posOffset>
            </wp:positionV>
            <wp:extent cx="929640" cy="978408"/>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6" cstate="print"/>
                    <a:stretch>
                      <a:fillRect/>
                    </a:stretch>
                  </pic:blipFill>
                  <pic:spPr>
                    <a:xfrm>
                      <a:off x="0" y="0"/>
                      <a:ext cx="929640" cy="978408"/>
                    </a:xfrm>
                    <a:prstGeom prst="rect">
                      <a:avLst/>
                    </a:prstGeom>
                  </pic:spPr>
                </pic:pic>
              </a:graphicData>
            </a:graphic>
          </wp:anchor>
        </w:drawing>
      </w:r>
      <w:r>
        <w:rPr>
          <w:spacing w:val="-15"/>
        </w:rPr>
        <w:t>自 </w:t>
      </w:r>
      <w:r>
        <w:rPr>
          <w:rFonts w:ascii="Times New Roman" w:eastAsia="Times New Roman"/>
          <w:spacing w:val="-2"/>
        </w:rPr>
        <w:t>2018</w:t>
      </w:r>
      <w:r>
        <w:rPr>
          <w:rFonts w:ascii="Times New Roman" w:eastAsia="Times New Roman"/>
          <w:spacing w:val="-11"/>
        </w:rPr>
        <w:t> </w:t>
      </w:r>
      <w:r>
        <w:rPr>
          <w:spacing w:val="-2"/>
        </w:rPr>
        <w:t>年起，諾亞克開始著手開發美國長照系統，並對美國的醫療保險制</w:t>
      </w:r>
      <w:r>
        <w:rPr/>
        <w:t>度進行了深入研究，特別聚焦於美國醫療保險和醫療補助服務中心（</w:t>
      </w:r>
      <w:r>
        <w:rPr>
          <w:rFonts w:ascii="Times New Roman" w:eastAsia="Times New Roman"/>
        </w:rPr>
        <w:t>Centers</w:t>
      </w:r>
      <w:r>
        <w:rPr>
          <w:rFonts w:ascii="Times New Roman" w:eastAsia="Times New Roman"/>
          <w:spacing w:val="-15"/>
        </w:rPr>
        <w:t> </w:t>
      </w:r>
      <w:r>
        <w:rPr>
          <w:rFonts w:ascii="Times New Roman" w:eastAsia="Times New Roman"/>
        </w:rPr>
        <w:t>fo</w:t>
      </w:r>
      <w:r>
        <w:rPr>
          <w:rFonts w:ascii="Times New Roman" w:eastAsia="Times New Roman"/>
        </w:rPr>
        <w:t>r Medicare</w:t>
      </w:r>
      <w:r>
        <w:rPr>
          <w:rFonts w:ascii="Times New Roman" w:eastAsia="Times New Roman"/>
          <w:spacing w:val="-15"/>
        </w:rPr>
        <w:t> </w:t>
      </w:r>
      <w:r>
        <w:rPr>
          <w:rFonts w:ascii="Times New Roman" w:eastAsia="Times New Roman"/>
        </w:rPr>
        <w:t>&amp;</w:t>
      </w:r>
      <w:r>
        <w:rPr>
          <w:rFonts w:ascii="Times New Roman" w:eastAsia="Times New Roman"/>
          <w:spacing w:val="-15"/>
        </w:rPr>
        <w:t> </w:t>
      </w:r>
      <w:r>
        <w:rPr>
          <w:rFonts w:ascii="Times New Roman" w:eastAsia="Times New Roman"/>
        </w:rPr>
        <w:t>Medicaid</w:t>
      </w:r>
      <w:r>
        <w:rPr>
          <w:rFonts w:ascii="Times New Roman" w:eastAsia="Times New Roman"/>
          <w:spacing w:val="-15"/>
        </w:rPr>
        <w:t> </w:t>
      </w:r>
      <w:r>
        <w:rPr>
          <w:rFonts w:ascii="Times New Roman" w:eastAsia="Times New Roman"/>
        </w:rPr>
        <w:t>Services,</w:t>
      </w:r>
      <w:r>
        <w:rPr>
          <w:rFonts w:ascii="Times New Roman" w:eastAsia="Times New Roman"/>
          <w:spacing w:val="-15"/>
        </w:rPr>
        <w:t> </w:t>
      </w:r>
      <w:r>
        <w:rPr>
          <w:rFonts w:ascii="Times New Roman" w:eastAsia="Times New Roman"/>
        </w:rPr>
        <w:t>CMS</w:t>
      </w:r>
      <w:r>
        <w:rPr/>
        <w:t>）的相關規範。</w:t>
      </w:r>
      <w:r>
        <w:rPr>
          <w:rFonts w:ascii="Times New Roman" w:eastAsia="Times New Roman"/>
        </w:rPr>
        <w:t>CMS</w:t>
      </w:r>
      <w:r>
        <w:rPr>
          <w:rFonts w:ascii="Times New Roman" w:eastAsia="Times New Roman"/>
          <w:spacing w:val="26"/>
        </w:rPr>
        <w:t> </w:t>
      </w:r>
      <w:r>
        <w:rPr/>
        <w:t>在美國醫療體系中發揮</w:t>
      </w:r>
      <w:r>
        <w:rPr>
          <w:spacing w:val="-2"/>
        </w:rPr>
        <w:t>著類似台灣健保局的關鍵作用，充分理解其需求及數據標準對於諾亞克系統的適應性與合規性具有至關重要的影響。</w:t>
      </w:r>
    </w:p>
    <w:p>
      <w:pPr>
        <w:pStyle w:val="BodyText"/>
        <w:spacing w:line="422" w:lineRule="auto" w:before="103"/>
        <w:ind w:right="683" w:firstLine="479"/>
      </w:pPr>
      <w:r>
        <w:rPr>
          <w:spacing w:val="-2"/>
        </w:rPr>
        <w:t>經過兩至三年的深入學習和法規研究，諾亞克在與當地合作夥伴進行談判</w:t>
      </w:r>
      <w:r>
        <w:rPr>
          <w:spacing w:val="-4"/>
        </w:rPr>
        <w:t>時，展現了對美國醫療照護制度的深入了解。這種專業知識幫助諾亞克逐步建立起市場信任，讓當地潛在合作夥伴更加認可其實力與承諾，進而促成雙方共同探</w:t>
      </w:r>
      <w:r>
        <w:rPr>
          <w:spacing w:val="-2"/>
        </w:rPr>
        <w:t>討需求並推動解決方案的實施。</w:t>
      </w:r>
    </w:p>
    <w:p>
      <w:pPr>
        <w:spacing w:line="405" w:lineRule="auto" w:before="93"/>
        <w:ind w:left="1701" w:right="1641" w:firstLine="480"/>
        <w:jc w:val="both"/>
        <w:rPr>
          <w:rFonts w:ascii="Times New Roman" w:eastAsia="Times New Roman"/>
          <w:i/>
          <w:sz w:val="24"/>
        </w:rPr>
      </w:pPr>
      <w:r>
        <w:rPr>
          <w:spacing w:val="-8"/>
          <w:sz w:val="25"/>
        </w:rPr>
        <w:t>「因為照護產業是一個非常特別的事業，他們在那邊我們那時候因為要做這個系統，我們研究了他們的聯邦法律，研究了他們的州的政府的規定，研究了他們長照的法規，因</w:t>
      </w:r>
      <w:r>
        <w:rPr>
          <w:spacing w:val="-10"/>
          <w:sz w:val="25"/>
        </w:rPr>
        <w:t>為我們還要幫他去算他們的能力。</w:t>
      </w:r>
      <w:r>
        <w:rPr>
          <w:spacing w:val="-161"/>
          <w:sz w:val="25"/>
        </w:rPr>
        <w:t>」</w:t>
      </w:r>
      <w:r>
        <w:rPr>
          <w:spacing w:val="-10"/>
          <w:sz w:val="25"/>
        </w:rPr>
        <w:t>（林恩宇研發副總，</w:t>
      </w:r>
      <w:r>
        <w:rPr>
          <w:rFonts w:ascii="Times New Roman" w:eastAsia="Times New Roman"/>
          <w:i/>
          <w:spacing w:val="-10"/>
          <w:sz w:val="24"/>
        </w:rPr>
        <w:t>2024</w:t>
      </w:r>
    </w:p>
    <w:p>
      <w:pPr>
        <w:spacing w:line="315" w:lineRule="exact" w:before="0"/>
        <w:ind w:left="1701" w:right="0" w:firstLine="0"/>
        <w:jc w:val="left"/>
        <w:rPr>
          <w:sz w:val="25"/>
        </w:rPr>
      </w:pPr>
      <w:r>
        <w:rPr>
          <w:spacing w:val="-10"/>
          <w:sz w:val="25"/>
        </w:rPr>
        <w:t>訪談資料）</w:t>
      </w:r>
    </w:p>
    <w:p>
      <w:pPr>
        <w:spacing w:after="0" w:line="315" w:lineRule="exact"/>
        <w:jc w:val="left"/>
        <w:rPr>
          <w:sz w:val="25"/>
        </w:rPr>
        <w:sectPr>
          <w:pgSz w:w="11910" w:h="16840"/>
          <w:pgMar w:header="0" w:footer="1197" w:top="1760" w:bottom="1380" w:left="1133" w:right="1133"/>
        </w:sectPr>
      </w:pPr>
    </w:p>
    <w:p>
      <w:pPr>
        <w:pStyle w:val="Heading2"/>
        <w:spacing w:line="500" w:lineRule="exact"/>
        <w:rPr>
          <w:position w:val="1"/>
        </w:rPr>
      </w:pPr>
      <w:r>
        <w:rPr>
          <w:b w:val="0"/>
        </w:rPr>
        <w:drawing>
          <wp:inline distT="0" distB="0" distL="0" distR="0">
            <wp:extent cx="398525" cy="145542"/>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122"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position w:val="1"/>
          <w:sz w:val="20"/>
        </w:rPr>
        <w:t> </w:t>
      </w:r>
      <w:bookmarkStart w:name="_bookmark86" w:id="87"/>
      <w:bookmarkEnd w:id="87"/>
      <w:r>
        <w:rPr>
          <w:rFonts w:ascii="Times New Roman" w:eastAsia="Times New Roman"/>
          <w:b w:val="0"/>
          <w:spacing w:val="-24"/>
          <w:position w:val="1"/>
          <w:sz w:val="20"/>
        </w:rPr>
      </w:r>
      <w:r>
        <w:rPr>
          <w:spacing w:val="-2"/>
          <w:position w:val="1"/>
        </w:rPr>
        <w:t>美國技術邊界</w:t>
      </w:r>
    </w:p>
    <w:p>
      <w:pPr>
        <w:pStyle w:val="Heading3"/>
        <w:rPr>
          <w:position w:val="1"/>
        </w:rPr>
      </w:pPr>
      <w:r>
        <w:rPr>
          <w:b w:val="0"/>
        </w:rPr>
        <w:drawing>
          <wp:inline distT="0" distB="0" distL="0" distR="0">
            <wp:extent cx="529590" cy="130301"/>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23" cstate="print"/>
                    <a:stretch>
                      <a:fillRect/>
                    </a:stretch>
                  </pic:blipFill>
                  <pic:spPr>
                    <a:xfrm>
                      <a:off x="0" y="0"/>
                      <a:ext cx="529590" cy="130301"/>
                    </a:xfrm>
                    <a:prstGeom prst="rect">
                      <a:avLst/>
                    </a:prstGeom>
                  </pic:spPr>
                </pic:pic>
              </a:graphicData>
            </a:graphic>
          </wp:inline>
        </w:drawing>
      </w:r>
      <w:r>
        <w:rPr>
          <w:b w:val="0"/>
        </w:rPr>
      </w:r>
      <w:r>
        <w:rPr>
          <w:rFonts w:ascii="Times New Roman" w:eastAsia="Times New Roman"/>
          <w:b w:val="0"/>
          <w:spacing w:val="40"/>
          <w:position w:val="1"/>
          <w:sz w:val="20"/>
        </w:rPr>
        <w:t> </w:t>
      </w:r>
      <w:r>
        <w:rPr>
          <w:position w:val="1"/>
        </w:rPr>
        <w:t>技術跨界探索</w:t>
      </w:r>
    </w:p>
    <w:p>
      <w:pPr>
        <w:pStyle w:val="Heading4"/>
        <w:spacing w:before="340"/>
      </w:pPr>
      <w:r>
        <w:rPr>
          <w:spacing w:val="-1"/>
        </w:rPr>
        <w:t>缺乏針對人事管理系統的模組</w:t>
      </w:r>
    </w:p>
    <w:p>
      <w:pPr>
        <w:pStyle w:val="BodyText"/>
        <w:spacing w:line="422" w:lineRule="auto" w:before="358"/>
        <w:ind w:right="682" w:firstLine="479"/>
      </w:pPr>
      <w:r>
        <w:rPr/>
        <w:drawing>
          <wp:anchor distT="0" distB="0" distL="0" distR="0" allowOverlap="1" layoutInCell="1" locked="0" behindDoc="1" simplePos="0" relativeHeight="485827072">
            <wp:simplePos x="0" y="0"/>
            <wp:positionH relativeFrom="page">
              <wp:posOffset>3312414</wp:posOffset>
            </wp:positionH>
            <wp:positionV relativeFrom="paragraph">
              <wp:posOffset>2308972</wp:posOffset>
            </wp:positionV>
            <wp:extent cx="929640" cy="978408"/>
            <wp:effectExtent l="0" t="0" r="0" b="0"/>
            <wp:wrapNone/>
            <wp:docPr id="238" name="Image 238"/>
            <wp:cNvGraphicFramePr>
              <a:graphicFrameLocks/>
            </wp:cNvGraphicFramePr>
            <a:graphic>
              <a:graphicData uri="http://schemas.openxmlformats.org/drawingml/2006/picture">
                <pic:pic>
                  <pic:nvPicPr>
                    <pic:cNvPr id="238" name="Image 238"/>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在美國的長照市場，技術邊界集中於人事管理系統的缺乏與數位化管理程</w:t>
      </w:r>
      <w:r>
        <w:rPr>
          <w:spacing w:val="-4"/>
        </w:rPr>
        <w:t>度的不足。長照機構的人力資源管理、工時計算、排班以及薪資核算等過程目前多依賴手動操作，效率低且容易出錯，這樣的管理方式遠遠落後於現代的數位化需求。雖然市面上存在多種人事管理系統，但大部分是為通用行業設計的，並不能滿足長照產業中對於人力需求精確計算和合規管理的特殊要求。因此，這些系統在應用於長照產業時，往往失敗，導致長照機構缺乏針對性的管理工具來優化人員配置與運營效率。這些技術邊界表明，美國的長照市場需要針對性的人力管</w:t>
      </w:r>
      <w:r>
        <w:rPr>
          <w:spacing w:val="-2"/>
        </w:rPr>
        <w:t>理系統，才能克服現有的手動操作缺陷，實現管理自動化和運營的精確化。</w:t>
      </w:r>
    </w:p>
    <w:p>
      <w:pPr>
        <w:spacing w:line="405" w:lineRule="auto" w:before="89"/>
        <w:ind w:left="1701" w:right="1696" w:firstLine="480"/>
        <w:jc w:val="both"/>
        <w:rPr>
          <w:sz w:val="25"/>
        </w:rPr>
      </w:pPr>
      <w:r>
        <w:rPr>
          <w:spacing w:val="-12"/>
          <w:sz w:val="25"/>
        </w:rPr>
        <w:t>「以前他們都是用指紋打卡，但在養老機構裡最大問題是他們工作時需要戴手套。戴完手套後，手套會濕，這樣按</w:t>
      </w:r>
      <w:r>
        <w:rPr>
          <w:spacing w:val="-24"/>
          <w:sz w:val="25"/>
        </w:rPr>
        <w:t>指紋就很困難。甚至使用 </w:t>
      </w:r>
      <w:r>
        <w:rPr>
          <w:rFonts w:ascii="Times New Roman" w:eastAsia="Times New Roman"/>
          <w:i/>
          <w:spacing w:val="-14"/>
          <w:sz w:val="24"/>
        </w:rPr>
        <w:t>iPhone</w:t>
      </w:r>
      <w:r>
        <w:rPr>
          <w:rFonts w:ascii="Times New Roman" w:eastAsia="Times New Roman"/>
          <w:i/>
          <w:spacing w:val="10"/>
          <w:sz w:val="24"/>
        </w:rPr>
        <w:t> </w:t>
      </w:r>
      <w:r>
        <w:rPr>
          <w:spacing w:val="-26"/>
          <w:sz w:val="25"/>
        </w:rPr>
        <w:t>的指紋識別也不好用。因此，</w:t>
      </w:r>
      <w:r>
        <w:rPr>
          <w:spacing w:val="-12"/>
          <w:sz w:val="25"/>
        </w:rPr>
        <w:t>每次上班、休息或下班時，都會出現長長的排隊，這樣會造</w:t>
      </w:r>
      <w:r>
        <w:rPr>
          <w:spacing w:val="-24"/>
          <w:sz w:val="25"/>
        </w:rPr>
        <w:t>成困擾。」</w:t>
      </w:r>
      <w:r>
        <w:rPr>
          <w:sz w:val="25"/>
        </w:rPr>
        <w:t>（林恩宇研發副總，</w:t>
      </w:r>
      <w:r>
        <w:rPr>
          <w:rFonts w:ascii="Times New Roman" w:eastAsia="Times New Roman"/>
          <w:i/>
          <w:sz w:val="24"/>
        </w:rPr>
        <w:t>2023</w:t>
      </w:r>
      <w:r>
        <w:rPr>
          <w:rFonts w:ascii="Times New Roman" w:eastAsia="Times New Roman"/>
          <w:i/>
          <w:spacing w:val="-15"/>
          <w:sz w:val="24"/>
        </w:rPr>
        <w:t> </w:t>
      </w:r>
      <w:r>
        <w:rPr>
          <w:sz w:val="25"/>
        </w:rPr>
        <w:t>訪談資料）</w:t>
      </w:r>
    </w:p>
    <w:p>
      <w:pPr>
        <w:pStyle w:val="Heading3"/>
        <w:spacing w:before="77"/>
        <w:rPr>
          <w:position w:val="1"/>
        </w:rPr>
      </w:pPr>
      <w:r>
        <w:rPr>
          <w:b w:val="0"/>
        </w:rPr>
        <w:drawing>
          <wp:inline distT="0" distB="0" distL="0" distR="0">
            <wp:extent cx="529590" cy="130302"/>
            <wp:effectExtent l="0" t="0" r="0" b="0"/>
            <wp:docPr id="239" name="Image 239"/>
            <wp:cNvGraphicFramePr>
              <a:graphicFrameLocks/>
            </wp:cNvGraphicFramePr>
            <a:graphic>
              <a:graphicData uri="http://schemas.openxmlformats.org/drawingml/2006/picture">
                <pic:pic>
                  <pic:nvPicPr>
                    <pic:cNvPr id="239" name="Image 239"/>
                    <pic:cNvPicPr/>
                  </pic:nvPicPr>
                  <pic:blipFill>
                    <a:blip r:embed="rId124" cstate="print"/>
                    <a:stretch>
                      <a:fillRect/>
                    </a:stretch>
                  </pic:blipFill>
                  <pic:spPr>
                    <a:xfrm>
                      <a:off x="0" y="0"/>
                      <a:ext cx="529590" cy="130302"/>
                    </a:xfrm>
                    <a:prstGeom prst="rect">
                      <a:avLst/>
                    </a:prstGeom>
                  </pic:spPr>
                </pic:pic>
              </a:graphicData>
            </a:graphic>
          </wp:inline>
        </w:drawing>
      </w:r>
      <w:r>
        <w:rPr>
          <w:b w:val="0"/>
        </w:rPr>
      </w:r>
      <w:r>
        <w:rPr>
          <w:rFonts w:ascii="Times New Roman" w:eastAsia="Times New Roman"/>
          <w:b w:val="0"/>
          <w:spacing w:val="80"/>
          <w:position w:val="1"/>
          <w:sz w:val="20"/>
        </w:rPr>
        <w:t> </w:t>
      </w:r>
      <w:r>
        <w:rPr>
          <w:spacing w:val="-2"/>
          <w:position w:val="1"/>
        </w:rPr>
        <w:t>技術邊界之資源行動</w:t>
      </w:r>
    </w:p>
    <w:p>
      <w:pPr>
        <w:pStyle w:val="Heading4"/>
        <w:spacing w:before="341"/>
      </w:pPr>
      <w:r>
        <w:rPr/>
        <w:t>部署專屬長照管理系統 </w:t>
      </w:r>
      <w:r>
        <w:rPr>
          <w:rFonts w:ascii="Times New Roman" w:eastAsia="Times New Roman"/>
        </w:rPr>
        <w:t>Ucare2.0</w:t>
      </w:r>
      <w:r>
        <w:rPr>
          <w:rFonts w:ascii="Times New Roman" w:eastAsia="Times New Roman"/>
          <w:spacing w:val="-2"/>
        </w:rPr>
        <w:t> </w:t>
      </w:r>
      <w:r>
        <w:rPr>
          <w:spacing w:val="-1"/>
        </w:rPr>
        <w:t>並提高自動化管理水平</w:t>
      </w:r>
    </w:p>
    <w:p>
      <w:pPr>
        <w:pStyle w:val="BodyText"/>
        <w:spacing w:line="422" w:lineRule="auto" w:before="358"/>
        <w:ind w:right="686" w:firstLine="479"/>
      </w:pPr>
      <w:r>
        <w:rPr>
          <w:spacing w:val="-2"/>
        </w:rPr>
        <w:t>美國長照市場蓬勃發展且產業分工高度專業化，各類服務商皆擁有一定的</w:t>
      </w:r>
      <w:r>
        <w:rPr>
          <w:spacing w:val="-6"/>
        </w:rPr>
        <w:t>市場規模。然而，其主要挑戰在於服務供應商之間缺乏協同，單一供應商難以整</w:t>
      </w:r>
      <w:r>
        <w:rPr>
          <w:spacing w:val="-7"/>
        </w:rPr>
        <w:t>合全面的照護服務，導致服務斷點，嚴重影響現場效率。諾亞克運用在台灣累積</w:t>
      </w:r>
    </w:p>
    <w:p>
      <w:pPr>
        <w:pStyle w:val="BodyText"/>
        <w:spacing w:after="0" w:line="422" w:lineRule="auto"/>
        <w:sectPr>
          <w:pgSz w:w="11910" w:h="16840"/>
          <w:pgMar w:header="0" w:footer="1197" w:top="1800" w:bottom="1380" w:left="1133" w:right="1133"/>
        </w:sectPr>
      </w:pPr>
    </w:p>
    <w:p>
      <w:pPr>
        <w:pStyle w:val="BodyText"/>
        <w:spacing w:line="422" w:lineRule="auto" w:before="47"/>
        <w:ind w:right="686"/>
      </w:pPr>
      <w:r>
        <w:rPr>
          <w:spacing w:val="-9"/>
        </w:rPr>
        <w:t>的成熟 </w:t>
      </w:r>
      <w:r>
        <w:rPr>
          <w:rFonts w:ascii="Times New Roman" w:eastAsia="Times New Roman"/>
          <w:spacing w:val="-2"/>
        </w:rPr>
        <w:t>IT</w:t>
      </w:r>
      <w:r>
        <w:rPr>
          <w:rFonts w:ascii="Times New Roman" w:eastAsia="Times New Roman"/>
        </w:rPr>
        <w:t> </w:t>
      </w:r>
      <w:r>
        <w:rPr>
          <w:spacing w:val="-2"/>
        </w:rPr>
        <w:t>技術與醫療整合經驗，將台灣的長照整合模式引入美國，填補服務斷點，提升照護的連續性與效率。</w:t>
      </w:r>
    </w:p>
    <w:p>
      <w:pPr>
        <w:pStyle w:val="BodyText"/>
        <w:spacing w:line="422" w:lineRule="auto" w:before="105"/>
        <w:ind w:right="681" w:firstLine="479"/>
      </w:pPr>
      <w:r>
        <w:rPr>
          <w:spacing w:val="-2"/>
        </w:rPr>
        <w:t>為適應美國市場需求，諾亞克開發了一套符合當地文化與法律的模組化系</w:t>
      </w:r>
      <w:r>
        <w:rPr>
          <w:spacing w:val="-4"/>
        </w:rPr>
        <w:t>統，針對長照機構的工時計算、排班管理和人力比核算等需求，設計了包含上下班打卡、自動排班及薪資核算的解決方案。該系統能自動化處理工時計算，取代</w:t>
      </w:r>
      <w:r>
        <w:rPr>
          <w:spacing w:val="-9"/>
        </w:rPr>
        <w:t>傳統手工操作和紙本記錄，並符合政府合規標準，如精確計算「午餐罰款</w:t>
      </w:r>
      <w:r>
        <w:rPr>
          <w:spacing w:val="-197"/>
        </w:rPr>
        <w:t>」</w:t>
      </w:r>
      <w:r>
        <w:rPr>
          <w:spacing w:val="-6"/>
        </w:rPr>
        <w:t>（</w:t>
      </w:r>
      <w:r>
        <w:rPr>
          <w:rFonts w:ascii="Times New Roman" w:eastAsia="Times New Roman"/>
          <w:spacing w:val="-6"/>
        </w:rPr>
        <w:t>lunc</w:t>
      </w:r>
      <w:r>
        <w:rPr>
          <w:rFonts w:ascii="Times New Roman" w:eastAsia="Times New Roman"/>
          <w:spacing w:val="-6"/>
        </w:rPr>
        <w:t>h </w:t>
      </w:r>
      <w:r>
        <w:rPr>
          <w:rFonts w:ascii="Times New Roman" w:eastAsia="Times New Roman"/>
          <w:spacing w:val="11"/>
        </w:rPr>
        <w:t>p</w:t>
      </w:r>
      <w:r>
        <w:rPr>
          <w:rFonts w:ascii="Times New Roman" w:eastAsia="Times New Roman"/>
          <w:spacing w:val="10"/>
        </w:rPr>
        <w:t>e</w:t>
      </w:r>
      <w:r>
        <w:rPr>
          <w:rFonts w:ascii="Times New Roman" w:eastAsia="Times New Roman"/>
          <w:spacing w:val="11"/>
        </w:rPr>
        <w:t>n</w:t>
      </w:r>
      <w:r>
        <w:rPr>
          <w:rFonts w:ascii="Times New Roman" w:eastAsia="Times New Roman"/>
          <w:spacing w:val="10"/>
        </w:rPr>
        <w:t>a</w:t>
      </w:r>
      <w:r>
        <w:rPr>
          <w:rFonts w:ascii="Times New Roman" w:eastAsia="Times New Roman"/>
          <w:spacing w:val="11"/>
        </w:rPr>
        <w:t>lty</w:t>
      </w:r>
      <w:r>
        <w:rPr>
          <w:spacing w:val="-109"/>
        </w:rPr>
        <w:t>）</w:t>
      </w:r>
      <w:r>
        <w:rPr>
          <w:spacing w:val="-2"/>
        </w:rPr>
        <w:t>，避免額外加班費支出，進而提高機構的星級評價和市場競爭力。</w:t>
      </w:r>
    </w:p>
    <w:p>
      <w:pPr>
        <w:pStyle w:val="BodyText"/>
        <w:spacing w:line="422" w:lineRule="auto" w:before="103"/>
        <w:ind w:right="682" w:firstLine="479"/>
      </w:pPr>
      <w:r>
        <w:rPr/>
        <w:drawing>
          <wp:anchor distT="0" distB="0" distL="0" distR="0" allowOverlap="1" layoutInCell="1" locked="0" behindDoc="1" simplePos="0" relativeHeight="485827584">
            <wp:simplePos x="0" y="0"/>
            <wp:positionH relativeFrom="page">
              <wp:posOffset>3312414</wp:posOffset>
            </wp:positionH>
            <wp:positionV relativeFrom="paragraph">
              <wp:posOffset>1209293</wp:posOffset>
            </wp:positionV>
            <wp:extent cx="929640" cy="978408"/>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在系統開發過程中，諾亞克也針對美國市場需求開發服務。例如，針對養老</w:t>
      </w:r>
      <w:r>
        <w:rPr>
          <w:spacing w:val="-4"/>
        </w:rPr>
        <w:t>機構員工需戴手套操作的情況，諾亞克整合了人臉與手指識別功能，解決了指紋識別不便的問題，降低操作負擔並節省時間。這些功能並非完全由諾亞克獨立研</w:t>
      </w:r>
      <w:r>
        <w:rPr>
          <w:spacing w:val="-4"/>
        </w:rPr>
        <w:t>發，而是秉持整合為核心理念，透過與供應商合作，將外部資源融入系統，基於</w:t>
      </w:r>
      <w:r>
        <w:rPr>
          <w:spacing w:val="-2"/>
        </w:rPr>
        <w:t>現有技術進行優化與改進。</w:t>
      </w:r>
    </w:p>
    <w:p>
      <w:pPr>
        <w:spacing w:line="405" w:lineRule="auto" w:before="92"/>
        <w:ind w:left="1701" w:right="1699" w:firstLine="480"/>
        <w:jc w:val="both"/>
        <w:rPr>
          <w:sz w:val="25"/>
        </w:rPr>
      </w:pPr>
      <w:r>
        <w:rPr>
          <w:spacing w:val="-12"/>
          <w:sz w:val="25"/>
        </w:rPr>
        <w:t>「看起來很多東西都不怎麼樣，但這個場域就是需要這些解決方案。我們將這個功能整合進我們的系統中提供給他們使用。我們找供應商合作，讓他們在原本的人臉辨識基礎上加上手指的功能。他們表示這樣的要求並不困難，最終就</w:t>
      </w:r>
      <w:r>
        <w:rPr>
          <w:spacing w:val="-24"/>
          <w:sz w:val="25"/>
        </w:rPr>
        <w:t>實現了。」</w:t>
      </w:r>
      <w:r>
        <w:rPr>
          <w:sz w:val="25"/>
        </w:rPr>
        <w:t>（林恩宇研發副總，</w:t>
      </w:r>
      <w:r>
        <w:rPr>
          <w:rFonts w:ascii="Times New Roman" w:eastAsia="Times New Roman"/>
          <w:i/>
          <w:sz w:val="24"/>
        </w:rPr>
        <w:t>2023</w:t>
      </w:r>
      <w:r>
        <w:rPr>
          <w:rFonts w:ascii="Times New Roman" w:eastAsia="Times New Roman"/>
          <w:i/>
          <w:spacing w:val="-15"/>
          <w:sz w:val="24"/>
        </w:rPr>
        <w:t> </w:t>
      </w:r>
      <w:r>
        <w:rPr>
          <w:sz w:val="25"/>
        </w:rPr>
        <w:t>訪談資料）</w:t>
      </w:r>
    </w:p>
    <w:p>
      <w:pPr>
        <w:spacing w:after="0" w:line="405" w:lineRule="auto"/>
        <w:jc w:val="both"/>
        <w:rPr>
          <w:sz w:val="25"/>
        </w:rPr>
        <w:sectPr>
          <w:pgSz w:w="11910" w:h="16840"/>
          <w:pgMar w:header="0" w:footer="1197" w:top="1740" w:bottom="1380" w:left="1133" w:right="1133"/>
        </w:sectPr>
      </w:pPr>
    </w:p>
    <w:p>
      <w:pPr>
        <w:pStyle w:val="Heading2"/>
        <w:spacing w:line="500" w:lineRule="exact"/>
        <w:rPr>
          <w:position w:val="1"/>
        </w:rPr>
      </w:pPr>
      <w:r>
        <w:rPr>
          <w:b w:val="0"/>
        </w:rPr>
        <w:drawing>
          <wp:inline distT="0" distB="0" distL="0" distR="0">
            <wp:extent cx="398525" cy="145542"/>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125" cstate="print"/>
                    <a:stretch>
                      <a:fillRect/>
                    </a:stretch>
                  </pic:blipFill>
                  <pic:spPr>
                    <a:xfrm>
                      <a:off x="0" y="0"/>
                      <a:ext cx="398525" cy="145542"/>
                    </a:xfrm>
                    <a:prstGeom prst="rect">
                      <a:avLst/>
                    </a:prstGeom>
                  </pic:spPr>
                </pic:pic>
              </a:graphicData>
            </a:graphic>
          </wp:inline>
        </w:drawing>
      </w:r>
      <w:r>
        <w:rPr>
          <w:b w:val="0"/>
        </w:rPr>
      </w:r>
      <w:r>
        <w:rPr>
          <w:rFonts w:ascii="Times New Roman" w:eastAsia="Times New Roman"/>
          <w:b w:val="0"/>
          <w:spacing w:val="26"/>
          <w:position w:val="1"/>
          <w:sz w:val="20"/>
        </w:rPr>
        <w:t> </w:t>
      </w:r>
      <w:bookmarkStart w:name="_bookmark87" w:id="88"/>
      <w:bookmarkEnd w:id="88"/>
      <w:r>
        <w:rPr>
          <w:rFonts w:ascii="Times New Roman" w:eastAsia="Times New Roman"/>
          <w:b w:val="0"/>
          <w:spacing w:val="-24"/>
          <w:position w:val="1"/>
          <w:sz w:val="20"/>
        </w:rPr>
      </w:r>
      <w:r>
        <w:rPr>
          <w:spacing w:val="-4"/>
          <w:position w:val="1"/>
        </w:rPr>
        <w:t>數位服務的拓展</w:t>
      </w:r>
    </w:p>
    <w:p>
      <w:pPr>
        <w:pStyle w:val="Heading4"/>
        <w:spacing w:before="307"/>
      </w:pPr>
      <w:r>
        <w:rPr>
          <w:rFonts w:ascii="Times New Roman" w:eastAsia="Times New Roman"/>
        </w:rPr>
        <w:t>ESaaS</w:t>
      </w:r>
      <w:r>
        <w:rPr>
          <w:rFonts w:ascii="Times New Roman" w:eastAsia="Times New Roman"/>
          <w:spacing w:val="-1"/>
        </w:rPr>
        <w:t> </w:t>
      </w:r>
      <w:r>
        <w:rPr>
          <w:spacing w:val="-2"/>
        </w:rPr>
        <w:t>泛醫療生態圈的佈局</w:t>
      </w:r>
    </w:p>
    <w:p>
      <w:pPr>
        <w:pStyle w:val="BodyText"/>
        <w:spacing w:line="422" w:lineRule="auto" w:before="358"/>
        <w:ind w:right="682" w:firstLine="479"/>
      </w:pPr>
      <w:r>
        <w:rPr>
          <w:spacing w:val="-17"/>
        </w:rPr>
        <w:t>在長照產業中，諾亞克科技提出了「生態系統即服務</w:t>
      </w:r>
      <w:r>
        <w:rPr>
          <w:spacing w:val="-240"/>
        </w:rPr>
        <w:t>」</w:t>
      </w:r>
      <w:r>
        <w:rPr/>
        <w:t>（</w:t>
      </w:r>
      <w:r>
        <w:rPr>
          <w:rFonts w:ascii="Times New Roman" w:eastAsia="Times New Roman"/>
        </w:rPr>
        <w:t>Ecosystem</w:t>
      </w:r>
      <w:r>
        <w:rPr>
          <w:rFonts w:ascii="Times New Roman" w:eastAsia="Times New Roman"/>
          <w:spacing w:val="-15"/>
        </w:rPr>
        <w:t> </w:t>
      </w:r>
      <w:r>
        <w:rPr>
          <w:rFonts w:ascii="Times New Roman" w:eastAsia="Times New Roman"/>
        </w:rPr>
        <w:t>as</w:t>
      </w:r>
      <w:r>
        <w:rPr>
          <w:rFonts w:ascii="Times New Roman" w:eastAsia="Times New Roman"/>
          <w:spacing w:val="-15"/>
        </w:rPr>
        <w:t> </w:t>
      </w:r>
      <w:r>
        <w:rPr>
          <w:rFonts w:ascii="Times New Roman" w:eastAsia="Times New Roman"/>
        </w:rPr>
        <w:t>a</w:t>
      </w:r>
      <w:r>
        <w:rPr>
          <w:rFonts w:ascii="Times New Roman" w:eastAsia="Times New Roman"/>
          <w:spacing w:val="-15"/>
        </w:rPr>
        <w:t> </w:t>
      </w:r>
      <w:r>
        <w:rPr>
          <w:rFonts w:ascii="Times New Roman" w:eastAsia="Times New Roman"/>
        </w:rPr>
        <w:t>Service, </w:t>
      </w:r>
      <w:r>
        <w:rPr>
          <w:rFonts w:ascii="Times New Roman" w:eastAsia="Times New Roman"/>
          <w:spacing w:val="-2"/>
        </w:rPr>
        <w:t>ESaaS</w:t>
      </w:r>
      <w:r>
        <w:rPr>
          <w:spacing w:val="-2"/>
        </w:rPr>
        <w:t>）的概念，旨在整合軟硬體資源，提供更精緻更全面的服務模式，強調整體生態系統的串聯與整合，讓各領域的服務能無縫協同。通過 </w:t>
      </w:r>
      <w:r>
        <w:rPr>
          <w:rFonts w:ascii="Times New Roman" w:eastAsia="Times New Roman"/>
        </w:rPr>
        <w:t>ESaaS</w:t>
      </w:r>
      <w:r>
        <w:rPr>
          <w:rFonts w:ascii="Times New Roman" w:eastAsia="Times New Roman"/>
          <w:spacing w:val="16"/>
        </w:rPr>
        <w:t> </w:t>
      </w:r>
      <w:r>
        <w:rPr/>
        <w:t>的佈局，</w:t>
      </w:r>
      <w:r>
        <w:rPr>
          <w:spacing w:val="-4"/>
        </w:rPr>
        <w:t>諾亞克將企業資源規劃</w:t>
      </w:r>
      <w:r>
        <w:rPr>
          <w:spacing w:val="20"/>
        </w:rPr>
        <w:t>（</w:t>
      </w:r>
      <w:r>
        <w:rPr>
          <w:rFonts w:ascii="Times New Roman" w:eastAsia="Times New Roman"/>
          <w:spacing w:val="19"/>
        </w:rPr>
        <w:t>ER</w:t>
      </w:r>
      <w:r>
        <w:rPr>
          <w:rFonts w:ascii="Times New Roman" w:eastAsia="Times New Roman"/>
          <w:spacing w:val="21"/>
        </w:rPr>
        <w:t>P</w:t>
      </w:r>
      <w:r>
        <w:rPr>
          <w:spacing w:val="-103"/>
        </w:rPr>
        <w:t>）</w:t>
      </w:r>
      <w:r>
        <w:rPr>
          <w:spacing w:val="-4"/>
        </w:rPr>
        <w:t>、電子病歷（</w:t>
      </w:r>
      <w:r>
        <w:rPr>
          <w:rFonts w:ascii="Times New Roman" w:eastAsia="Times New Roman"/>
          <w:spacing w:val="-4"/>
        </w:rPr>
        <w:t>EMR</w:t>
      </w:r>
      <w:r>
        <w:rPr>
          <w:spacing w:val="-4"/>
        </w:rPr>
        <w:t>）等數位系統相互連結，將耗材、用藥需求整合至連續的服務鏈，最終以倉儲物流的方式送達客戶手中。這一</w:t>
      </w:r>
      <w:r>
        <w:rPr>
          <w:spacing w:val="-2"/>
        </w:rPr>
        <w:t>成功的商業模式不僅適用於台灣及美國市場，還具備向全球其他地區拓展的潛</w:t>
      </w:r>
      <w:r>
        <w:rPr>
          <w:spacing w:val="-6"/>
        </w:rPr>
        <w:t>力。</w:t>
      </w:r>
    </w:p>
    <w:p>
      <w:pPr>
        <w:pStyle w:val="BodyText"/>
        <w:spacing w:line="422" w:lineRule="auto" w:before="100"/>
        <w:ind w:left="569" w:right="563" w:firstLine="479"/>
      </w:pPr>
      <w:r>
        <w:rPr/>
        <w:drawing>
          <wp:anchor distT="0" distB="0" distL="0" distR="0" allowOverlap="1" layoutInCell="1" locked="0" behindDoc="1" simplePos="0" relativeHeight="485828096">
            <wp:simplePos x="0" y="0"/>
            <wp:positionH relativeFrom="page">
              <wp:posOffset>3312414</wp:posOffset>
            </wp:positionH>
            <wp:positionV relativeFrom="paragraph">
              <wp:posOffset>247433</wp:posOffset>
            </wp:positionV>
            <wp:extent cx="929640" cy="978408"/>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長期照護只是諾亞克切入大健康產業的第一步，泛醫療產業中還有許多潛力</w:t>
      </w:r>
      <w:r>
        <w:rPr>
          <w:spacing w:val="-4"/>
        </w:rPr>
        <w:t>可待開發。諾亞克計劃拓展至產後護理、動物醫療、牙醫以及遠距醫療等領域，這些領域各具特定需求。諾亞克將持續開發和整合服務，逐步建立起這些領域的業務版圖。例如，在長照產業中，諾亞克已經經營藥品、人力、耗材、物業和管理系統等多種事業；而在動物醫療領域，也將布局醫藥生化通路和管理系統。這種多層次</w:t>
      </w:r>
      <w:r>
        <w:rPr>
          <w:spacing w:val="-2"/>
        </w:rPr>
        <w:t>佈局有助於建立一個整合多元醫療服務的泛醫療生態圈，推動健康產業的整體協同與發展。</w:t>
      </w:r>
    </w:p>
    <w:p>
      <w:pPr>
        <w:spacing w:line="405" w:lineRule="auto" w:before="90"/>
        <w:ind w:left="1701" w:right="1700" w:firstLine="480"/>
        <w:jc w:val="left"/>
        <w:rPr>
          <w:sz w:val="25"/>
        </w:rPr>
      </w:pPr>
      <w:r>
        <w:rPr>
          <w:spacing w:val="-12"/>
          <w:sz w:val="25"/>
        </w:rPr>
        <w:t>「諾亞克的目標是以軟體為中心，整合服務、產品、通</w:t>
      </w:r>
      <w:r>
        <w:rPr>
          <w:spacing w:val="-13"/>
          <w:sz w:val="25"/>
        </w:rPr>
        <w:t>路市場，打造涵蓋急性醫療到居家照護的完整生態圈，成為</w:t>
      </w:r>
    </w:p>
    <w:p>
      <w:pPr>
        <w:spacing w:line="405" w:lineRule="auto" w:before="0"/>
        <w:ind w:left="1701" w:right="1699" w:firstLine="0"/>
        <w:jc w:val="both"/>
        <w:rPr>
          <w:sz w:val="25"/>
        </w:rPr>
      </w:pPr>
      <w:r>
        <w:rPr>
          <w:spacing w:val="-12"/>
          <w:sz w:val="25"/>
        </w:rPr>
        <w:t>「醫療保健產業的 </w:t>
      </w:r>
      <w:r>
        <w:rPr>
          <w:rFonts w:ascii="Times New Roman" w:eastAsia="Times New Roman"/>
          <w:i/>
          <w:spacing w:val="-10"/>
          <w:sz w:val="24"/>
        </w:rPr>
        <w:t>Amazon</w:t>
      </w:r>
      <w:r>
        <w:rPr>
          <w:spacing w:val="-22"/>
          <w:sz w:val="25"/>
        </w:rPr>
        <w:t>」。將透過台灣市場試點，逐步拓</w:t>
      </w:r>
      <w:r>
        <w:rPr>
          <w:spacing w:val="-8"/>
          <w:sz w:val="25"/>
        </w:rPr>
        <w:t>展至美國、新加坡，先以</w:t>
      </w:r>
      <w:r>
        <w:rPr>
          <w:rFonts w:ascii="Times New Roman" w:eastAsia="Times New Roman"/>
          <w:i/>
          <w:spacing w:val="-8"/>
          <w:sz w:val="24"/>
        </w:rPr>
        <w:t>uCare</w:t>
      </w:r>
      <w:r>
        <w:rPr>
          <w:rFonts w:ascii="Times New Roman" w:eastAsia="Times New Roman"/>
          <w:i/>
          <w:spacing w:val="-4"/>
          <w:sz w:val="24"/>
        </w:rPr>
        <w:t> </w:t>
      </w:r>
      <w:r>
        <w:rPr>
          <w:spacing w:val="-8"/>
          <w:sz w:val="25"/>
        </w:rPr>
        <w:t>長照</w:t>
      </w:r>
      <w:r>
        <w:rPr>
          <w:rFonts w:ascii="Times New Roman" w:eastAsia="Times New Roman"/>
          <w:i/>
          <w:spacing w:val="-8"/>
          <w:sz w:val="24"/>
        </w:rPr>
        <w:t>SaaS</w:t>
      </w:r>
      <w:r>
        <w:rPr>
          <w:rFonts w:ascii="Times New Roman" w:eastAsia="Times New Roman"/>
          <w:i/>
          <w:spacing w:val="-3"/>
          <w:sz w:val="24"/>
        </w:rPr>
        <w:t> </w:t>
      </w:r>
      <w:r>
        <w:rPr>
          <w:spacing w:val="-8"/>
          <w:sz w:val="25"/>
        </w:rPr>
        <w:t>軟體切入，再逐步</w:t>
      </w:r>
      <w:r>
        <w:rPr>
          <w:spacing w:val="-18"/>
          <w:sz w:val="25"/>
        </w:rPr>
        <w:t>導入醫療耗材和藥事服務。」</w:t>
      </w:r>
      <w:r>
        <w:rPr>
          <w:spacing w:val="-8"/>
          <w:sz w:val="25"/>
        </w:rPr>
        <w:t>（</w:t>
      </w:r>
      <w:r>
        <w:rPr>
          <w:rFonts w:ascii="Times New Roman" w:eastAsia="Times New Roman"/>
          <w:i/>
          <w:spacing w:val="-8"/>
          <w:sz w:val="24"/>
        </w:rPr>
        <w:t>Jone</w:t>
      </w:r>
      <w:r>
        <w:rPr>
          <w:rFonts w:ascii="Times New Roman" w:eastAsia="Times New Roman"/>
          <w:i/>
          <w:spacing w:val="-7"/>
          <w:sz w:val="24"/>
        </w:rPr>
        <w:t> </w:t>
      </w:r>
      <w:r>
        <w:rPr>
          <w:rFonts w:ascii="Times New Roman" w:eastAsia="Times New Roman"/>
          <w:i/>
          <w:spacing w:val="-8"/>
          <w:sz w:val="24"/>
        </w:rPr>
        <w:t>Chen</w:t>
      </w:r>
      <w:r>
        <w:rPr>
          <w:rFonts w:ascii="Times New Roman" w:eastAsia="Times New Roman"/>
          <w:i/>
          <w:spacing w:val="-7"/>
          <w:sz w:val="24"/>
        </w:rPr>
        <w:t> </w:t>
      </w:r>
      <w:r>
        <w:rPr>
          <w:spacing w:val="-8"/>
          <w:sz w:val="25"/>
        </w:rPr>
        <w:t>董事長，</w:t>
      </w:r>
      <w:r>
        <w:rPr>
          <w:rFonts w:ascii="Times New Roman" w:eastAsia="Times New Roman"/>
          <w:i/>
          <w:spacing w:val="-8"/>
          <w:sz w:val="24"/>
        </w:rPr>
        <w:t>2024</w:t>
      </w:r>
      <w:r>
        <w:rPr>
          <w:rFonts w:ascii="Times New Roman" w:eastAsia="Times New Roman"/>
          <w:i/>
          <w:spacing w:val="-7"/>
          <w:sz w:val="24"/>
        </w:rPr>
        <w:t> </w:t>
      </w:r>
      <w:r>
        <w:rPr>
          <w:spacing w:val="-8"/>
          <w:sz w:val="25"/>
        </w:rPr>
        <w:t>安可</w:t>
      </w:r>
      <w:r>
        <w:rPr>
          <w:spacing w:val="-4"/>
          <w:sz w:val="25"/>
        </w:rPr>
        <w:t>雜誌）</w:t>
      </w:r>
    </w:p>
    <w:p>
      <w:pPr>
        <w:spacing w:after="0" w:line="405" w:lineRule="auto"/>
        <w:jc w:val="both"/>
        <w:rPr>
          <w:sz w:val="25"/>
        </w:rPr>
        <w:sectPr>
          <w:pgSz w:w="11910" w:h="16840"/>
          <w:pgMar w:header="0" w:footer="1197" w:top="1800" w:bottom="1380" w:left="1133" w:right="1133"/>
        </w:sectPr>
      </w:pPr>
    </w:p>
    <w:p>
      <w:pPr>
        <w:pStyle w:val="Heading2"/>
        <w:spacing w:line="500" w:lineRule="exact"/>
        <w:rPr>
          <w:position w:val="1"/>
        </w:rPr>
      </w:pPr>
      <w:r>
        <w:rPr>
          <w:b w:val="0"/>
        </w:rPr>
        <w:drawing>
          <wp:inline distT="0" distB="0" distL="0" distR="0">
            <wp:extent cx="500634" cy="145542"/>
            <wp:effectExtent l="0" t="0" r="0" b="0"/>
            <wp:docPr id="243" name="Image 243"/>
            <wp:cNvGraphicFramePr>
              <a:graphicFrameLocks/>
            </wp:cNvGraphicFramePr>
            <a:graphic>
              <a:graphicData uri="http://schemas.openxmlformats.org/drawingml/2006/picture">
                <pic:pic>
                  <pic:nvPicPr>
                    <pic:cNvPr id="243" name="Image 243"/>
                    <pic:cNvPicPr/>
                  </pic:nvPicPr>
                  <pic:blipFill>
                    <a:blip r:embed="rId126" cstate="print"/>
                    <a:stretch>
                      <a:fillRect/>
                    </a:stretch>
                  </pic:blipFill>
                  <pic:spPr>
                    <a:xfrm>
                      <a:off x="0" y="0"/>
                      <a:ext cx="500634" cy="145542"/>
                    </a:xfrm>
                    <a:prstGeom prst="rect">
                      <a:avLst/>
                    </a:prstGeom>
                  </pic:spPr>
                </pic:pic>
              </a:graphicData>
            </a:graphic>
          </wp:inline>
        </w:drawing>
      </w:r>
      <w:r>
        <w:rPr>
          <w:b w:val="0"/>
        </w:rPr>
      </w:r>
      <w:r>
        <w:rPr>
          <w:rFonts w:ascii="Times New Roman" w:eastAsia="Times New Roman"/>
          <w:b w:val="0"/>
          <w:position w:val="1"/>
          <w:sz w:val="20"/>
        </w:rPr>
        <w:t> </w:t>
      </w:r>
      <w:bookmarkStart w:name="_bookmark88" w:id="89"/>
      <w:bookmarkEnd w:id="89"/>
      <w:r>
        <w:rPr>
          <w:rFonts w:ascii="Times New Roman" w:eastAsia="Times New Roman"/>
          <w:b w:val="0"/>
          <w:spacing w:val="-3"/>
          <w:position w:val="1"/>
          <w:sz w:val="20"/>
        </w:rPr>
      </w:r>
      <w:r>
        <w:rPr>
          <w:spacing w:val="-2"/>
          <w:position w:val="1"/>
        </w:rPr>
        <w:t>第三階段小結</w:t>
      </w:r>
    </w:p>
    <w:p>
      <w:pPr>
        <w:pStyle w:val="BodyText"/>
        <w:spacing w:line="422" w:lineRule="auto" w:before="386"/>
        <w:ind w:right="679" w:firstLine="479"/>
      </w:pPr>
      <w:r>
        <w:rPr>
          <w:spacing w:val="-6"/>
        </w:rPr>
        <w:t>在第三階段，台灣長照市場的環境已有多家競爭者，各機構各自為政，難以</w:t>
      </w:r>
      <w:r>
        <w:rPr>
          <w:spacing w:val="-4"/>
        </w:rPr>
        <w:t>有效連結，導致台灣長照市場產業呈現碎片化現象。面對這樣的挑戰，諾亞克依然堅持以「一站式整合」為目標，專注於找出長照產業中服務數位化的缺口。在此諾亞克以「生態協調」策略，這種策略的核心在於將自身已有的資源，如產品技術、社會資本、服務模式應用在與不同文化及領域建立合作模式，持續推動生態圈合作創新。基於這一洞見，諾亞克提出了兩個目標「醫藥養生態圈」及「進</w:t>
      </w:r>
      <w:r>
        <w:rPr>
          <w:spacing w:val="-14"/>
        </w:rPr>
        <w:t>軍美國」，計畫將耗材供應的成功經驗複製到藥局領域，並將醫藥養模式，複製</w:t>
      </w:r>
      <w:r>
        <w:rPr>
          <w:spacing w:val="-4"/>
        </w:rPr>
        <w:t>到美國。</w:t>
      </w:r>
    </w:p>
    <w:p>
      <w:pPr>
        <w:pStyle w:val="BodyText"/>
        <w:spacing w:line="422" w:lineRule="auto" w:before="99"/>
        <w:ind w:right="682" w:firstLine="479"/>
      </w:pPr>
      <w:r>
        <w:rPr/>
        <w:drawing>
          <wp:anchor distT="0" distB="0" distL="0" distR="0" allowOverlap="1" layoutInCell="1" locked="0" behindDoc="1" simplePos="0" relativeHeight="485828608">
            <wp:simplePos x="0" y="0"/>
            <wp:positionH relativeFrom="page">
              <wp:posOffset>3312414</wp:posOffset>
            </wp:positionH>
            <wp:positionV relativeFrom="paragraph">
              <wp:posOffset>361179</wp:posOffset>
            </wp:positionV>
            <wp:extent cx="929640" cy="978408"/>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在知識邊界方面，諾亞克選擇以投資方式快速了解專業知識及需求，入股藥</w:t>
      </w:r>
      <w:r>
        <w:rPr>
          <w:spacing w:val="-4"/>
        </w:rPr>
        <w:t>局以及收購美國養院，減少需求調研時間加速研發進程，同在此過程中，他們補足許多法規，同時也理解不同市場對服務的要求，進一步將其精神理念轉化為資</w:t>
      </w:r>
      <w:r>
        <w:rPr>
          <w:spacing w:val="-6"/>
        </w:rPr>
        <w:t>產。</w:t>
      </w:r>
    </w:p>
    <w:p>
      <w:pPr>
        <w:pStyle w:val="BodyText"/>
        <w:spacing w:line="422" w:lineRule="auto" w:before="104"/>
        <w:ind w:right="683" w:firstLine="479"/>
      </w:pPr>
      <w:r>
        <w:rPr>
          <w:spacing w:val="-6"/>
        </w:rPr>
        <w:t>在藥局的技術邊界，諾亞克將多系統整合，實現數據共享，並通過精確的庫</w:t>
      </w:r>
      <w:r>
        <w:rPr>
          <w:spacing w:val="-4"/>
        </w:rPr>
        <w:t>存管理，解決資訊孤島。而在美國方面，諾亞克突破了技術邊界的概念邊界與社</w:t>
      </w:r>
      <w:r>
        <w:rPr>
          <w:spacing w:val="-2"/>
        </w:rPr>
        <w:t>會邊界，根據法規與文化開發成功推出美國系統 </w:t>
      </w:r>
      <w:r>
        <w:rPr>
          <w:rFonts w:ascii="Times New Roman" w:eastAsia="Times New Roman"/>
        </w:rPr>
        <w:t>Ucare</w:t>
      </w:r>
      <w:r>
        <w:rPr>
          <w:rFonts w:ascii="Times New Roman" w:eastAsia="Times New Roman"/>
          <w:spacing w:val="8"/>
        </w:rPr>
        <w:t> </w:t>
      </w:r>
      <w:r>
        <w:rPr>
          <w:rFonts w:ascii="Times New Roman" w:eastAsia="Times New Roman"/>
        </w:rPr>
        <w:t>2.0</w:t>
      </w:r>
      <w:r>
        <w:rPr/>
        <w:t>。透過這些創新，諾</w:t>
      </w:r>
      <w:r>
        <w:rPr>
          <w:spacing w:val="-11"/>
        </w:rPr>
        <w:t>亞克成功建立了「泛醫療生態圈」。其中許多模組具備跨地域複製與相互借鏡的</w:t>
      </w:r>
      <w:r>
        <w:rPr>
          <w:spacing w:val="-2"/>
        </w:rPr>
        <w:t>潛力。本研究將諾亞克第三階段市場拓展相關分析整理如表 </w:t>
      </w:r>
      <w:r>
        <w:rPr>
          <w:rFonts w:ascii="Times New Roman" w:eastAsia="Times New Roman"/>
        </w:rPr>
        <w:t>5.3.10-1</w:t>
      </w:r>
      <w:r>
        <w:rPr/>
        <w:t>。</w:t>
      </w:r>
    </w:p>
    <w:p>
      <w:pPr>
        <w:pStyle w:val="BodyText"/>
        <w:spacing w:after="0" w:line="422" w:lineRule="auto"/>
        <w:sectPr>
          <w:pgSz w:w="11910" w:h="16840"/>
          <w:pgMar w:header="0" w:footer="1197" w:top="1800" w:bottom="1380" w:left="1133" w:right="1133"/>
        </w:sectPr>
      </w:pPr>
    </w:p>
    <w:p>
      <w:pPr>
        <w:pStyle w:val="Heading4"/>
        <w:spacing w:line="409" w:lineRule="exact"/>
        <w:ind w:left="597" w:right="118"/>
        <w:jc w:val="center"/>
      </w:pPr>
      <w:bookmarkStart w:name="_bookmark89" w:id="90"/>
      <w:bookmarkEnd w:id="90"/>
      <w:r>
        <w:rPr>
          <w:b w:val="0"/>
        </w:rPr>
      </w:r>
      <w:r>
        <w:rPr>
          <w:spacing w:val="30"/>
        </w:rPr>
        <w:t>表 </w:t>
      </w:r>
      <w:r>
        <w:rPr>
          <w:rFonts w:ascii="Times New Roman" w:eastAsia="Times New Roman"/>
        </w:rPr>
        <w:t>5.3.7-1</w:t>
      </w:r>
      <w:r>
        <w:rPr>
          <w:rFonts w:ascii="Times New Roman" w:eastAsia="Times New Roman"/>
          <w:spacing w:val="60"/>
        </w:rPr>
        <w:t> </w:t>
      </w:r>
      <w:r>
        <w:rPr>
          <w:spacing w:val="-2"/>
        </w:rPr>
        <w:t>第三階段分析表</w:t>
      </w:r>
    </w:p>
    <w:p>
      <w:pPr>
        <w:pStyle w:val="BodyText"/>
        <w:spacing w:before="17"/>
        <w:ind w:left="0"/>
        <w:jc w:val="left"/>
        <w:rPr>
          <w:rFonts w:ascii="Microsoft JhengHei"/>
          <w:b/>
          <w:sz w:val="9"/>
        </w:r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0"/>
        <w:gridCol w:w="1488"/>
        <w:gridCol w:w="3235"/>
        <w:gridCol w:w="3286"/>
      </w:tblGrid>
      <w:tr>
        <w:trPr>
          <w:trHeight w:val="719" w:hRule="atLeast"/>
        </w:trPr>
        <w:tc>
          <w:tcPr>
            <w:tcW w:w="2258" w:type="dxa"/>
            <w:gridSpan w:val="2"/>
            <w:vMerge w:val="restart"/>
            <w:shd w:val="clear" w:color="auto" w:fill="D0CECE"/>
          </w:tcPr>
          <w:p>
            <w:pPr>
              <w:pStyle w:val="TableParagraph"/>
              <w:spacing w:before="40"/>
              <w:rPr>
                <w:rFonts w:ascii="Microsoft JhengHei"/>
                <w:b/>
                <w:sz w:val="24"/>
              </w:rPr>
            </w:pPr>
          </w:p>
          <w:p>
            <w:pPr>
              <w:pStyle w:val="TableParagraph"/>
              <w:ind w:left="17"/>
              <w:jc w:val="center"/>
              <w:rPr>
                <w:rFonts w:ascii="Microsoft JhengHei" w:eastAsia="Microsoft JhengHei"/>
                <w:b/>
                <w:sz w:val="24"/>
              </w:rPr>
            </w:pPr>
            <w:r>
              <w:rPr>
                <w:rFonts w:ascii="Microsoft JhengHei" w:eastAsia="Microsoft JhengHei"/>
                <w:b/>
                <w:spacing w:val="-5"/>
                <w:sz w:val="24"/>
              </w:rPr>
              <w:t>理論</w:t>
            </w:r>
          </w:p>
        </w:tc>
        <w:tc>
          <w:tcPr>
            <w:tcW w:w="6521" w:type="dxa"/>
            <w:gridSpan w:val="2"/>
            <w:shd w:val="clear" w:color="auto" w:fill="D0CECE"/>
          </w:tcPr>
          <w:p>
            <w:pPr>
              <w:pStyle w:val="TableParagraph"/>
              <w:spacing w:before="112"/>
              <w:ind w:left="19"/>
              <w:jc w:val="center"/>
              <w:rPr>
                <w:rFonts w:ascii="Microsoft JhengHei" w:eastAsia="Microsoft JhengHei"/>
                <w:b/>
                <w:sz w:val="24"/>
              </w:rPr>
            </w:pPr>
            <w:r>
              <w:rPr>
                <w:rFonts w:ascii="Microsoft JhengHei" w:eastAsia="Microsoft JhengHei"/>
                <w:b/>
                <w:spacing w:val="-3"/>
                <w:sz w:val="24"/>
              </w:rPr>
              <w:t>觀察重點</w:t>
            </w:r>
          </w:p>
        </w:tc>
      </w:tr>
      <w:tr>
        <w:trPr>
          <w:trHeight w:val="719" w:hRule="atLeast"/>
        </w:trPr>
        <w:tc>
          <w:tcPr>
            <w:tcW w:w="2258" w:type="dxa"/>
            <w:gridSpan w:val="2"/>
            <w:vMerge/>
            <w:tcBorders>
              <w:top w:val="nil"/>
            </w:tcBorders>
            <w:shd w:val="clear" w:color="auto" w:fill="D0CECE"/>
          </w:tcPr>
          <w:p>
            <w:pPr>
              <w:rPr>
                <w:sz w:val="2"/>
                <w:szCs w:val="2"/>
              </w:rPr>
            </w:pPr>
          </w:p>
        </w:tc>
        <w:tc>
          <w:tcPr>
            <w:tcW w:w="3235" w:type="dxa"/>
            <w:shd w:val="clear" w:color="auto" w:fill="D0CECE"/>
          </w:tcPr>
          <w:p>
            <w:pPr>
              <w:pStyle w:val="TableParagraph"/>
              <w:spacing w:before="112"/>
              <w:ind w:left="21"/>
              <w:jc w:val="center"/>
              <w:rPr>
                <w:rFonts w:ascii="Microsoft JhengHei" w:eastAsia="Microsoft JhengHei"/>
                <w:b/>
                <w:sz w:val="24"/>
              </w:rPr>
            </w:pPr>
            <w:r>
              <w:rPr>
                <w:rFonts w:ascii="Microsoft JhengHei" w:eastAsia="Microsoft JhengHei"/>
                <w:b/>
                <w:spacing w:val="-5"/>
                <w:sz w:val="24"/>
              </w:rPr>
              <w:t>藥局</w:t>
            </w:r>
          </w:p>
        </w:tc>
        <w:tc>
          <w:tcPr>
            <w:tcW w:w="3286" w:type="dxa"/>
            <w:shd w:val="clear" w:color="auto" w:fill="D0CECE"/>
          </w:tcPr>
          <w:p>
            <w:pPr>
              <w:pStyle w:val="TableParagraph"/>
              <w:spacing w:before="112"/>
              <w:ind w:left="14"/>
              <w:jc w:val="center"/>
              <w:rPr>
                <w:rFonts w:ascii="Microsoft JhengHei" w:eastAsia="Microsoft JhengHei"/>
                <w:b/>
                <w:sz w:val="24"/>
              </w:rPr>
            </w:pPr>
            <w:r>
              <w:rPr>
                <w:rFonts w:ascii="Microsoft JhengHei" w:eastAsia="Microsoft JhengHei"/>
                <w:b/>
                <w:spacing w:val="-5"/>
                <w:sz w:val="24"/>
              </w:rPr>
              <w:t>美國</w:t>
            </w:r>
          </w:p>
        </w:tc>
      </w:tr>
      <w:tr>
        <w:trPr>
          <w:trHeight w:val="2342" w:hRule="atLeast"/>
        </w:trPr>
        <w:tc>
          <w:tcPr>
            <w:tcW w:w="2258" w:type="dxa"/>
            <w:gridSpan w:val="2"/>
          </w:tcPr>
          <w:p>
            <w:pPr>
              <w:pStyle w:val="TableParagraph"/>
              <w:rPr>
                <w:rFonts w:ascii="Microsoft JhengHei"/>
                <w:b/>
                <w:sz w:val="24"/>
              </w:rPr>
            </w:pPr>
          </w:p>
          <w:p>
            <w:pPr>
              <w:pStyle w:val="TableParagraph"/>
              <w:spacing w:before="43"/>
              <w:rPr>
                <w:rFonts w:ascii="Microsoft JhengHei"/>
                <w:b/>
                <w:sz w:val="24"/>
              </w:rPr>
            </w:pPr>
          </w:p>
          <w:p>
            <w:pPr>
              <w:pStyle w:val="TableParagraph"/>
              <w:ind w:left="647"/>
              <w:rPr>
                <w:rFonts w:ascii="Microsoft JhengHei" w:eastAsia="Microsoft JhengHei"/>
                <w:b/>
                <w:sz w:val="24"/>
              </w:rPr>
            </w:pPr>
            <w:r>
              <w:rPr>
                <w:rFonts w:ascii="Microsoft JhengHei" w:eastAsia="Microsoft JhengHei"/>
                <w:b/>
                <w:spacing w:val="-3"/>
                <w:sz w:val="24"/>
              </w:rPr>
              <w:t>競爭環境</w:t>
            </w:r>
          </w:p>
        </w:tc>
        <w:tc>
          <w:tcPr>
            <w:tcW w:w="6521" w:type="dxa"/>
            <w:gridSpan w:val="2"/>
          </w:tcPr>
          <w:p>
            <w:pPr>
              <w:pStyle w:val="TableParagraph"/>
              <w:spacing w:line="297" w:lineRule="auto" w:before="170"/>
              <w:ind w:left="264" w:right="182"/>
              <w:rPr>
                <w:sz w:val="24"/>
              </w:rPr>
            </w:pPr>
            <w:r>
              <w:rPr>
                <w:rFonts w:ascii="Microsoft JhengHei" w:eastAsia="Microsoft JhengHei"/>
                <w:b/>
                <w:spacing w:val="-2"/>
                <w:sz w:val="24"/>
              </w:rPr>
              <w:t>台灣市場碎片化：</w:t>
            </w:r>
            <w:r>
              <w:rPr>
                <w:spacing w:val="-2"/>
                <w:sz w:val="24"/>
              </w:rPr>
              <w:t>長照機構各自為政，缺乏整合與協作，</w:t>
            </w:r>
            <w:r>
              <w:rPr>
                <w:spacing w:val="-9"/>
                <w:sz w:val="24"/>
              </w:rPr>
              <w:t>資訊流通受阻，效率低下，無法滿足高品質綜合服務需求。</w:t>
            </w:r>
          </w:p>
          <w:p>
            <w:pPr>
              <w:pStyle w:val="TableParagraph"/>
              <w:spacing w:line="297" w:lineRule="auto" w:before="116"/>
              <w:ind w:left="264" w:right="231"/>
              <w:rPr>
                <w:sz w:val="24"/>
              </w:rPr>
            </w:pPr>
            <w:r>
              <w:rPr>
                <w:rFonts w:ascii="Microsoft JhengHei" w:eastAsia="Microsoft JhengHei"/>
                <w:b/>
                <w:spacing w:val="-2"/>
                <w:sz w:val="24"/>
              </w:rPr>
              <w:t>台灣市場收費模式的局限性：</w:t>
            </w:r>
            <w:r>
              <w:rPr>
                <w:spacing w:val="-2"/>
                <w:sz w:val="24"/>
              </w:rPr>
              <w:t>台灣長照機構因收費限制，服務多局限於基本需求，難以提升整體產業競爭力。</w:t>
            </w:r>
          </w:p>
        </w:tc>
      </w:tr>
      <w:tr>
        <w:trPr>
          <w:trHeight w:val="1763" w:hRule="atLeast"/>
        </w:trPr>
        <w:tc>
          <w:tcPr>
            <w:tcW w:w="2258" w:type="dxa"/>
            <w:gridSpan w:val="2"/>
          </w:tcPr>
          <w:p>
            <w:pPr>
              <w:pStyle w:val="TableParagraph"/>
              <w:spacing w:before="194"/>
              <w:rPr>
                <w:rFonts w:ascii="Microsoft JhengHei"/>
                <w:b/>
                <w:sz w:val="24"/>
              </w:rPr>
            </w:pPr>
          </w:p>
          <w:p>
            <w:pPr>
              <w:pStyle w:val="TableParagraph"/>
              <w:ind w:left="647"/>
              <w:rPr>
                <w:rFonts w:ascii="Microsoft JhengHei" w:eastAsia="Microsoft JhengHei"/>
                <w:b/>
                <w:sz w:val="24"/>
              </w:rPr>
            </w:pPr>
            <w:r>
              <w:rPr>
                <w:rFonts w:ascii="Microsoft JhengHei" w:eastAsia="Microsoft JhengHei"/>
                <w:b/>
                <w:spacing w:val="-3"/>
                <w:sz w:val="24"/>
              </w:rPr>
              <w:t>組織策略</w:t>
            </w:r>
          </w:p>
        </w:tc>
        <w:tc>
          <w:tcPr>
            <w:tcW w:w="6521" w:type="dxa"/>
            <w:gridSpan w:val="2"/>
          </w:tcPr>
          <w:p>
            <w:pPr>
              <w:pStyle w:val="TableParagraph"/>
              <w:spacing w:line="468" w:lineRule="exact" w:before="112"/>
              <w:ind w:left="264" w:right="179"/>
              <w:jc w:val="both"/>
              <w:rPr>
                <w:sz w:val="24"/>
              </w:rPr>
            </w:pPr>
            <w:r>
              <w:rPr>
                <w:spacing w:val="-53"/>
                <w:sz w:val="24"/>
              </w:rPr>
              <w:t>以</w:t>
            </w:r>
            <w:r>
              <w:rPr>
                <w:rFonts w:ascii="Microsoft JhengHei" w:eastAsia="Microsoft JhengHei"/>
                <w:b/>
                <w:spacing w:val="-12"/>
                <w:sz w:val="24"/>
              </w:rPr>
              <w:t>「生態協調」</w:t>
            </w:r>
            <w:r>
              <w:rPr>
                <w:spacing w:val="-4"/>
                <w:sz w:val="24"/>
              </w:rPr>
              <w:t>為核心策略，將長照模式擴展至多元場域，</w:t>
            </w:r>
            <w:r>
              <w:rPr>
                <w:sz w:val="24"/>
              </w:rPr>
              <w:t>提升資產槓桿效益和服務市場。透過 </w:t>
            </w:r>
            <w:r>
              <w:rPr>
                <w:rFonts w:ascii="Times New Roman" w:eastAsia="Times New Roman"/>
                <w:sz w:val="24"/>
              </w:rPr>
              <w:t>SaaS</w:t>
            </w:r>
            <w:r>
              <w:rPr>
                <w:rFonts w:ascii="Times New Roman" w:eastAsia="Times New Roman"/>
                <w:spacing w:val="40"/>
                <w:sz w:val="24"/>
              </w:rPr>
              <w:t> </w:t>
            </w:r>
            <w:r>
              <w:rPr>
                <w:sz w:val="24"/>
              </w:rPr>
              <w:t>的可擴展性特</w:t>
            </w:r>
            <w:r>
              <w:rPr>
                <w:spacing w:val="-2"/>
                <w:sz w:val="24"/>
              </w:rPr>
              <w:t>徵為跨領域、跨國界發展提供支持。</w:t>
            </w:r>
          </w:p>
        </w:tc>
      </w:tr>
      <w:tr>
        <w:trPr>
          <w:trHeight w:val="3527" w:hRule="atLeast"/>
        </w:trPr>
        <w:tc>
          <w:tcPr>
            <w:tcW w:w="770"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205"/>
              <w:rPr>
                <w:rFonts w:ascii="Microsoft JhengHei"/>
                <w:b/>
                <w:sz w:val="24"/>
              </w:rPr>
            </w:pPr>
          </w:p>
          <w:p>
            <w:pPr>
              <w:pStyle w:val="TableParagraph"/>
              <w:spacing w:line="254" w:lineRule="auto"/>
              <w:ind w:left="263" w:right="244"/>
              <w:jc w:val="both"/>
              <w:rPr>
                <w:rFonts w:ascii="Microsoft JhengHei" w:eastAsia="Microsoft JhengHei"/>
                <w:b/>
                <w:sz w:val="24"/>
              </w:rPr>
            </w:pPr>
            <w:r>
              <w:rPr>
                <w:rFonts w:ascii="Microsoft JhengHei" w:eastAsia="Microsoft JhengHei"/>
                <w:b/>
                <w:spacing w:val="-10"/>
                <w:sz w:val="24"/>
              </w:rPr>
              <w:t>市場邊界</w:t>
            </w:r>
          </w:p>
        </w:tc>
        <w:tc>
          <w:tcPr>
            <w:tcW w:w="1488" w:type="dxa"/>
          </w:tcPr>
          <w:p>
            <w:pPr>
              <w:pStyle w:val="TableParagraph"/>
              <w:rPr>
                <w:rFonts w:ascii="Microsoft JhengHei"/>
                <w:b/>
                <w:sz w:val="24"/>
              </w:rPr>
            </w:pPr>
          </w:p>
          <w:p>
            <w:pPr>
              <w:pStyle w:val="TableParagraph"/>
              <w:rPr>
                <w:rFonts w:ascii="Microsoft JhengHei"/>
                <w:b/>
                <w:sz w:val="24"/>
              </w:rPr>
            </w:pPr>
          </w:p>
          <w:p>
            <w:pPr>
              <w:pStyle w:val="TableParagraph"/>
              <w:spacing w:before="195"/>
              <w:rPr>
                <w:rFonts w:ascii="Microsoft JhengHei"/>
                <w:b/>
                <w:sz w:val="24"/>
              </w:rPr>
            </w:pPr>
          </w:p>
          <w:p>
            <w:pPr>
              <w:pStyle w:val="TableParagraph"/>
              <w:ind w:left="261"/>
              <w:rPr>
                <w:rFonts w:ascii="Microsoft JhengHei" w:eastAsia="Microsoft JhengHei"/>
                <w:b/>
                <w:sz w:val="24"/>
              </w:rPr>
            </w:pPr>
            <w:r>
              <w:rPr>
                <w:rFonts w:ascii="Microsoft JhengHei" w:eastAsia="Microsoft JhengHei"/>
                <w:b/>
                <w:spacing w:val="-3"/>
                <w:sz w:val="24"/>
              </w:rPr>
              <w:t>跨界探索</w:t>
            </w:r>
          </w:p>
        </w:tc>
        <w:tc>
          <w:tcPr>
            <w:tcW w:w="3235" w:type="dxa"/>
          </w:tcPr>
          <w:p>
            <w:pPr>
              <w:pStyle w:val="TableParagraph"/>
              <w:spacing w:before="347"/>
              <w:ind w:left="264"/>
              <w:rPr>
                <w:sz w:val="24"/>
              </w:rPr>
            </w:pPr>
            <w:r>
              <w:rPr>
                <w:sz w:val="24"/>
              </w:rPr>
              <mc:AlternateContent>
                <mc:Choice Requires="wps">
                  <w:drawing>
                    <wp:anchor distT="0" distB="0" distL="0" distR="0" allowOverlap="1" layoutInCell="1" locked="0" behindDoc="1" simplePos="0" relativeHeight="485829120">
                      <wp:simplePos x="0" y="0"/>
                      <wp:positionH relativeFrom="column">
                        <wp:posOffset>791083</wp:posOffset>
                      </wp:positionH>
                      <wp:positionV relativeFrom="paragraph">
                        <wp:posOffset>-248146</wp:posOffset>
                      </wp:positionV>
                      <wp:extent cx="929640" cy="978535"/>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929640" cy="978535"/>
                                <a:chExt cx="929640" cy="978535"/>
                              </a:xfrm>
                            </wpg:grpSpPr>
                            <pic:pic>
                              <pic:nvPicPr>
                                <pic:cNvPr id="246" name="Image 246"/>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2.290005pt;margin-top:-19.539064pt;width:73.2pt;height:77.05pt;mso-position-horizontal-relative:column;mso-position-vertical-relative:paragraph;z-index:-17487360" id="docshapegroup32" coordorigin="1246,-391" coordsize="1464,1541">
                      <v:shape style="position:absolute;left:1245;top:-391;width:1464;height:1541" type="#_x0000_t75" id="docshape33" stroked="false">
                        <v:imagedata r:id="rId6" o:title=""/>
                      </v:shape>
                      <w10:wrap type="none"/>
                    </v:group>
                  </w:pict>
                </mc:Fallback>
              </mc:AlternateContent>
            </w:r>
            <w:r>
              <w:rPr>
                <w:rFonts w:ascii="Microsoft JhengHei" w:eastAsia="Microsoft JhengHei"/>
                <w:b/>
                <w:sz w:val="24"/>
              </w:rPr>
              <w:t>藥局數位化的潛力：</w:t>
            </w:r>
            <w:r>
              <w:rPr>
                <w:spacing w:val="-5"/>
                <w:sz w:val="24"/>
              </w:rPr>
              <w:t>藥事</w:t>
            </w:r>
          </w:p>
          <w:p>
            <w:pPr>
              <w:pStyle w:val="TableParagraph"/>
              <w:spacing w:line="364" w:lineRule="auto" w:before="107"/>
              <w:ind w:left="264" w:right="235"/>
              <w:jc w:val="both"/>
              <w:rPr>
                <w:sz w:val="24"/>
              </w:rPr>
            </w:pPr>
            <w:r>
              <w:rPr>
                <w:spacing w:val="-2"/>
                <w:sz w:val="24"/>
              </w:rPr>
              <w:t>系統數位化可大幅減少行政時間，還可以長照系統</w:t>
            </w:r>
            <w:r>
              <w:rPr>
                <w:spacing w:val="-16"/>
                <w:sz w:val="24"/>
              </w:rPr>
              <w:t>協作。除了台灣市場，此模</w:t>
            </w:r>
            <w:r>
              <w:rPr>
                <w:spacing w:val="-2"/>
                <w:sz w:val="24"/>
              </w:rPr>
              <w:t>式在地廣人稀的美國，有更大的發展潛力。</w:t>
            </w:r>
          </w:p>
        </w:tc>
        <w:tc>
          <w:tcPr>
            <w:tcW w:w="3286" w:type="dxa"/>
          </w:tcPr>
          <w:p>
            <w:pPr>
              <w:pStyle w:val="TableParagraph"/>
              <w:spacing w:line="381" w:lineRule="auto" w:before="239"/>
              <w:ind w:left="128" w:right="-72" w:hanging="120"/>
              <w:rPr>
                <w:sz w:val="24"/>
              </w:rPr>
            </w:pPr>
            <w:r>
              <w:rPr>
                <w:rFonts w:ascii="Microsoft JhengHei" w:eastAsia="Microsoft JhengHei"/>
                <w:b/>
                <w:spacing w:val="-4"/>
                <w:sz w:val="24"/>
              </w:rPr>
              <w:t>健全的收入模式支持企業研發：</w:t>
            </w:r>
            <w:r>
              <w:rPr>
                <w:spacing w:val="-2"/>
                <w:sz w:val="24"/>
              </w:rPr>
              <w:t>市場重視技術創新，為國際企業進入創造機會。</w:t>
            </w:r>
          </w:p>
          <w:p>
            <w:pPr>
              <w:pStyle w:val="TableParagraph"/>
              <w:spacing w:line="297" w:lineRule="auto" w:before="13"/>
              <w:ind w:left="128" w:right="109"/>
              <w:rPr>
                <w:sz w:val="24"/>
              </w:rPr>
            </w:pPr>
            <w:r>
              <w:rPr>
                <w:rFonts w:ascii="Microsoft JhengHei" w:eastAsia="Microsoft JhengHei"/>
                <w:b/>
                <w:spacing w:val="-8"/>
                <w:sz w:val="24"/>
              </w:rPr>
              <w:t>信任壁壘：</w:t>
            </w:r>
            <w:r>
              <w:rPr>
                <w:spacing w:val="-8"/>
                <w:sz w:val="24"/>
              </w:rPr>
              <w:t>長照市場由特定族</w:t>
            </w:r>
            <w:r>
              <w:rPr>
                <w:spacing w:val="-9"/>
                <w:sz w:val="24"/>
              </w:rPr>
              <w:t>群主導，對新進入者設立了較</w:t>
            </w:r>
          </w:p>
          <w:p>
            <w:pPr>
              <w:pStyle w:val="TableParagraph"/>
              <w:spacing w:before="87"/>
              <w:ind w:left="128"/>
              <w:rPr>
                <w:sz w:val="24"/>
              </w:rPr>
            </w:pPr>
            <w:r>
              <w:rPr>
                <w:spacing w:val="-2"/>
                <w:sz w:val="24"/>
              </w:rPr>
              <w:t>高的信任門檻。</w:t>
            </w:r>
          </w:p>
        </w:tc>
      </w:tr>
      <w:tr>
        <w:trPr>
          <w:trHeight w:val="3170" w:hRule="atLeast"/>
        </w:trPr>
        <w:tc>
          <w:tcPr>
            <w:tcW w:w="770" w:type="dxa"/>
            <w:vMerge/>
            <w:tcBorders>
              <w:top w:val="nil"/>
            </w:tcBorders>
          </w:tcPr>
          <w:p>
            <w:pPr>
              <w:rPr>
                <w:sz w:val="2"/>
                <w:szCs w:val="2"/>
              </w:rPr>
            </w:pPr>
          </w:p>
        </w:tc>
        <w:tc>
          <w:tcPr>
            <w:tcW w:w="1488" w:type="dxa"/>
          </w:tcPr>
          <w:p>
            <w:pPr>
              <w:pStyle w:val="TableParagraph"/>
              <w:rPr>
                <w:rFonts w:ascii="Microsoft JhengHei"/>
                <w:b/>
                <w:sz w:val="24"/>
              </w:rPr>
            </w:pPr>
          </w:p>
          <w:p>
            <w:pPr>
              <w:pStyle w:val="TableParagraph"/>
              <w:spacing w:before="168"/>
              <w:rPr>
                <w:rFonts w:ascii="Microsoft JhengHei"/>
                <w:b/>
                <w:sz w:val="24"/>
              </w:rPr>
            </w:pPr>
          </w:p>
          <w:p>
            <w:pPr>
              <w:pStyle w:val="TableParagraph"/>
              <w:spacing w:line="314" w:lineRule="auto"/>
              <w:ind w:left="261" w:right="244" w:firstLine="24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z w:val="24"/>
              </w:rPr>
              <w:t> </w:t>
            </w:r>
            <w:r>
              <w:rPr>
                <w:rFonts w:ascii="Microsoft JhengHei" w:eastAsia="Microsoft JhengHei"/>
                <w:b/>
                <w:spacing w:val="-4"/>
                <w:sz w:val="24"/>
              </w:rPr>
              <w:t>資源行動</w:t>
            </w:r>
          </w:p>
        </w:tc>
        <w:tc>
          <w:tcPr>
            <w:tcW w:w="3235" w:type="dxa"/>
          </w:tcPr>
          <w:p>
            <w:pPr>
              <w:pStyle w:val="TableParagraph"/>
              <w:spacing w:line="362" w:lineRule="auto" w:before="350"/>
              <w:ind w:left="264" w:right="181"/>
              <w:jc w:val="both"/>
              <w:rPr>
                <w:sz w:val="24"/>
              </w:rPr>
            </w:pPr>
            <w:r>
              <w:rPr>
                <w:rFonts w:ascii="Microsoft JhengHei" w:eastAsia="Microsoft JhengHei"/>
                <w:b/>
                <w:spacing w:val="-13"/>
                <w:sz w:val="24"/>
              </w:rPr>
              <w:t>「醫藥養生態圈」的願景：</w:t>
            </w:r>
            <w:r>
              <w:rPr>
                <w:spacing w:val="-2"/>
                <w:sz w:val="24"/>
              </w:rPr>
              <w:t>建立涵蓋藥局管理、藥物配送及健康管理的一站式整合服務，消除供應鏈環節隔閡並提升市場覆蓋。</w:t>
            </w:r>
          </w:p>
        </w:tc>
        <w:tc>
          <w:tcPr>
            <w:tcW w:w="3286" w:type="dxa"/>
          </w:tcPr>
          <w:p>
            <w:pPr>
              <w:pStyle w:val="TableParagraph"/>
              <w:spacing w:before="170"/>
              <w:ind w:left="128"/>
              <w:rPr>
                <w:sz w:val="24"/>
              </w:rPr>
            </w:pPr>
            <w:r>
              <w:rPr>
                <w:rFonts w:ascii="Microsoft JhengHei" w:eastAsia="Microsoft JhengHei"/>
                <w:b/>
                <w:spacing w:val="-8"/>
                <w:sz w:val="24"/>
              </w:rPr>
              <w:t>尋找進軍美國的合作夥伴：</w:t>
            </w:r>
            <w:r>
              <w:rPr>
                <w:spacing w:val="-10"/>
                <w:sz w:val="24"/>
              </w:rPr>
              <w:t>與</w:t>
            </w:r>
          </w:p>
          <w:p>
            <w:pPr>
              <w:pStyle w:val="TableParagraph"/>
              <w:spacing w:line="364" w:lineRule="auto" w:before="106"/>
              <w:ind w:left="128" w:right="95"/>
              <w:jc w:val="both"/>
              <w:rPr>
                <w:sz w:val="24"/>
              </w:rPr>
            </w:pPr>
            <w:r>
              <w:rPr>
                <w:rFonts w:ascii="Times New Roman" w:eastAsia="Times New Roman"/>
                <w:sz w:val="24"/>
              </w:rPr>
              <w:t>Eva</w:t>
            </w:r>
            <w:r>
              <w:rPr>
                <w:rFonts w:ascii="Times New Roman" w:eastAsia="Times New Roman"/>
                <w:spacing w:val="-15"/>
                <w:sz w:val="24"/>
              </w:rPr>
              <w:t> </w:t>
            </w:r>
            <w:r>
              <w:rPr>
                <w:rFonts w:ascii="Times New Roman" w:eastAsia="Times New Roman"/>
                <w:sz w:val="24"/>
              </w:rPr>
              <w:t>Care</w:t>
            </w:r>
            <w:r>
              <w:rPr>
                <w:rFonts w:ascii="Times New Roman" w:eastAsia="Times New Roman"/>
                <w:spacing w:val="-15"/>
                <w:sz w:val="24"/>
              </w:rPr>
              <w:t> </w:t>
            </w:r>
            <w:r>
              <w:rPr>
                <w:rFonts w:ascii="Times New Roman" w:eastAsia="Times New Roman"/>
                <w:sz w:val="24"/>
              </w:rPr>
              <w:t>Group</w:t>
            </w:r>
            <w:r>
              <w:rPr>
                <w:rFonts w:ascii="Times New Roman" w:eastAsia="Times New Roman"/>
                <w:spacing w:val="-15"/>
                <w:sz w:val="24"/>
              </w:rPr>
              <w:t> </w:t>
            </w:r>
            <w:r>
              <w:rPr>
                <w:sz w:val="24"/>
              </w:rPr>
              <w:t>合作，借助其</w:t>
            </w:r>
            <w:r>
              <w:rPr>
                <w:spacing w:val="-8"/>
                <w:sz w:val="24"/>
              </w:rPr>
              <w:t>在豐富經驗和廣泛人脈，成功突破信任壁壘，為其在當地市</w:t>
            </w:r>
            <w:r>
              <w:rPr>
                <w:spacing w:val="10"/>
                <w:sz w:val="24"/>
              </w:rPr>
              <w:t>場的長期發展奠定了堅實基</w:t>
            </w:r>
            <w:r>
              <w:rPr>
                <w:spacing w:val="-6"/>
                <w:sz w:val="24"/>
              </w:rPr>
              <w:t>礎。</w:t>
            </w:r>
          </w:p>
        </w:tc>
      </w:tr>
    </w:tbl>
    <w:p>
      <w:pPr>
        <w:pStyle w:val="TableParagraph"/>
        <w:spacing w:after="0" w:line="364" w:lineRule="auto"/>
        <w:jc w:val="both"/>
        <w:rPr>
          <w:sz w:val="24"/>
        </w:rPr>
        <w:sectPr>
          <w:pgSz w:w="11910" w:h="16840"/>
          <w:pgMar w:header="0" w:footer="1197" w:top="1740" w:bottom="1769" w:left="1133" w:right="1133"/>
        </w:sectPr>
      </w:pPr>
    </w:p>
    <w:tbl>
      <w:tblPr>
        <w:tblW w:w="0" w:type="auto"/>
        <w:jc w:val="left"/>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68"/>
        <w:gridCol w:w="1429"/>
        <w:gridCol w:w="3289"/>
        <w:gridCol w:w="3296"/>
      </w:tblGrid>
      <w:tr>
        <w:trPr>
          <w:trHeight w:val="719" w:hRule="atLeast"/>
        </w:trPr>
        <w:tc>
          <w:tcPr>
            <w:tcW w:w="2197" w:type="dxa"/>
            <w:gridSpan w:val="2"/>
            <w:vMerge w:val="restart"/>
            <w:shd w:val="clear" w:color="auto" w:fill="D0CECE"/>
          </w:tcPr>
          <w:p>
            <w:pPr>
              <w:pStyle w:val="TableParagraph"/>
              <w:spacing w:before="40"/>
              <w:rPr>
                <w:rFonts w:ascii="Microsoft JhengHei"/>
                <w:b/>
                <w:sz w:val="24"/>
              </w:rPr>
            </w:pPr>
          </w:p>
          <w:p>
            <w:pPr>
              <w:pStyle w:val="TableParagraph"/>
              <w:ind w:left="15"/>
              <w:jc w:val="center"/>
              <w:rPr>
                <w:rFonts w:ascii="Microsoft JhengHei" w:eastAsia="Microsoft JhengHei"/>
                <w:b/>
                <w:sz w:val="24"/>
              </w:rPr>
            </w:pPr>
            <w:r>
              <w:rPr>
                <w:rFonts w:ascii="Microsoft JhengHei" w:eastAsia="Microsoft JhengHei"/>
                <w:b/>
                <w:spacing w:val="-5"/>
                <w:sz w:val="24"/>
              </w:rPr>
              <w:t>理論</w:t>
            </w:r>
          </w:p>
        </w:tc>
        <w:tc>
          <w:tcPr>
            <w:tcW w:w="6585" w:type="dxa"/>
            <w:gridSpan w:val="2"/>
            <w:shd w:val="clear" w:color="auto" w:fill="D0CECE"/>
          </w:tcPr>
          <w:p>
            <w:pPr>
              <w:pStyle w:val="TableParagraph"/>
              <w:spacing w:before="112"/>
              <w:ind w:left="14"/>
              <w:jc w:val="center"/>
              <w:rPr>
                <w:rFonts w:ascii="Microsoft JhengHei" w:eastAsia="Microsoft JhengHei"/>
                <w:b/>
                <w:sz w:val="24"/>
              </w:rPr>
            </w:pPr>
            <w:r>
              <w:rPr>
                <w:rFonts w:ascii="Microsoft JhengHei" w:eastAsia="Microsoft JhengHei"/>
                <w:b/>
                <w:spacing w:val="-3"/>
                <w:sz w:val="24"/>
              </w:rPr>
              <w:t>觀察重點</w:t>
            </w:r>
          </w:p>
        </w:tc>
      </w:tr>
      <w:tr>
        <w:trPr>
          <w:trHeight w:val="719" w:hRule="atLeast"/>
        </w:trPr>
        <w:tc>
          <w:tcPr>
            <w:tcW w:w="2197" w:type="dxa"/>
            <w:gridSpan w:val="2"/>
            <w:vMerge/>
            <w:tcBorders>
              <w:top w:val="nil"/>
            </w:tcBorders>
            <w:shd w:val="clear" w:color="auto" w:fill="D0CECE"/>
          </w:tcPr>
          <w:p>
            <w:pPr>
              <w:rPr>
                <w:sz w:val="2"/>
                <w:szCs w:val="2"/>
              </w:rPr>
            </w:pPr>
          </w:p>
        </w:tc>
        <w:tc>
          <w:tcPr>
            <w:tcW w:w="3289" w:type="dxa"/>
            <w:shd w:val="clear" w:color="auto" w:fill="D0CECE"/>
          </w:tcPr>
          <w:p>
            <w:pPr>
              <w:pStyle w:val="TableParagraph"/>
              <w:spacing w:before="112"/>
              <w:ind w:left="17"/>
              <w:jc w:val="center"/>
              <w:rPr>
                <w:rFonts w:ascii="Microsoft JhengHei" w:eastAsia="Microsoft JhengHei"/>
                <w:b/>
                <w:sz w:val="24"/>
              </w:rPr>
            </w:pPr>
            <w:r>
              <w:rPr>
                <w:rFonts w:ascii="Microsoft JhengHei" w:eastAsia="Microsoft JhengHei"/>
                <w:b/>
                <w:spacing w:val="-5"/>
                <w:sz w:val="24"/>
              </w:rPr>
              <w:t>藥局</w:t>
            </w:r>
          </w:p>
        </w:tc>
        <w:tc>
          <w:tcPr>
            <w:tcW w:w="3296" w:type="dxa"/>
            <w:shd w:val="clear" w:color="auto" w:fill="D0CECE"/>
          </w:tcPr>
          <w:p>
            <w:pPr>
              <w:pStyle w:val="TableParagraph"/>
              <w:spacing w:before="112"/>
              <w:ind w:left="13"/>
              <w:jc w:val="center"/>
              <w:rPr>
                <w:rFonts w:ascii="Microsoft JhengHei" w:eastAsia="Microsoft JhengHei"/>
                <w:b/>
                <w:sz w:val="24"/>
              </w:rPr>
            </w:pPr>
            <w:r>
              <w:rPr>
                <w:rFonts w:ascii="Microsoft JhengHei" w:eastAsia="Microsoft JhengHei"/>
                <w:b/>
                <w:spacing w:val="-5"/>
                <w:sz w:val="24"/>
              </w:rPr>
              <w:t>美國</w:t>
            </w:r>
          </w:p>
        </w:tc>
      </w:tr>
      <w:tr>
        <w:trPr>
          <w:trHeight w:val="2807" w:hRule="atLeast"/>
        </w:trPr>
        <w:tc>
          <w:tcPr>
            <w:tcW w:w="768" w:type="dxa"/>
            <w:vMerge w:val="restart"/>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06"/>
              <w:rPr>
                <w:rFonts w:ascii="Microsoft JhengHei"/>
                <w:b/>
                <w:sz w:val="24"/>
              </w:rPr>
            </w:pPr>
          </w:p>
          <w:p>
            <w:pPr>
              <w:pStyle w:val="TableParagraph"/>
              <w:spacing w:line="254" w:lineRule="auto" w:before="1"/>
              <w:ind w:left="263" w:right="242"/>
              <w:jc w:val="both"/>
              <w:rPr>
                <w:rFonts w:ascii="Microsoft JhengHei" w:eastAsia="Microsoft JhengHei"/>
                <w:b/>
                <w:sz w:val="24"/>
              </w:rPr>
            </w:pPr>
            <w:r>
              <w:rPr>
                <w:rFonts w:ascii="Microsoft JhengHei" w:eastAsia="Microsoft JhengHei"/>
                <w:b/>
                <w:spacing w:val="-10"/>
                <w:sz w:val="24"/>
              </w:rPr>
              <w:t>知識邊界</w:t>
            </w:r>
          </w:p>
        </w:tc>
        <w:tc>
          <w:tcPr>
            <w:tcW w:w="1429" w:type="dxa"/>
          </w:tcPr>
          <w:p>
            <w:pPr>
              <w:pStyle w:val="TableParagraph"/>
              <w:spacing w:before="429"/>
              <w:rPr>
                <w:rFonts w:ascii="Microsoft JhengHei"/>
                <w:b/>
                <w:sz w:val="24"/>
              </w:rPr>
            </w:pPr>
          </w:p>
          <w:p>
            <w:pPr>
              <w:pStyle w:val="TableParagraph"/>
              <w:spacing w:line="314" w:lineRule="auto"/>
              <w:ind w:left="474" w:right="452"/>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3289" w:type="dxa"/>
          </w:tcPr>
          <w:p>
            <w:pPr>
              <w:pStyle w:val="TableParagraph"/>
              <w:spacing w:line="468" w:lineRule="exact" w:before="167"/>
              <w:ind w:left="263" w:right="231"/>
              <w:jc w:val="both"/>
              <w:rPr>
                <w:sz w:val="24"/>
              </w:rPr>
            </w:pPr>
            <w:r>
              <w:rPr>
                <w:rFonts w:ascii="Microsoft JhengHei" w:eastAsia="Microsoft JhengHei"/>
                <w:b/>
                <w:spacing w:val="10"/>
                <w:sz w:val="24"/>
              </w:rPr>
              <w:t>疫情與人力短缺：</w:t>
            </w:r>
            <w:r>
              <w:rPr>
                <w:spacing w:val="3"/>
                <w:sz w:val="24"/>
              </w:rPr>
              <w:t>疫情導</w:t>
            </w:r>
            <w:r>
              <w:rPr>
                <w:spacing w:val="-13"/>
                <w:sz w:val="24"/>
              </w:rPr>
              <w:t>致無法進行充分調研，缺乏</w:t>
            </w:r>
            <w:r>
              <w:rPr>
                <w:spacing w:val="9"/>
                <w:sz w:val="24"/>
              </w:rPr>
              <w:t>對藥局運營痛點和數據需</w:t>
            </w:r>
            <w:r>
              <w:rPr>
                <w:spacing w:val="-13"/>
                <w:sz w:val="24"/>
              </w:rPr>
              <w:t>求的全面了解，難以設計針</w:t>
            </w:r>
          </w:p>
          <w:p>
            <w:pPr>
              <w:pStyle w:val="TableParagraph"/>
              <w:spacing w:before="135"/>
              <w:ind w:left="263"/>
              <w:rPr>
                <w:sz w:val="24"/>
              </w:rPr>
            </w:pPr>
            <w:r>
              <w:rPr>
                <w:spacing w:val="-2"/>
                <w:sz w:val="24"/>
              </w:rPr>
              <w:t>對性解決方案。</w:t>
            </w:r>
          </w:p>
        </w:tc>
        <w:tc>
          <w:tcPr>
            <w:tcW w:w="3296" w:type="dxa"/>
          </w:tcPr>
          <w:p>
            <w:pPr>
              <w:pStyle w:val="TableParagraph"/>
              <w:spacing w:before="170"/>
              <w:ind w:left="128"/>
              <w:rPr>
                <w:rFonts w:ascii="Microsoft JhengHei" w:eastAsia="Microsoft JhengHei"/>
                <w:b/>
                <w:sz w:val="24"/>
              </w:rPr>
            </w:pPr>
            <w:r>
              <w:rPr>
                <w:rFonts w:ascii="Microsoft JhengHei" w:eastAsia="Microsoft JhengHei"/>
                <w:b/>
                <w:spacing w:val="-3"/>
                <w:sz w:val="24"/>
              </w:rPr>
              <w:t>照護產業的多層次法律規範：</w:t>
            </w:r>
          </w:p>
          <w:p>
            <w:pPr>
              <w:pStyle w:val="TableParagraph"/>
              <w:spacing w:line="362" w:lineRule="auto" w:before="106"/>
              <w:ind w:left="128" w:right="46"/>
              <w:rPr>
                <w:sz w:val="24"/>
              </w:rPr>
            </w:pPr>
            <w:r>
              <w:rPr>
                <w:spacing w:val="-4"/>
                <w:sz w:val="24"/>
              </w:rPr>
              <w:t>企業需深入且靈活應對聯邦、</w:t>
            </w:r>
            <w:r>
              <w:rPr>
                <w:spacing w:val="-2"/>
                <w:sz w:val="24"/>
              </w:rPr>
              <w:t>州級政府等的具體法規。</w:t>
            </w:r>
          </w:p>
          <w:p>
            <w:pPr>
              <w:pStyle w:val="TableParagraph"/>
              <w:spacing w:line="297" w:lineRule="auto" w:before="33"/>
              <w:ind w:left="128" w:right="47"/>
              <w:rPr>
                <w:sz w:val="24"/>
              </w:rPr>
            </w:pPr>
            <w:r>
              <w:rPr>
                <w:rFonts w:ascii="Microsoft JhengHei" w:eastAsia="Microsoft JhengHei"/>
                <w:b/>
                <w:spacing w:val="-4"/>
                <w:sz w:val="24"/>
              </w:rPr>
              <w:t>重視人文關懷的服務模式：</w:t>
            </w:r>
            <w:r>
              <w:rPr>
                <w:spacing w:val="-4"/>
                <w:sz w:val="24"/>
              </w:rPr>
              <w:t>技</w:t>
            </w:r>
            <w:r>
              <w:rPr>
                <w:spacing w:val="-3"/>
                <w:sz w:val="24"/>
              </w:rPr>
              <w:t>術解決方案需滿足人文精神。</w:t>
            </w:r>
          </w:p>
        </w:tc>
      </w:tr>
      <w:tr>
        <w:trPr>
          <w:trHeight w:val="2809" w:hRule="atLeast"/>
        </w:trPr>
        <w:tc>
          <w:tcPr>
            <w:tcW w:w="768" w:type="dxa"/>
            <w:vMerge/>
            <w:tcBorders>
              <w:top w:val="nil"/>
            </w:tcBorders>
          </w:tcPr>
          <w:p>
            <w:pPr>
              <w:rPr>
                <w:sz w:val="2"/>
                <w:szCs w:val="2"/>
              </w:rPr>
            </w:pPr>
          </w:p>
        </w:tc>
        <w:tc>
          <w:tcPr>
            <w:tcW w:w="1429" w:type="dxa"/>
          </w:tcPr>
          <w:p>
            <w:pPr>
              <w:pStyle w:val="TableParagraph"/>
              <w:spacing w:before="429"/>
              <w:rPr>
                <w:rFonts w:ascii="Microsoft JhengHei"/>
                <w:b/>
                <w:sz w:val="24"/>
              </w:rPr>
            </w:pPr>
          </w:p>
          <w:p>
            <w:pPr>
              <w:pStyle w:val="TableParagraph"/>
              <w:spacing w:line="314" w:lineRule="auto"/>
              <w:ind w:left="174" w:right="272" w:firstLine="30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4"/>
                <w:sz w:val="24"/>
              </w:rPr>
              <w:t>資源行動</w:t>
            </w:r>
          </w:p>
        </w:tc>
        <w:tc>
          <w:tcPr>
            <w:tcW w:w="3289" w:type="dxa"/>
          </w:tcPr>
          <w:p>
            <w:pPr>
              <w:pStyle w:val="TableParagraph"/>
              <w:spacing w:before="16"/>
              <w:rPr>
                <w:rFonts w:ascii="Microsoft JhengHei"/>
                <w:b/>
                <w:sz w:val="24"/>
              </w:rPr>
            </w:pPr>
          </w:p>
          <w:p>
            <w:pPr>
              <w:pStyle w:val="TableParagraph"/>
              <w:spacing w:line="297" w:lineRule="auto"/>
              <w:ind w:left="263" w:right="230"/>
              <w:rPr>
                <w:sz w:val="24"/>
              </w:rPr>
            </w:pPr>
            <w:r>
              <w:rPr>
                <w:rFonts w:ascii="Microsoft JhengHei" w:eastAsia="Microsoft JhengHei"/>
                <w:b/>
                <w:spacing w:val="9"/>
                <w:sz w:val="24"/>
              </w:rPr>
              <w:t>投資春天藥局：</w:t>
            </w:r>
            <w:r>
              <w:rPr>
                <w:spacing w:val="3"/>
                <w:sz w:val="24"/>
              </w:rPr>
              <w:t>深入研究</w:t>
            </w:r>
            <w:r>
              <w:rPr>
                <w:spacing w:val="10"/>
                <w:sz w:val="24"/>
              </w:rPr>
              <w:t>藥局現有制度與運營方式</w:t>
            </w:r>
          </w:p>
          <w:p>
            <w:pPr>
              <w:pStyle w:val="TableParagraph"/>
              <w:spacing w:line="364" w:lineRule="auto" w:before="87"/>
              <w:ind w:left="263" w:right="183"/>
              <w:rPr>
                <w:sz w:val="24"/>
              </w:rPr>
            </w:pPr>
            <w:r>
              <w:rPr>
                <w:sz w:val="24"/>
              </w:rPr>
              <mc:AlternateContent>
                <mc:Choice Requires="wps">
                  <w:drawing>
                    <wp:anchor distT="0" distB="0" distL="0" distR="0" allowOverlap="1" layoutInCell="1" locked="0" behindDoc="1" simplePos="0" relativeHeight="485829632">
                      <wp:simplePos x="0" y="0"/>
                      <wp:positionH relativeFrom="column">
                        <wp:posOffset>830707</wp:posOffset>
                      </wp:positionH>
                      <wp:positionV relativeFrom="paragraph">
                        <wp:posOffset>121665</wp:posOffset>
                      </wp:positionV>
                      <wp:extent cx="929640" cy="978535"/>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929640" cy="978535"/>
                                <a:chExt cx="929640" cy="978535"/>
                              </a:xfrm>
                            </wpg:grpSpPr>
                            <pic:pic>
                              <pic:nvPicPr>
                                <pic:cNvPr id="248" name="Image 248"/>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65.410004pt;margin-top:9.579985pt;width:73.2pt;height:77.05pt;mso-position-horizontal-relative:column;mso-position-vertical-relative:paragraph;z-index:-17486848" id="docshapegroup34" coordorigin="1308,192" coordsize="1464,1541">
                      <v:shape style="position:absolute;left:1308;top:191;width:1464;height:1541" type="#_x0000_t75" id="docshape35" stroked="false">
                        <v:imagedata r:id="rId6" o:title=""/>
                      </v:shape>
                      <w10:wrap type="none"/>
                    </v:group>
                  </w:pict>
                </mc:Fallback>
              </mc:AlternateContent>
            </w:r>
            <w:r>
              <w:rPr>
                <w:spacing w:val="-2"/>
                <w:sz w:val="24"/>
              </w:rPr>
              <w:t>（如計庫制度</w:t>
            </w:r>
            <w:r>
              <w:rPr>
                <w:spacing w:val="-120"/>
                <w:sz w:val="24"/>
              </w:rPr>
              <w:t>）</w:t>
            </w:r>
            <w:r>
              <w:rPr>
                <w:spacing w:val="-2"/>
                <w:sz w:val="24"/>
              </w:rPr>
              <w:t>，強化對數</w:t>
            </w:r>
            <w:r>
              <w:rPr>
                <w:spacing w:val="-7"/>
                <w:sz w:val="24"/>
              </w:rPr>
              <w:t>據整合與庫存管理的理解。</w:t>
            </w:r>
          </w:p>
        </w:tc>
        <w:tc>
          <w:tcPr>
            <w:tcW w:w="3296" w:type="dxa"/>
          </w:tcPr>
          <w:p>
            <w:pPr>
              <w:pStyle w:val="TableParagraph"/>
              <w:spacing w:line="297" w:lineRule="auto" w:before="170"/>
              <w:ind w:left="128" w:right="46"/>
              <w:jc w:val="both"/>
              <w:rPr>
                <w:sz w:val="24"/>
              </w:rPr>
            </w:pPr>
            <w:r>
              <w:rPr>
                <w:rFonts w:ascii="Microsoft JhengHei" w:eastAsia="Microsoft JhengHei"/>
                <w:b/>
                <w:sz w:val="24"/>
              </w:rPr>
              <w:t>取得法規知識：</w:t>
            </w:r>
            <w:r>
              <w:rPr>
                <w:spacing w:val="-10"/>
                <w:sz w:val="24"/>
              </w:rPr>
              <w:t>研究 </w:t>
            </w:r>
            <w:r>
              <w:rPr>
                <w:rFonts w:ascii="Times New Roman" w:eastAsia="Times New Roman"/>
                <w:sz w:val="24"/>
              </w:rPr>
              <w:t>CMS</w:t>
            </w:r>
            <w:r>
              <w:rPr>
                <w:rFonts w:ascii="Times New Roman" w:eastAsia="Times New Roman"/>
                <w:spacing w:val="4"/>
                <w:sz w:val="24"/>
              </w:rPr>
              <w:t> </w:t>
            </w:r>
            <w:r>
              <w:rPr>
                <w:sz w:val="24"/>
              </w:rPr>
              <w:t>及</w:t>
            </w:r>
            <w:r>
              <w:rPr>
                <w:spacing w:val="-3"/>
                <w:sz w:val="24"/>
              </w:rPr>
              <w:t>州政府法律，確保系統合規。</w:t>
            </w:r>
          </w:p>
          <w:p>
            <w:pPr>
              <w:pStyle w:val="TableParagraph"/>
              <w:spacing w:line="468" w:lineRule="exact" w:before="60"/>
              <w:ind w:left="128" w:right="106"/>
              <w:jc w:val="both"/>
              <w:rPr>
                <w:sz w:val="24"/>
              </w:rPr>
            </w:pPr>
            <w:r>
              <w:rPr>
                <w:rFonts w:ascii="Microsoft JhengHei" w:eastAsia="Microsoft JhengHei"/>
                <w:b/>
                <w:spacing w:val="-8"/>
                <w:sz w:val="24"/>
              </w:rPr>
              <w:t>併購與運營長照機構：</w:t>
            </w:r>
            <w:r>
              <w:rPr>
                <w:spacing w:val="-8"/>
                <w:sz w:val="24"/>
              </w:rPr>
              <w:t>透過實際運營機構了解需求，並作為</w:t>
            </w:r>
            <w:r>
              <w:rPr>
                <w:spacing w:val="-2"/>
                <w:sz w:val="24"/>
              </w:rPr>
              <w:t>深耕美國的示範點。</w:t>
            </w:r>
          </w:p>
        </w:tc>
      </w:tr>
      <w:tr>
        <w:trPr>
          <w:trHeight w:val="2231" w:hRule="atLeast"/>
        </w:trPr>
        <w:tc>
          <w:tcPr>
            <w:tcW w:w="768" w:type="dxa"/>
            <w:vMerge w:val="restart"/>
          </w:tcPr>
          <w:p>
            <w:pPr>
              <w:pStyle w:val="TableParagraph"/>
              <w:rPr>
                <w:rFonts w:ascii="Microsoft JhengHei"/>
                <w:b/>
                <w:sz w:val="24"/>
              </w:rPr>
            </w:pPr>
          </w:p>
          <w:p>
            <w:pPr>
              <w:pStyle w:val="TableParagraph"/>
              <w:spacing w:before="177"/>
              <w:rPr>
                <w:rFonts w:ascii="Microsoft JhengHei"/>
                <w:b/>
                <w:sz w:val="24"/>
              </w:rPr>
            </w:pPr>
          </w:p>
          <w:p>
            <w:pPr>
              <w:pStyle w:val="TableParagraph"/>
              <w:spacing w:line="254" w:lineRule="auto"/>
              <w:ind w:left="263" w:right="242"/>
              <w:jc w:val="both"/>
              <w:rPr>
                <w:rFonts w:ascii="Microsoft JhengHei" w:eastAsia="Microsoft JhengHei"/>
                <w:b/>
                <w:sz w:val="24"/>
              </w:rPr>
            </w:pPr>
            <w:r>
              <w:rPr>
                <w:rFonts w:ascii="Microsoft JhengHei" w:eastAsia="Microsoft JhengHei"/>
                <w:b/>
                <w:spacing w:val="-10"/>
                <w:sz w:val="24"/>
              </w:rPr>
              <w:t>技術邊界</w:t>
            </w:r>
          </w:p>
        </w:tc>
        <w:tc>
          <w:tcPr>
            <w:tcW w:w="1429" w:type="dxa"/>
          </w:tcPr>
          <w:p>
            <w:pPr>
              <w:pStyle w:val="TableParagraph"/>
              <w:spacing w:before="141"/>
              <w:rPr>
                <w:rFonts w:ascii="Microsoft JhengHei"/>
                <w:b/>
                <w:sz w:val="24"/>
              </w:rPr>
            </w:pPr>
          </w:p>
          <w:p>
            <w:pPr>
              <w:pStyle w:val="TableParagraph"/>
              <w:spacing w:line="314" w:lineRule="auto"/>
              <w:ind w:left="474" w:right="452"/>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3289" w:type="dxa"/>
          </w:tcPr>
          <w:p>
            <w:pPr>
              <w:pStyle w:val="TableParagraph"/>
              <w:spacing w:line="468" w:lineRule="exact" w:before="112"/>
              <w:ind w:left="263" w:right="231"/>
              <w:jc w:val="both"/>
              <w:rPr>
                <w:sz w:val="24"/>
              </w:rPr>
            </w:pPr>
            <w:r>
              <w:rPr>
                <w:rFonts w:ascii="Microsoft JhengHei" w:eastAsia="Microsoft JhengHei"/>
                <w:b/>
                <w:spacing w:val="9"/>
                <w:sz w:val="24"/>
              </w:rPr>
              <w:t>多邊系統割裂無法串接：</w:t>
            </w:r>
            <w:r>
              <w:rPr>
                <w:rFonts w:ascii="Microsoft JhengHei" w:eastAsia="Microsoft JhengHei"/>
                <w:b/>
                <w:sz w:val="24"/>
              </w:rPr>
              <w:t> </w:t>
            </w:r>
            <w:r>
              <w:rPr>
                <w:rFonts w:ascii="Times New Roman" w:eastAsia="Times New Roman"/>
                <w:sz w:val="24"/>
              </w:rPr>
              <w:t>POS </w:t>
            </w:r>
            <w:r>
              <w:rPr>
                <w:sz w:val="24"/>
              </w:rPr>
              <w:t>與處方管理系統無法</w:t>
            </w:r>
            <w:r>
              <w:rPr>
                <w:spacing w:val="-14"/>
                <w:sz w:val="24"/>
              </w:rPr>
              <w:t>通用，阻礙庫存管理與數據</w:t>
            </w:r>
            <w:r>
              <w:rPr>
                <w:spacing w:val="-2"/>
                <w:sz w:val="24"/>
              </w:rPr>
              <w:t>共享的精確性和效率。</w:t>
            </w:r>
          </w:p>
        </w:tc>
        <w:tc>
          <w:tcPr>
            <w:tcW w:w="3296" w:type="dxa"/>
          </w:tcPr>
          <w:p>
            <w:pPr>
              <w:pStyle w:val="TableParagraph"/>
              <w:spacing w:line="468" w:lineRule="exact" w:before="112"/>
              <w:ind w:left="128" w:right="93"/>
              <w:jc w:val="both"/>
              <w:rPr>
                <w:sz w:val="24"/>
              </w:rPr>
            </w:pPr>
            <w:r>
              <w:rPr>
                <w:rFonts w:ascii="Microsoft JhengHei" w:eastAsia="Microsoft JhengHei"/>
                <w:b/>
                <w:spacing w:val="10"/>
                <w:sz w:val="24"/>
              </w:rPr>
              <w:t>缺乏針對長照機構需求的人</w:t>
            </w:r>
            <w:r>
              <w:rPr>
                <w:rFonts w:ascii="Microsoft JhengHei" w:eastAsia="Microsoft JhengHei"/>
                <w:b/>
                <w:spacing w:val="-6"/>
                <w:sz w:val="24"/>
              </w:rPr>
              <w:t>事管理模組：</w:t>
            </w:r>
            <w:r>
              <w:rPr>
                <w:spacing w:val="-6"/>
                <w:sz w:val="24"/>
              </w:rPr>
              <w:t>機構的排班與工時計算依賴手動操作，效率低</w:t>
            </w:r>
            <w:r>
              <w:rPr>
                <w:spacing w:val="-2"/>
                <w:sz w:val="24"/>
              </w:rPr>
              <w:t>且易出錯。</w:t>
            </w:r>
          </w:p>
        </w:tc>
      </w:tr>
      <w:tr>
        <w:trPr>
          <w:trHeight w:val="1763" w:hRule="atLeast"/>
        </w:trPr>
        <w:tc>
          <w:tcPr>
            <w:tcW w:w="768" w:type="dxa"/>
            <w:vMerge/>
            <w:tcBorders>
              <w:top w:val="nil"/>
            </w:tcBorders>
          </w:tcPr>
          <w:p>
            <w:pPr>
              <w:rPr>
                <w:sz w:val="2"/>
                <w:szCs w:val="2"/>
              </w:rPr>
            </w:pPr>
          </w:p>
        </w:tc>
        <w:tc>
          <w:tcPr>
            <w:tcW w:w="1429" w:type="dxa"/>
          </w:tcPr>
          <w:p>
            <w:pPr>
              <w:pStyle w:val="TableParagraph"/>
              <w:spacing w:line="314" w:lineRule="auto" w:before="347"/>
              <w:ind w:left="174" w:right="272" w:firstLine="300"/>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4"/>
                <w:sz w:val="24"/>
              </w:rPr>
              <w:t>資源行動</w:t>
            </w:r>
          </w:p>
        </w:tc>
        <w:tc>
          <w:tcPr>
            <w:tcW w:w="3289" w:type="dxa"/>
          </w:tcPr>
          <w:p>
            <w:pPr>
              <w:pStyle w:val="TableParagraph"/>
              <w:spacing w:line="297" w:lineRule="auto" w:before="167"/>
              <w:ind w:left="263" w:right="241"/>
              <w:rPr>
                <w:sz w:val="24"/>
              </w:rPr>
            </w:pPr>
            <w:r>
              <w:rPr>
                <w:rFonts w:ascii="Microsoft JhengHei" w:eastAsia="Microsoft JhengHei"/>
                <w:b/>
                <w:sz w:val="24"/>
              </w:rPr>
              <w:t>多邊系統整合：</w:t>
            </w:r>
            <w:r>
              <w:rPr>
                <w:sz w:val="24"/>
              </w:rPr>
              <w:t>將 </w:t>
            </w:r>
            <w:r>
              <w:rPr>
                <w:rFonts w:ascii="Times New Roman" w:eastAsia="Times New Roman"/>
                <w:sz w:val="24"/>
              </w:rPr>
              <w:t>POS</w:t>
            </w:r>
            <w:r>
              <w:rPr>
                <w:sz w:val="24"/>
              </w:rPr>
              <w:t>、 </w:t>
            </w:r>
            <w:r>
              <w:rPr>
                <w:rFonts w:ascii="Times New Roman" w:eastAsia="Times New Roman"/>
                <w:spacing w:val="-2"/>
                <w:sz w:val="24"/>
              </w:rPr>
              <w:t>ERP </w:t>
            </w:r>
            <w:r>
              <w:rPr>
                <w:spacing w:val="-17"/>
                <w:sz w:val="24"/>
              </w:rPr>
              <w:t>與健保系統串接，提升</w:t>
            </w:r>
          </w:p>
          <w:p>
            <w:pPr>
              <w:pStyle w:val="TableParagraph"/>
              <w:spacing w:before="88"/>
              <w:ind w:left="263"/>
              <w:rPr>
                <w:sz w:val="24"/>
              </w:rPr>
            </w:pPr>
            <w:r>
              <w:rPr>
                <w:spacing w:val="-2"/>
                <w:sz w:val="24"/>
              </w:rPr>
              <w:t>庫存管理水平。</w:t>
            </w:r>
          </w:p>
        </w:tc>
        <w:tc>
          <w:tcPr>
            <w:tcW w:w="3296" w:type="dxa"/>
          </w:tcPr>
          <w:p>
            <w:pPr>
              <w:pStyle w:val="TableParagraph"/>
              <w:spacing w:line="297" w:lineRule="auto" w:before="402"/>
              <w:ind w:left="128" w:right="106"/>
              <w:rPr>
                <w:sz w:val="24"/>
              </w:rPr>
            </w:pPr>
            <w:r>
              <w:rPr>
                <w:rFonts w:ascii="Microsoft JhengHei" w:eastAsia="Microsoft JhengHei"/>
                <w:b/>
                <w:spacing w:val="-8"/>
                <w:sz w:val="24"/>
              </w:rPr>
              <w:t>部屬 </w:t>
            </w:r>
            <w:r>
              <w:rPr>
                <w:rFonts w:ascii="Times New Roman" w:eastAsia="Times New Roman"/>
                <w:b/>
                <w:spacing w:val="-6"/>
                <w:sz w:val="24"/>
              </w:rPr>
              <w:t>Ucare2.0</w:t>
            </w:r>
            <w:r>
              <w:rPr>
                <w:rFonts w:ascii="Microsoft JhengHei" w:eastAsia="Microsoft JhengHei"/>
                <w:b/>
                <w:spacing w:val="-6"/>
                <w:sz w:val="24"/>
              </w:rPr>
              <w:t>：</w:t>
            </w:r>
            <w:r>
              <w:rPr>
                <w:spacing w:val="-6"/>
                <w:sz w:val="24"/>
              </w:rPr>
              <w:t>解決美國現有</w:t>
            </w:r>
            <w:r>
              <w:rPr>
                <w:spacing w:val="-2"/>
                <w:sz w:val="24"/>
              </w:rPr>
              <w:t>服務斷點，提升管理效率。</w:t>
            </w:r>
          </w:p>
        </w:tc>
      </w:tr>
      <w:tr>
        <w:trPr>
          <w:trHeight w:val="1765" w:hRule="atLeast"/>
        </w:trPr>
        <w:tc>
          <w:tcPr>
            <w:tcW w:w="2197" w:type="dxa"/>
            <w:gridSpan w:val="2"/>
          </w:tcPr>
          <w:p>
            <w:pPr>
              <w:pStyle w:val="TableParagraph"/>
              <w:spacing w:line="314" w:lineRule="auto" w:before="350"/>
              <w:ind w:left="616" w:right="356" w:hanging="240"/>
              <w:rPr>
                <w:rFonts w:ascii="Microsoft JhengHei" w:eastAsia="Microsoft JhengHei"/>
                <w:b/>
                <w:sz w:val="24"/>
              </w:rPr>
            </w:pPr>
            <w:r>
              <w:rPr>
                <w:rFonts w:ascii="Microsoft JhengHei" w:eastAsia="Microsoft JhengHei"/>
                <w:b/>
                <w:spacing w:val="-2"/>
                <w:sz w:val="24"/>
              </w:rPr>
              <w:t>服務生態系的</w:t>
            </w:r>
            <w:r>
              <w:rPr>
                <w:rFonts w:ascii="Microsoft JhengHei" w:eastAsia="Microsoft JhengHei"/>
                <w:b/>
                <w:spacing w:val="-4"/>
                <w:sz w:val="24"/>
              </w:rPr>
              <w:t>動態拓展</w:t>
            </w:r>
          </w:p>
        </w:tc>
        <w:tc>
          <w:tcPr>
            <w:tcW w:w="6585" w:type="dxa"/>
            <w:gridSpan w:val="2"/>
          </w:tcPr>
          <w:p>
            <w:pPr>
              <w:pStyle w:val="TableParagraph"/>
              <w:spacing w:line="468" w:lineRule="exact" w:before="115"/>
              <w:ind w:left="263" w:right="239"/>
              <w:jc w:val="both"/>
              <w:rPr>
                <w:sz w:val="24"/>
              </w:rPr>
            </w:pPr>
            <w:r>
              <w:rPr>
                <w:rFonts w:ascii="Microsoft JhengHei" w:eastAsia="Microsoft JhengHei"/>
                <w:b/>
                <w:spacing w:val="-5"/>
                <w:sz w:val="24"/>
              </w:rPr>
              <w:t>建立 </w:t>
            </w:r>
            <w:r>
              <w:rPr>
                <w:rFonts w:ascii="Times New Roman" w:eastAsia="Times New Roman"/>
                <w:b/>
                <w:sz w:val="24"/>
              </w:rPr>
              <w:t>ESaaS</w:t>
            </w:r>
            <w:r>
              <w:rPr>
                <w:rFonts w:ascii="Times New Roman" w:eastAsia="Times New Roman"/>
                <w:b/>
                <w:spacing w:val="-15"/>
                <w:sz w:val="24"/>
              </w:rPr>
              <w:t> </w:t>
            </w:r>
            <w:r>
              <w:rPr>
                <w:rFonts w:ascii="Microsoft JhengHei" w:eastAsia="Microsoft JhengHei"/>
                <w:b/>
                <w:sz w:val="24"/>
              </w:rPr>
              <w:t>泛醫療生態圈：</w:t>
            </w:r>
            <w:r>
              <w:rPr>
                <w:sz w:val="24"/>
              </w:rPr>
              <w:t>提供更精緻且全面的無縫協同</w:t>
            </w:r>
            <w:r>
              <w:rPr>
                <w:spacing w:val="-2"/>
                <w:sz w:val="24"/>
              </w:rPr>
              <w:t>服務模式。目前的服務範疇涵蓋台灣與美國的長照系統，以及台灣的耗材與藥事管理系統。</w:t>
            </w:r>
          </w:p>
        </w:tc>
      </w:tr>
    </w:tbl>
    <w:p>
      <w:pPr>
        <w:pStyle w:val="BodyText"/>
        <w:spacing w:before="235"/>
        <w:ind w:left="597" w:right="118"/>
        <w:jc w:val="center"/>
      </w:pPr>
      <w:r>
        <w:rPr>
          <w:spacing w:val="-1"/>
        </w:rPr>
        <w:t>資料來源：本研究整理</w:t>
      </w:r>
    </w:p>
    <w:p>
      <w:pPr>
        <w:pStyle w:val="BodyText"/>
        <w:spacing w:after="0"/>
        <w:jc w:val="center"/>
        <w:sectPr>
          <w:type w:val="continuous"/>
          <w:pgSz w:w="11910" w:h="16840"/>
          <w:pgMar w:header="0" w:footer="1197" w:top="1660" w:bottom="1380" w:left="1133" w:right="1133"/>
        </w:sectPr>
      </w:pPr>
    </w:p>
    <w:p>
      <w:pPr>
        <w:pStyle w:val="Heading2"/>
        <w:numPr>
          <w:ilvl w:val="1"/>
          <w:numId w:val="22"/>
        </w:numPr>
        <w:tabs>
          <w:tab w:pos="1047" w:val="left" w:leader="none"/>
        </w:tabs>
        <w:spacing w:line="522" w:lineRule="exact" w:before="0" w:after="0"/>
        <w:ind w:left="1047" w:right="0" w:hanging="478"/>
        <w:jc w:val="left"/>
      </w:pPr>
      <w:bookmarkStart w:name="_bookmark90" w:id="91"/>
      <w:bookmarkEnd w:id="91"/>
      <w:r>
        <w:rPr>
          <w:b w:val="0"/>
        </w:rPr>
      </w:r>
      <w:r>
        <w:rPr>
          <w:spacing w:val="-6"/>
        </w:rPr>
        <w:t>跨階段分析</w:t>
      </w:r>
    </w:p>
    <w:p>
      <w:pPr>
        <w:pStyle w:val="BodyText"/>
        <w:spacing w:line="422" w:lineRule="auto" w:before="384"/>
        <w:ind w:right="683" w:firstLine="479"/>
      </w:pPr>
      <w:r>
        <w:rPr>
          <w:spacing w:val="-2"/>
        </w:rPr>
        <w:t>本研究以諾亞克科技為研究對象，探討照護科技公司如何在市場有限的情</w:t>
      </w:r>
      <w:r>
        <w:rPr>
          <w:spacing w:val="-4"/>
        </w:rPr>
        <w:t>況下，運用跨界機制與資源行動拓展原有的服務邊界，將公司服務拓展方向分為</w:t>
      </w:r>
      <w:r>
        <w:rPr/>
        <w:t>三階段，其分析彙整如表 </w:t>
      </w:r>
      <w:r>
        <w:rPr>
          <w:rFonts w:ascii="Times New Roman" w:eastAsia="Times New Roman"/>
        </w:rPr>
        <w:t>5.4-1</w:t>
      </w:r>
      <w:r>
        <w:rPr>
          <w:rFonts w:ascii="Times New Roman" w:eastAsia="Times New Roman"/>
          <w:spacing w:val="40"/>
        </w:rPr>
        <w:t> </w:t>
      </w:r>
      <w:r>
        <w:rPr/>
        <w:t>所示。</w:t>
      </w:r>
    </w:p>
    <w:p>
      <w:pPr>
        <w:pStyle w:val="Heading4"/>
        <w:spacing w:before="97"/>
      </w:pPr>
      <w:r>
        <w:rPr>
          <w:spacing w:val="-1"/>
        </w:rPr>
        <w:t>競爭環境影響下的組織拓展策略</w:t>
      </w:r>
    </w:p>
    <w:p>
      <w:pPr>
        <w:pStyle w:val="BodyText"/>
        <w:spacing w:line="422" w:lineRule="auto" w:before="359"/>
        <w:ind w:right="683" w:firstLine="479"/>
      </w:pPr>
      <w:r>
        <w:rPr/>
        <w:drawing>
          <wp:anchor distT="0" distB="0" distL="0" distR="0" allowOverlap="1" layoutInCell="1" locked="0" behindDoc="1" simplePos="0" relativeHeight="485830144">
            <wp:simplePos x="0" y="0"/>
            <wp:positionH relativeFrom="page">
              <wp:posOffset>3312414</wp:posOffset>
            </wp:positionH>
            <wp:positionV relativeFrom="paragraph">
              <wp:posOffset>1737651</wp:posOffset>
            </wp:positionV>
            <wp:extent cx="929640" cy="978408"/>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隨著照護科技產業從初期的無競爭環境發展至多元競爭的格局，不同時期</w:t>
      </w:r>
      <w:r>
        <w:rPr>
          <w:spacing w:val="-4"/>
        </w:rPr>
        <w:t>面臨的競爭環境促使企業必須重新認知自身的資源、限制與機會，並據此驅動組織策略的調整與發展。例如，在企業創業初期，由於著眼於紙本數據電子化的新商業模式，市場上尚無競爭者，但也因處於創業初期資源有限，因此採取「需求</w:t>
      </w:r>
      <w:r>
        <w:rPr>
          <w:spacing w:val="-2"/>
        </w:rPr>
        <w:t>導向」的訪談方法來規劃長照產品。</w:t>
      </w:r>
    </w:p>
    <w:p>
      <w:pPr>
        <w:pStyle w:val="BodyText"/>
        <w:spacing w:line="422" w:lineRule="auto" w:before="174"/>
        <w:ind w:right="682" w:firstLine="479"/>
      </w:pPr>
      <w:r>
        <w:rPr>
          <w:spacing w:val="-6"/>
        </w:rPr>
        <w:t>進入中期階段，企業因人才取得困難而面臨削價競爭的壓力，此時將重點轉</w:t>
      </w:r>
      <w:r>
        <w:rPr>
          <w:spacing w:val="-4"/>
        </w:rPr>
        <w:t>向以軟體為核心的高獲利產品，並採用「數據驅動」策略來拓展業務方向，提升市場競爭力。近期，隨著軟體開發日益成熟，企業已在台灣市場穩居領先地位，但仍受限於傳統的收費模式，因而進一步採取「生態協調」策略，將既有的軟體資源延伸應用於其他市場，實現多元化布局。每一次策略的調整，皆成功引導組</w:t>
      </w:r>
      <w:r>
        <w:rPr>
          <w:spacing w:val="-2"/>
        </w:rPr>
        <w:t>織在動態環境中持續優化資源運用，並推動企業朝著更具競爭力與可持續發展的方向邁進。</w:t>
      </w:r>
    </w:p>
    <w:p>
      <w:pPr>
        <w:pStyle w:val="Heading4"/>
        <w:spacing w:before="93"/>
      </w:pPr>
      <w:r>
        <w:rPr>
          <w:spacing w:val="-1"/>
        </w:rPr>
        <w:t>市場跨界之探索與資源行動</w:t>
      </w:r>
    </w:p>
    <w:p>
      <w:pPr>
        <w:pStyle w:val="BodyText"/>
        <w:spacing w:line="422" w:lineRule="auto" w:before="358"/>
        <w:ind w:right="686" w:firstLine="479"/>
      </w:pPr>
      <w:r>
        <w:rPr>
          <w:spacing w:val="-2"/>
        </w:rPr>
        <w:t>確立市場邊界的首要步驟是辨識潛在市場的需求與機會。市場邊界的確立方式受到組織策略視角的顯著影響，這影響了市場機會識別的精確性與行動效</w:t>
      </w:r>
      <w:r>
        <w:rPr>
          <w:spacing w:val="-6"/>
        </w:rPr>
        <w:t>率。透過資源的有效運用，組織能夠發掘未被滿足的需求，進一步設計出可複製</w:t>
      </w:r>
      <w:r>
        <w:rPr>
          <w:spacing w:val="-7"/>
        </w:rPr>
        <w:t>且可擴展的新商業模式，從而成功搶佔市場份額。尤其是在高度競爭的環境中，</w:t>
      </w:r>
    </w:p>
    <w:p>
      <w:pPr>
        <w:pStyle w:val="BodyText"/>
        <w:spacing w:after="0" w:line="422" w:lineRule="auto"/>
        <w:sectPr>
          <w:pgSz w:w="11910" w:h="16840"/>
          <w:pgMar w:header="0" w:footer="1197" w:top="1780" w:bottom="1380" w:left="1133" w:right="1133"/>
        </w:sectPr>
      </w:pPr>
    </w:p>
    <w:p>
      <w:pPr>
        <w:pStyle w:val="BodyText"/>
        <w:spacing w:line="422" w:lineRule="auto" w:before="27"/>
        <w:ind w:right="694"/>
        <w:jc w:val="left"/>
      </w:pPr>
      <w:r>
        <w:rPr>
          <w:spacing w:val="-2"/>
        </w:rPr>
        <w:t>規模經濟的實現成為擴大市場影響力的關鍵。組織可藉由提高市場佔有率和尋求合作夥伴來降低成本，提升資源使用效率，最終形成具持續性的競爭優勢。</w:t>
      </w:r>
    </w:p>
    <w:p>
      <w:pPr>
        <w:pStyle w:val="Heading4"/>
        <w:spacing w:before="98"/>
      </w:pPr>
      <w:r>
        <w:rPr>
          <w:spacing w:val="-1"/>
        </w:rPr>
        <w:t>知識跨界之探索與資源行動</w:t>
      </w:r>
    </w:p>
    <w:p>
      <w:pPr>
        <w:pStyle w:val="BodyText"/>
        <w:spacing w:line="422" w:lineRule="auto" w:before="358"/>
        <w:ind w:right="683" w:firstLine="479"/>
      </w:pPr>
      <w:r>
        <w:rPr>
          <w:spacing w:val="-2"/>
        </w:rPr>
        <w:t>在知識邊界的探索中，組織面臨的主要挑戰在於缺乏專業知識與行業經驗</w:t>
      </w:r>
      <w:r>
        <w:rPr>
          <w:spacing w:val="-4"/>
        </w:rPr>
        <w:t>所帶來的限制。突破知識邊界需要以服務主導邏輯（</w:t>
      </w:r>
      <w:r>
        <w:rPr>
          <w:rFonts w:ascii="Times New Roman" w:eastAsia="Times New Roman"/>
          <w:spacing w:val="-4"/>
        </w:rPr>
        <w:t>Service-Dominant Logic</w:t>
      </w:r>
      <w:r>
        <w:rPr>
          <w:spacing w:val="-4"/>
        </w:rPr>
        <w:t>）為核心，精準獲取產品設計與規劃所需的知識需求。為達成此目標，組織需整合多種資源，包括跨領域人才、用戶回饋以及政策法規等。此外，透過投資、併購以及建立策略性合作夥伴關係，組織得以快速取得必要資源，替代傳統逐步累積的</w:t>
      </w:r>
      <w:r>
        <w:rPr>
          <w:spacing w:val="-2"/>
        </w:rPr>
        <w:t>方式，實現資源整合與運用效率的提升。</w:t>
      </w:r>
    </w:p>
    <w:p>
      <w:pPr>
        <w:pStyle w:val="Heading4"/>
        <w:spacing w:before="94"/>
      </w:pPr>
      <w:r>
        <w:rPr/>
        <w:drawing>
          <wp:anchor distT="0" distB="0" distL="0" distR="0" allowOverlap="1" layoutInCell="1" locked="0" behindDoc="1" simplePos="0" relativeHeight="485830656">
            <wp:simplePos x="0" y="0"/>
            <wp:positionH relativeFrom="page">
              <wp:posOffset>3312414</wp:posOffset>
            </wp:positionH>
            <wp:positionV relativeFrom="paragraph">
              <wp:posOffset>362503</wp:posOffset>
            </wp:positionV>
            <wp:extent cx="929640" cy="978408"/>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6" cstate="print"/>
                    <a:stretch>
                      <a:fillRect/>
                    </a:stretch>
                  </pic:blipFill>
                  <pic:spPr>
                    <a:xfrm>
                      <a:off x="0" y="0"/>
                      <a:ext cx="929640" cy="978408"/>
                    </a:xfrm>
                    <a:prstGeom prst="rect">
                      <a:avLst/>
                    </a:prstGeom>
                  </pic:spPr>
                </pic:pic>
              </a:graphicData>
            </a:graphic>
          </wp:anchor>
        </w:drawing>
      </w:r>
      <w:r>
        <w:rPr>
          <w:spacing w:val="-1"/>
        </w:rPr>
        <w:t>技術跨界之探索與資源行動</w:t>
      </w:r>
    </w:p>
    <w:p>
      <w:pPr>
        <w:pStyle w:val="BodyText"/>
        <w:spacing w:line="422" w:lineRule="auto" w:before="358"/>
        <w:ind w:right="683" w:firstLine="479"/>
      </w:pPr>
      <w:r>
        <w:rPr>
          <w:spacing w:val="-6"/>
        </w:rPr>
        <w:t>在技術邊界的探索方面，組織還專注於發掘服務斷點，解決資訊孤島現象，</w:t>
      </w:r>
      <w:r>
        <w:rPr>
          <w:spacing w:val="-4"/>
        </w:rPr>
        <w:t>通過將不同系統的數據連結起來，形成無縫的資訊流動，從而提升整體運營效率和用戶體驗。組織著重於外部專業技術的引入與內部技術整合能力的強化，將資</w:t>
      </w:r>
      <w:r>
        <w:rPr>
          <w:spacing w:val="-2"/>
        </w:rPr>
        <w:t>訊科技應用於平台化運作中。技術槓桿的應用進一步降低成本並提升資源利用</w:t>
      </w:r>
      <w:r>
        <w:rPr>
          <w:spacing w:val="-23"/>
        </w:rPr>
        <w:t>效率，使數據得以共享，提升供應鏈管理能力及服務連續性，業務範疇得以擴展，</w:t>
      </w:r>
      <w:r>
        <w:rPr>
          <w:spacing w:val="-2"/>
        </w:rPr>
        <w:t>最終在市場競爭中保持領先地位。</w:t>
      </w:r>
    </w:p>
    <w:p>
      <w:pPr>
        <w:pStyle w:val="Heading4"/>
        <w:spacing w:before="94"/>
      </w:pPr>
      <w:r>
        <w:rPr>
          <w:spacing w:val="-1"/>
        </w:rPr>
        <w:t>服務生態系的持續動態拓展</w:t>
      </w:r>
    </w:p>
    <w:p>
      <w:pPr>
        <w:pStyle w:val="BodyText"/>
        <w:spacing w:line="422" w:lineRule="auto" w:before="358"/>
        <w:ind w:left="569" w:right="562" w:firstLine="479"/>
      </w:pPr>
      <w:r>
        <w:rPr>
          <w:spacing w:val="-6"/>
        </w:rPr>
        <w:t>服務生態系統的動態拓展是一個結合市場探索、知識學習與技術整合的過程。</w:t>
      </w:r>
      <w:r>
        <w:rPr>
          <w:spacing w:val="-4"/>
        </w:rPr>
        <w:t>組織以服務主導邏輯為核心，跨越市場、知識與技術邊界，持續尋找外部資源並進行整合與調適，構建高度協同的服務生態系統。此過程提升了照顧便利性與服務品</w:t>
      </w:r>
      <w:r>
        <w:rPr>
          <w:spacing w:val="-4"/>
        </w:rPr>
        <w:t>質，降低重複成本，打破資訊與實業的界線，創造出具有獨特內涵的長照價值鏈，</w:t>
      </w:r>
      <w:r>
        <w:rPr>
          <w:spacing w:val="-2"/>
        </w:rPr>
        <w:t>為組織在快速變化的市場中提供持續競爭力。</w:t>
      </w:r>
    </w:p>
    <w:p>
      <w:pPr>
        <w:pStyle w:val="BodyText"/>
        <w:spacing w:after="0" w:line="422" w:lineRule="auto"/>
        <w:sectPr>
          <w:pgSz w:w="11910" w:h="16840"/>
          <w:pgMar w:header="0" w:footer="1197" w:top="1760" w:bottom="1380" w:left="1133" w:right="1133"/>
        </w:sectPr>
      </w:pPr>
    </w:p>
    <w:p>
      <w:pPr>
        <w:pStyle w:val="Heading4"/>
        <w:tabs>
          <w:tab w:pos="1581" w:val="left" w:leader="none"/>
        </w:tabs>
        <w:spacing w:before="118"/>
        <w:ind w:left="479"/>
        <w:jc w:val="center"/>
      </w:pPr>
      <w:bookmarkStart w:name="_bookmark91" w:id="92"/>
      <w:bookmarkEnd w:id="92"/>
      <w:r>
        <w:rPr>
          <w:b w:val="0"/>
        </w:rPr>
      </w:r>
      <w:r>
        <w:rPr/>
        <w:t>表</w:t>
      </w:r>
      <w:r>
        <w:rPr>
          <w:spacing w:val="61"/>
        </w:rPr>
        <w:t> </w:t>
      </w:r>
      <w:r>
        <w:rPr>
          <w:rFonts w:ascii="Times New Roman" w:eastAsia="Times New Roman"/>
        </w:rPr>
        <w:t>5.4-</w:t>
      </w:r>
      <w:r>
        <w:rPr>
          <w:rFonts w:ascii="Times New Roman" w:eastAsia="Times New Roman"/>
          <w:spacing w:val="-10"/>
        </w:rPr>
        <w:t>1</w:t>
      </w:r>
      <w:r>
        <w:rPr>
          <w:rFonts w:ascii="Times New Roman" w:eastAsia="Times New Roman"/>
        </w:rPr>
        <w:tab/>
      </w:r>
      <w:r>
        <w:rPr/>
        <w:t>個案跨階段分析</w:t>
      </w:r>
      <w:r>
        <w:rPr>
          <w:spacing w:val="-10"/>
        </w:rPr>
        <w:t>表</w:t>
      </w:r>
    </w:p>
    <w:p>
      <w:pPr>
        <w:pStyle w:val="BodyText"/>
        <w:spacing w:before="17"/>
        <w:ind w:left="0"/>
        <w:jc w:val="left"/>
        <w:rPr>
          <w:rFonts w:ascii="Microsoft JhengHei"/>
          <w:b/>
          <w:sz w:val="9"/>
        </w:rPr>
      </w:pPr>
    </w:p>
    <w:tbl>
      <w:tblPr>
        <w:tblW w:w="0" w:type="auto"/>
        <w:jc w:val="left"/>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567"/>
        <w:gridCol w:w="853"/>
        <w:gridCol w:w="3119"/>
        <w:gridCol w:w="3121"/>
        <w:gridCol w:w="709"/>
        <w:gridCol w:w="2694"/>
        <w:gridCol w:w="1611"/>
      </w:tblGrid>
      <w:tr>
        <w:trPr>
          <w:trHeight w:val="1043" w:hRule="atLeast"/>
        </w:trPr>
        <w:tc>
          <w:tcPr>
            <w:tcW w:w="1982" w:type="dxa"/>
            <w:gridSpan w:val="3"/>
            <w:shd w:val="clear" w:color="auto" w:fill="2F5496"/>
          </w:tcPr>
          <w:p>
            <w:pPr>
              <w:pStyle w:val="TableParagraph"/>
              <w:spacing w:before="273"/>
              <w:ind w:left="5"/>
              <w:jc w:val="center"/>
              <w:rPr>
                <w:rFonts w:ascii="Microsoft JhengHei" w:eastAsia="Microsoft JhengHei"/>
                <w:b/>
                <w:sz w:val="24"/>
              </w:rPr>
            </w:pPr>
            <w:r>
              <w:rPr>
                <w:rFonts w:ascii="Microsoft JhengHei" w:eastAsia="Microsoft JhengHei"/>
                <w:b/>
                <w:color w:val="FFFFFF"/>
                <w:spacing w:val="-5"/>
                <w:sz w:val="24"/>
              </w:rPr>
              <w:t>理論</w:t>
            </w:r>
          </w:p>
        </w:tc>
        <w:tc>
          <w:tcPr>
            <w:tcW w:w="3119" w:type="dxa"/>
            <w:shd w:val="clear" w:color="auto" w:fill="2F5496"/>
          </w:tcPr>
          <w:p>
            <w:pPr>
              <w:pStyle w:val="TableParagraph"/>
              <w:spacing w:line="400" w:lineRule="exact"/>
              <w:ind w:left="3"/>
              <w:jc w:val="center"/>
              <w:rPr>
                <w:rFonts w:ascii="Microsoft JhengHei" w:eastAsia="Microsoft JhengHei"/>
                <w:b/>
                <w:sz w:val="24"/>
              </w:rPr>
            </w:pPr>
            <w:r>
              <w:rPr>
                <w:rFonts w:ascii="Microsoft JhengHei" w:eastAsia="Microsoft JhengHei"/>
                <w:b/>
                <w:color w:val="FFFFFF"/>
                <w:spacing w:val="-2"/>
                <w:sz w:val="24"/>
              </w:rPr>
              <w:t>第一階段：</w:t>
            </w:r>
          </w:p>
          <w:p>
            <w:pPr>
              <w:pStyle w:val="TableParagraph"/>
              <w:spacing w:before="82"/>
              <w:ind w:left="3"/>
              <w:jc w:val="center"/>
              <w:rPr>
                <w:rFonts w:ascii="Microsoft JhengHei" w:eastAsia="Microsoft JhengHei"/>
                <w:b/>
                <w:sz w:val="24"/>
              </w:rPr>
            </w:pPr>
            <w:r>
              <w:rPr>
                <w:rFonts w:ascii="Microsoft JhengHei" w:eastAsia="Microsoft JhengHei"/>
                <w:b/>
                <w:color w:val="FFFFFF"/>
                <w:spacing w:val="-2"/>
                <w:sz w:val="24"/>
              </w:rPr>
              <w:t>初期建構系統</w:t>
            </w:r>
          </w:p>
        </w:tc>
        <w:tc>
          <w:tcPr>
            <w:tcW w:w="3121" w:type="dxa"/>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第二階段：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耗材供應鏈拓展</w:t>
            </w:r>
          </w:p>
        </w:tc>
        <w:tc>
          <w:tcPr>
            <w:tcW w:w="3403" w:type="dxa"/>
            <w:gridSpan w:val="2"/>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第三階段：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生態協調模組拓展</w:t>
            </w:r>
          </w:p>
        </w:tc>
        <w:tc>
          <w:tcPr>
            <w:tcW w:w="1611" w:type="dxa"/>
            <w:shd w:val="clear" w:color="auto" w:fill="2F5496"/>
          </w:tcPr>
          <w:p>
            <w:pPr>
              <w:pStyle w:val="TableParagraph"/>
              <w:spacing w:line="400" w:lineRule="exact"/>
              <w:ind w:right="1"/>
              <w:jc w:val="center"/>
              <w:rPr>
                <w:rFonts w:ascii="Microsoft JhengHei" w:eastAsia="Microsoft JhengHei"/>
                <w:b/>
                <w:sz w:val="24"/>
              </w:rPr>
            </w:pPr>
            <w:r>
              <w:rPr>
                <w:rFonts w:ascii="Microsoft JhengHei" w:eastAsia="Microsoft JhengHei"/>
                <w:b/>
                <w:color w:val="FFFFFF"/>
                <w:spacing w:val="-4"/>
                <w:sz w:val="24"/>
              </w:rPr>
              <w:t>跨階段</w:t>
            </w:r>
          </w:p>
          <w:p>
            <w:pPr>
              <w:pStyle w:val="TableParagraph"/>
              <w:spacing w:before="82"/>
              <w:ind w:right="1"/>
              <w:jc w:val="center"/>
              <w:rPr>
                <w:rFonts w:ascii="Microsoft JhengHei" w:eastAsia="Microsoft JhengHei"/>
                <w:b/>
                <w:sz w:val="24"/>
              </w:rPr>
            </w:pPr>
            <w:r>
              <w:rPr>
                <w:rFonts w:ascii="Microsoft JhengHei" w:eastAsia="Microsoft JhengHei"/>
                <w:b/>
                <w:color w:val="FFFFFF"/>
                <w:spacing w:val="-5"/>
                <w:sz w:val="24"/>
              </w:rPr>
              <w:t>命題</w:t>
            </w:r>
          </w:p>
        </w:tc>
      </w:tr>
      <w:tr>
        <w:trPr>
          <w:trHeight w:val="1567" w:hRule="atLeast"/>
        </w:trPr>
        <w:tc>
          <w:tcPr>
            <w:tcW w:w="1982" w:type="dxa"/>
            <w:gridSpan w:val="3"/>
            <w:shd w:val="clear" w:color="auto" w:fill="D9E2F3"/>
          </w:tcPr>
          <w:p>
            <w:pPr>
              <w:pStyle w:val="TableParagraph"/>
              <w:spacing w:before="94"/>
              <w:rPr>
                <w:rFonts w:ascii="Microsoft JhengHei"/>
                <w:b/>
                <w:sz w:val="24"/>
              </w:rPr>
            </w:pPr>
          </w:p>
          <w:p>
            <w:pPr>
              <w:pStyle w:val="TableParagraph"/>
              <w:ind w:left="508"/>
              <w:rPr>
                <w:rFonts w:ascii="Microsoft JhengHei" w:eastAsia="Microsoft JhengHei"/>
                <w:b/>
                <w:sz w:val="24"/>
              </w:rPr>
            </w:pPr>
            <w:r>
              <w:rPr>
                <w:rFonts w:ascii="Microsoft JhengHei" w:eastAsia="Microsoft JhengHei"/>
                <w:b/>
                <w:spacing w:val="-3"/>
                <w:sz w:val="24"/>
              </w:rPr>
              <w:t>競爭環境</w:t>
            </w:r>
          </w:p>
        </w:tc>
        <w:tc>
          <w:tcPr>
            <w:tcW w:w="3119" w:type="dxa"/>
          </w:tcPr>
          <w:p>
            <w:pPr>
              <w:pStyle w:val="TableParagraph"/>
              <w:numPr>
                <w:ilvl w:val="0"/>
                <w:numId w:val="23"/>
              </w:numPr>
              <w:tabs>
                <w:tab w:pos="217" w:val="left" w:leader="none"/>
              </w:tabs>
              <w:spacing w:line="240" w:lineRule="auto" w:before="355" w:after="0"/>
              <w:ind w:left="217" w:right="0" w:hanging="112"/>
              <w:jc w:val="left"/>
              <w:rPr>
                <w:sz w:val="24"/>
              </w:rPr>
            </w:pPr>
            <w:r>
              <w:rPr>
                <w:spacing w:val="-1"/>
                <w:sz w:val="24"/>
              </w:rPr>
              <w:t>長照機構依賴紙本作業</w:t>
            </w:r>
          </w:p>
          <w:p>
            <w:pPr>
              <w:pStyle w:val="TableParagraph"/>
              <w:numPr>
                <w:ilvl w:val="0"/>
                <w:numId w:val="23"/>
              </w:numPr>
              <w:tabs>
                <w:tab w:pos="217" w:val="left" w:leader="none"/>
              </w:tabs>
              <w:spacing w:line="240" w:lineRule="auto" w:before="214" w:after="0"/>
              <w:ind w:left="217" w:right="0" w:hanging="112"/>
              <w:jc w:val="left"/>
              <w:rPr>
                <w:sz w:val="24"/>
              </w:rPr>
            </w:pPr>
            <w:r>
              <w:rPr>
                <w:spacing w:val="-1"/>
                <w:sz w:val="24"/>
              </w:rPr>
              <w:t>系統以個案形式難以互通</w:t>
            </w:r>
          </w:p>
        </w:tc>
        <w:tc>
          <w:tcPr>
            <w:tcW w:w="3121" w:type="dxa"/>
          </w:tcPr>
          <w:p>
            <w:pPr>
              <w:pStyle w:val="TableParagraph"/>
              <w:numPr>
                <w:ilvl w:val="0"/>
                <w:numId w:val="24"/>
              </w:numPr>
              <w:tabs>
                <w:tab w:pos="216" w:val="left" w:leader="none"/>
              </w:tabs>
              <w:spacing w:line="240" w:lineRule="auto" w:before="146" w:after="0"/>
              <w:ind w:left="216" w:right="0" w:hanging="112"/>
              <w:jc w:val="left"/>
              <w:rPr>
                <w:sz w:val="24"/>
              </w:rPr>
            </w:pPr>
            <w:r>
              <w:rPr>
                <w:spacing w:val="-1"/>
                <w:sz w:val="24"/>
              </w:rPr>
              <w:t>同類型產品削價競爭嚴重</w:t>
            </w:r>
          </w:p>
          <w:p>
            <w:pPr>
              <w:pStyle w:val="TableParagraph"/>
              <w:numPr>
                <w:ilvl w:val="0"/>
                <w:numId w:val="24"/>
              </w:numPr>
              <w:tabs>
                <w:tab w:pos="217" w:val="left" w:leader="none"/>
              </w:tabs>
              <w:spacing w:line="321" w:lineRule="auto" w:before="216" w:after="0"/>
              <w:ind w:left="217" w:right="222" w:hanging="113"/>
              <w:jc w:val="left"/>
              <w:rPr>
                <w:sz w:val="24"/>
              </w:rPr>
            </w:pPr>
            <w:r>
              <w:rPr>
                <w:spacing w:val="-2"/>
                <w:sz w:val="24"/>
              </w:rPr>
              <w:t>人才短缺且薪資上升，成</w:t>
            </w:r>
            <w:r>
              <w:rPr>
                <w:spacing w:val="-4"/>
                <w:sz w:val="24"/>
              </w:rPr>
              <w:t>本加重</w:t>
            </w:r>
          </w:p>
        </w:tc>
        <w:tc>
          <w:tcPr>
            <w:tcW w:w="3403" w:type="dxa"/>
            <w:gridSpan w:val="2"/>
          </w:tcPr>
          <w:p>
            <w:pPr>
              <w:pStyle w:val="TableParagraph"/>
              <w:numPr>
                <w:ilvl w:val="0"/>
                <w:numId w:val="25"/>
              </w:numPr>
              <w:tabs>
                <w:tab w:pos="217" w:val="left" w:leader="none"/>
              </w:tabs>
              <w:spacing w:line="324" w:lineRule="auto" w:before="146" w:after="0"/>
              <w:ind w:left="217" w:right="215" w:hanging="113"/>
              <w:jc w:val="left"/>
              <w:rPr>
                <w:sz w:val="24"/>
              </w:rPr>
            </w:pPr>
            <w:r>
              <w:rPr>
                <w:spacing w:val="-2"/>
                <w:sz w:val="24"/>
              </w:rPr>
              <w:t>台灣長照市場碎片化，缺乏</w:t>
            </w:r>
            <w:r>
              <w:rPr>
                <w:spacing w:val="-4"/>
                <w:sz w:val="24"/>
              </w:rPr>
              <w:t>整合與協</w:t>
            </w:r>
          </w:p>
          <w:p>
            <w:pPr>
              <w:pStyle w:val="TableParagraph"/>
              <w:numPr>
                <w:ilvl w:val="0"/>
                <w:numId w:val="25"/>
              </w:numPr>
              <w:tabs>
                <w:tab w:pos="216" w:val="left" w:leader="none"/>
              </w:tabs>
              <w:spacing w:line="240" w:lineRule="auto" w:before="106" w:after="0"/>
              <w:ind w:left="216" w:right="0" w:hanging="112"/>
              <w:jc w:val="left"/>
              <w:rPr>
                <w:sz w:val="24"/>
              </w:rPr>
            </w:pPr>
            <w:r>
              <w:rPr>
                <w:spacing w:val="-1"/>
                <w:sz w:val="24"/>
              </w:rPr>
              <w:t>台灣市場收費模式較為侷限</w:t>
            </w:r>
          </w:p>
        </w:tc>
        <w:tc>
          <w:tcPr>
            <w:tcW w:w="1611" w:type="dxa"/>
            <w:vMerge w:val="restart"/>
          </w:tcPr>
          <w:p>
            <w:pPr>
              <w:pStyle w:val="TableParagraph"/>
              <w:spacing w:line="324" w:lineRule="auto" w:before="146"/>
              <w:ind w:left="102" w:right="56"/>
              <w:jc w:val="both"/>
              <w:rPr>
                <w:sz w:val="24"/>
              </w:rPr>
            </w:pPr>
            <w:r>
              <w:rPr>
                <w:spacing w:val="35"/>
                <w:sz w:val="24"/>
              </w:rPr>
              <w:t>競爭環境對</w:t>
            </w:r>
            <w:r>
              <w:rPr>
                <w:sz w:val="24"/>
              </w:rPr>
              <w:t> </w:t>
            </w:r>
            <w:r>
              <w:rPr>
                <w:spacing w:val="35"/>
                <w:sz w:val="24"/>
              </w:rPr>
              <w:t>組織拓展策</w:t>
            </w:r>
            <w:r>
              <w:rPr>
                <w:sz w:val="24"/>
              </w:rPr>
              <w:t> </w:t>
            </w:r>
            <w:r>
              <w:rPr>
                <w:spacing w:val="35"/>
                <w:sz w:val="24"/>
              </w:rPr>
              <w:t>略的制定產</w:t>
            </w:r>
            <w:r>
              <w:rPr>
                <w:sz w:val="24"/>
              </w:rPr>
              <w:t> </w:t>
            </w:r>
            <w:r>
              <w:rPr>
                <w:spacing w:val="35"/>
                <w:sz w:val="24"/>
              </w:rPr>
              <w:t>生了顯著影</w:t>
            </w:r>
            <w:r>
              <w:rPr>
                <w:sz w:val="24"/>
              </w:rPr>
              <w:t> </w:t>
            </w:r>
            <w:r>
              <w:rPr>
                <w:spacing w:val="-10"/>
                <w:sz w:val="24"/>
              </w:rPr>
              <w:t>響</w:t>
            </w:r>
          </w:p>
        </w:tc>
      </w:tr>
      <w:tr>
        <w:trPr>
          <w:trHeight w:val="710" w:hRule="atLeast"/>
        </w:trPr>
        <w:tc>
          <w:tcPr>
            <w:tcW w:w="1982" w:type="dxa"/>
            <w:gridSpan w:val="3"/>
            <w:shd w:val="clear" w:color="auto" w:fill="D9E2F3"/>
          </w:tcPr>
          <w:p>
            <w:pPr>
              <w:pStyle w:val="TableParagraph"/>
              <w:spacing w:before="107"/>
              <w:ind w:left="508"/>
              <w:rPr>
                <w:rFonts w:ascii="Microsoft JhengHei" w:eastAsia="Microsoft JhengHei"/>
                <w:b/>
                <w:sz w:val="24"/>
              </w:rPr>
            </w:pPr>
            <w:r>
              <w:rPr>
                <w:rFonts w:ascii="Microsoft JhengHei" w:eastAsia="Microsoft JhengHei"/>
                <w:b/>
                <w:spacing w:val="-3"/>
                <w:sz w:val="24"/>
              </w:rPr>
              <w:t>組織策略</w:t>
            </w:r>
          </w:p>
        </w:tc>
        <w:tc>
          <w:tcPr>
            <w:tcW w:w="3119" w:type="dxa"/>
          </w:tcPr>
          <w:p>
            <w:pPr>
              <w:pStyle w:val="TableParagraph"/>
              <w:spacing w:before="187"/>
              <w:ind w:left="105"/>
              <w:rPr>
                <w:sz w:val="24"/>
              </w:rPr>
            </w:pPr>
            <w:r>
              <w:rPr>
                <w:spacing w:val="-2"/>
                <w:sz w:val="24"/>
              </w:rPr>
              <w:t>「需求採用」為核心</w:t>
            </w:r>
          </w:p>
        </w:tc>
        <w:tc>
          <w:tcPr>
            <w:tcW w:w="3121" w:type="dxa"/>
          </w:tcPr>
          <w:p>
            <w:pPr>
              <w:pStyle w:val="TableParagraph"/>
              <w:spacing w:before="187"/>
              <w:ind w:left="104"/>
              <w:rPr>
                <w:sz w:val="24"/>
              </w:rPr>
            </w:pPr>
            <w:r>
              <w:rPr>
                <w:sz w:val="24"/>
              </w:rPr>
              <mc:AlternateContent>
                <mc:Choice Requires="wps">
                  <w:drawing>
                    <wp:anchor distT="0" distB="0" distL="0" distR="0" allowOverlap="1" layoutInCell="1" locked="0" behindDoc="1" simplePos="0" relativeHeight="485831168">
                      <wp:simplePos x="0" y="0"/>
                      <wp:positionH relativeFrom="column">
                        <wp:posOffset>497712</wp:posOffset>
                      </wp:positionH>
                      <wp:positionV relativeFrom="paragraph">
                        <wp:posOffset>259080</wp:posOffset>
                      </wp:positionV>
                      <wp:extent cx="929640" cy="97853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929640" cy="978535"/>
                                <a:chExt cx="929640" cy="978535"/>
                              </a:xfrm>
                            </wpg:grpSpPr>
                            <pic:pic>
                              <pic:nvPicPr>
                                <pic:cNvPr id="253" name="Image 253"/>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39.189995pt;margin-top:20.400003pt;width:73.2pt;height:77.05pt;mso-position-horizontal-relative:column;mso-position-vertical-relative:paragraph;z-index:-17485312" id="docshapegroup37" coordorigin="784,408" coordsize="1464,1541">
                      <v:shape style="position:absolute;left:783;top:408;width:1464;height:1541" type="#_x0000_t75" id="docshape38" stroked="false">
                        <v:imagedata r:id="rId6" o:title=""/>
                      </v:shape>
                      <w10:wrap type="none"/>
                    </v:group>
                  </w:pict>
                </mc:Fallback>
              </mc:AlternateContent>
            </w:r>
            <w:r>
              <w:rPr>
                <w:spacing w:val="-2"/>
                <w:sz w:val="24"/>
              </w:rPr>
              <w:t>「數據驅動」為核心</w:t>
            </w:r>
          </w:p>
        </w:tc>
        <w:tc>
          <w:tcPr>
            <w:tcW w:w="3403" w:type="dxa"/>
            <w:gridSpan w:val="2"/>
          </w:tcPr>
          <w:p>
            <w:pPr>
              <w:pStyle w:val="TableParagraph"/>
              <w:spacing w:before="187"/>
              <w:ind w:left="104"/>
              <w:rPr>
                <w:sz w:val="24"/>
              </w:rPr>
            </w:pPr>
            <w:r>
              <w:rPr>
                <w:spacing w:val="-2"/>
                <w:sz w:val="24"/>
              </w:rPr>
              <w:t>「生態協調」為核心</w:t>
            </w:r>
          </w:p>
        </w:tc>
        <w:tc>
          <w:tcPr>
            <w:tcW w:w="1611" w:type="dxa"/>
            <w:vMerge/>
            <w:tcBorders>
              <w:top w:val="nil"/>
            </w:tcBorders>
          </w:tcPr>
          <w:p>
            <w:pPr>
              <w:rPr>
                <w:sz w:val="2"/>
                <w:szCs w:val="2"/>
              </w:rPr>
            </w:pPr>
          </w:p>
        </w:tc>
      </w:tr>
      <w:tr>
        <w:trPr>
          <w:trHeight w:val="1043" w:hRule="atLeast"/>
        </w:trPr>
        <w:tc>
          <w:tcPr>
            <w:tcW w:w="562" w:type="dxa"/>
            <w:vMerge w:val="restart"/>
            <w:shd w:val="clear" w:color="auto" w:fill="D9E2F3"/>
          </w:tcPr>
          <w:p>
            <w:pPr>
              <w:pStyle w:val="TableParagraph"/>
              <w:spacing w:before="84"/>
              <w:rPr>
                <w:rFonts w:ascii="Microsoft JhengHei"/>
                <w:b/>
                <w:sz w:val="24"/>
              </w:rPr>
            </w:pPr>
          </w:p>
          <w:p>
            <w:pPr>
              <w:pStyle w:val="TableParagraph"/>
              <w:spacing w:line="225" w:lineRule="auto"/>
              <w:ind w:left="160" w:right="149"/>
              <w:jc w:val="both"/>
              <w:rPr>
                <w:rFonts w:ascii="Microsoft JhengHei" w:eastAsia="Microsoft JhengHei"/>
                <w:b/>
                <w:sz w:val="24"/>
              </w:rPr>
            </w:pPr>
            <w:r>
              <w:rPr>
                <w:rFonts w:ascii="Microsoft JhengHei" w:eastAsia="Microsoft JhengHei"/>
                <w:b/>
                <w:spacing w:val="-10"/>
                <w:sz w:val="24"/>
              </w:rPr>
              <w:t>資源和諧的跨界管理</w:t>
            </w:r>
          </w:p>
        </w:tc>
        <w:tc>
          <w:tcPr>
            <w:tcW w:w="567" w:type="dxa"/>
            <w:vMerge w:val="restart"/>
            <w:shd w:val="clear" w:color="auto" w:fill="E7E6E6"/>
          </w:tcPr>
          <w:p>
            <w:pPr>
              <w:pStyle w:val="TableParagraph"/>
              <w:rPr>
                <w:rFonts w:ascii="Microsoft JhengHei"/>
                <w:b/>
                <w:sz w:val="24"/>
              </w:rPr>
            </w:pPr>
          </w:p>
          <w:p>
            <w:pPr>
              <w:pStyle w:val="TableParagraph"/>
              <w:rPr>
                <w:rFonts w:ascii="Microsoft JhengHei"/>
                <w:b/>
                <w:sz w:val="24"/>
              </w:rPr>
            </w:pPr>
          </w:p>
          <w:p>
            <w:pPr>
              <w:pStyle w:val="TableParagraph"/>
              <w:spacing w:before="238"/>
              <w:rPr>
                <w:rFonts w:ascii="Microsoft JhengHei"/>
                <w:b/>
                <w:sz w:val="24"/>
              </w:rPr>
            </w:pPr>
          </w:p>
          <w:p>
            <w:pPr>
              <w:pStyle w:val="TableParagraph"/>
              <w:spacing w:line="225" w:lineRule="auto"/>
              <w:ind w:left="162" w:right="152"/>
              <w:jc w:val="both"/>
              <w:rPr>
                <w:rFonts w:ascii="Microsoft JhengHei" w:eastAsia="Microsoft JhengHei"/>
                <w:b/>
                <w:sz w:val="24"/>
              </w:rPr>
            </w:pPr>
            <w:r>
              <w:rPr>
                <w:rFonts w:ascii="Microsoft JhengHei" w:eastAsia="Microsoft JhengHei"/>
                <w:b/>
                <w:spacing w:val="-10"/>
                <w:sz w:val="24"/>
              </w:rPr>
              <w:t>市場邊界</w:t>
            </w:r>
          </w:p>
        </w:tc>
        <w:tc>
          <w:tcPr>
            <w:tcW w:w="853" w:type="dxa"/>
            <w:vMerge w:val="restart"/>
            <w:shd w:val="clear" w:color="auto" w:fill="E7E6E6"/>
          </w:tcPr>
          <w:p>
            <w:pPr>
              <w:pStyle w:val="TableParagraph"/>
              <w:spacing w:before="432"/>
              <w:rPr>
                <w:rFonts w:ascii="Microsoft JhengHei"/>
                <w:b/>
                <w:sz w:val="24"/>
              </w:rPr>
            </w:pPr>
          </w:p>
          <w:p>
            <w:pPr>
              <w:pStyle w:val="TableParagraph"/>
              <w:spacing w:line="225" w:lineRule="auto"/>
              <w:ind w:left="183" w:right="17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3119" w:type="dxa"/>
            <w:vMerge w:val="restart"/>
          </w:tcPr>
          <w:p>
            <w:pPr>
              <w:pStyle w:val="TableParagraph"/>
              <w:spacing w:before="178"/>
              <w:rPr>
                <w:rFonts w:ascii="Microsoft JhengHei"/>
                <w:b/>
                <w:sz w:val="24"/>
              </w:rPr>
            </w:pPr>
          </w:p>
          <w:p>
            <w:pPr>
              <w:pStyle w:val="TableParagraph"/>
              <w:numPr>
                <w:ilvl w:val="0"/>
                <w:numId w:val="26"/>
              </w:numPr>
              <w:tabs>
                <w:tab w:pos="217" w:val="left" w:leader="none"/>
              </w:tabs>
              <w:spacing w:line="240" w:lineRule="auto" w:before="0" w:after="0"/>
              <w:ind w:left="217" w:right="0" w:hanging="112"/>
              <w:jc w:val="left"/>
              <w:rPr>
                <w:sz w:val="24"/>
              </w:rPr>
            </w:pPr>
            <w:r>
              <w:rPr>
                <w:spacing w:val="-1"/>
                <w:sz w:val="24"/>
              </w:rPr>
              <w:t>醫療與資訊的溝通鴻溝</w:t>
            </w:r>
          </w:p>
          <w:p>
            <w:pPr>
              <w:pStyle w:val="TableParagraph"/>
              <w:numPr>
                <w:ilvl w:val="0"/>
                <w:numId w:val="26"/>
              </w:numPr>
              <w:tabs>
                <w:tab w:pos="217" w:val="left" w:leader="none"/>
              </w:tabs>
              <w:spacing w:line="240" w:lineRule="auto" w:before="215" w:after="0"/>
              <w:ind w:left="217" w:right="0" w:hanging="112"/>
              <w:jc w:val="left"/>
              <w:rPr>
                <w:sz w:val="24"/>
              </w:rPr>
            </w:pPr>
            <w:r>
              <w:rPr>
                <w:spacing w:val="-1"/>
                <w:sz w:val="24"/>
              </w:rPr>
              <w:t>遠距照護技術應用的嘗試</w:t>
            </w:r>
          </w:p>
          <w:p>
            <w:pPr>
              <w:pStyle w:val="TableParagraph"/>
              <w:numPr>
                <w:ilvl w:val="0"/>
                <w:numId w:val="26"/>
              </w:numPr>
              <w:tabs>
                <w:tab w:pos="217" w:val="left" w:leader="none"/>
              </w:tabs>
              <w:spacing w:line="240" w:lineRule="auto" w:before="214" w:after="0"/>
              <w:ind w:left="217" w:right="0" w:hanging="112"/>
              <w:jc w:val="left"/>
              <w:rPr>
                <w:sz w:val="24"/>
              </w:rPr>
            </w:pPr>
            <w:r>
              <w:rPr>
                <w:spacing w:val="-1"/>
                <w:sz w:val="24"/>
              </w:rPr>
              <w:t>缺乏專屬居家護理的系統</w:t>
            </w:r>
          </w:p>
        </w:tc>
        <w:tc>
          <w:tcPr>
            <w:tcW w:w="3121" w:type="dxa"/>
            <w:vMerge w:val="restart"/>
          </w:tcPr>
          <w:p>
            <w:pPr>
              <w:pStyle w:val="TableParagraph"/>
              <w:spacing w:before="286"/>
              <w:rPr>
                <w:rFonts w:ascii="Microsoft JhengHei"/>
                <w:b/>
                <w:sz w:val="24"/>
              </w:rPr>
            </w:pPr>
          </w:p>
          <w:p>
            <w:pPr>
              <w:pStyle w:val="TableParagraph"/>
              <w:spacing w:line="324" w:lineRule="auto"/>
              <w:ind w:left="104" w:right="100"/>
              <w:jc w:val="both"/>
              <w:rPr>
                <w:sz w:val="24"/>
              </w:rPr>
            </w:pPr>
            <w:r>
              <w:rPr>
                <w:spacing w:val="-2"/>
                <w:sz w:val="24"/>
              </w:rPr>
              <w:t>初期模式依賴每床每月固定</w:t>
            </w:r>
            <w:r>
              <w:rPr>
                <w:spacing w:val="-2"/>
                <w:sz w:val="24"/>
              </w:rPr>
              <w:t>資訊服務費，單一收入結構陷入瓶頸。</w:t>
            </w:r>
          </w:p>
        </w:tc>
        <w:tc>
          <w:tcPr>
            <w:tcW w:w="709" w:type="dxa"/>
            <w:shd w:val="clear" w:color="auto" w:fill="E7E6E6"/>
          </w:tcPr>
          <w:p>
            <w:pPr>
              <w:pStyle w:val="TableParagraph"/>
              <w:spacing w:before="352"/>
              <w:ind w:right="8"/>
              <w:jc w:val="center"/>
              <w:rPr>
                <w:sz w:val="24"/>
              </w:rPr>
            </w:pPr>
            <w:r>
              <w:rPr>
                <w:spacing w:val="-5"/>
                <w:sz w:val="24"/>
              </w:rPr>
              <w:t>藥局</w:t>
            </w:r>
          </w:p>
        </w:tc>
        <w:tc>
          <w:tcPr>
            <w:tcW w:w="2694" w:type="dxa"/>
          </w:tcPr>
          <w:p>
            <w:pPr>
              <w:pStyle w:val="TableParagraph"/>
              <w:spacing w:line="321" w:lineRule="auto" w:before="146"/>
              <w:ind w:left="103" w:right="96"/>
              <w:rPr>
                <w:sz w:val="24"/>
              </w:rPr>
            </w:pPr>
            <w:r>
              <w:rPr>
                <w:sz w:val="24"/>
              </w:rPr>
              <w:t>藥局數位化可串接服務</w:t>
            </w:r>
            <w:r>
              <w:rPr>
                <w:spacing w:val="-6"/>
                <w:sz w:val="24"/>
              </w:rPr>
              <w:t>斷點</w:t>
            </w:r>
          </w:p>
        </w:tc>
        <w:tc>
          <w:tcPr>
            <w:tcW w:w="1611" w:type="dxa"/>
            <w:vMerge w:val="restart"/>
          </w:tcPr>
          <w:p>
            <w:pPr>
              <w:pStyle w:val="TableParagraph"/>
              <w:rPr>
                <w:rFonts w:ascii="Microsoft JhengHei"/>
                <w:b/>
                <w:sz w:val="24"/>
              </w:rPr>
            </w:pPr>
          </w:p>
          <w:p>
            <w:pPr>
              <w:pStyle w:val="TableParagraph"/>
              <w:spacing w:before="324"/>
              <w:rPr>
                <w:rFonts w:ascii="Microsoft JhengHei"/>
                <w:b/>
                <w:sz w:val="24"/>
              </w:rPr>
            </w:pPr>
          </w:p>
          <w:p>
            <w:pPr>
              <w:pStyle w:val="TableParagraph"/>
              <w:spacing w:line="324" w:lineRule="auto"/>
              <w:ind w:left="102" w:right="56"/>
              <w:jc w:val="both"/>
              <w:rPr>
                <w:sz w:val="24"/>
              </w:rPr>
            </w:pPr>
            <w:r>
              <w:rPr>
                <w:spacing w:val="44"/>
                <w:sz w:val="24"/>
              </w:rPr>
              <w:t>組織以</w:t>
            </w:r>
            <w:r>
              <w:rPr>
                <w:spacing w:val="22"/>
                <w:sz w:val="24"/>
                <w:u w:val="single"/>
              </w:rPr>
              <w:t>辨識</w:t>
            </w:r>
            <w:r>
              <w:rPr>
                <w:spacing w:val="35"/>
                <w:sz w:val="24"/>
              </w:rPr>
              <w:t>需求或發掘</w:t>
            </w:r>
            <w:r>
              <w:rPr>
                <w:sz w:val="24"/>
              </w:rPr>
              <w:t> </w:t>
            </w:r>
            <w:r>
              <w:rPr>
                <w:spacing w:val="35"/>
                <w:sz w:val="24"/>
              </w:rPr>
              <w:t>可擴展的新</w:t>
            </w:r>
            <w:r>
              <w:rPr>
                <w:sz w:val="24"/>
              </w:rPr>
              <w:t> </w:t>
            </w:r>
            <w:r>
              <w:rPr>
                <w:spacing w:val="44"/>
                <w:sz w:val="24"/>
                <w:u w:val="single"/>
              </w:rPr>
              <w:t>商業模式</w:t>
            </w:r>
            <w:r>
              <w:rPr>
                <w:sz w:val="24"/>
              </w:rPr>
              <w:t>得</w:t>
            </w:r>
            <w:r>
              <w:rPr>
                <w:spacing w:val="35"/>
                <w:sz w:val="24"/>
              </w:rPr>
              <w:t>以實現市場</w:t>
            </w:r>
            <w:r>
              <w:rPr>
                <w:sz w:val="24"/>
              </w:rPr>
              <w:t> </w:t>
            </w:r>
            <w:r>
              <w:rPr>
                <w:spacing w:val="-4"/>
                <w:sz w:val="24"/>
              </w:rPr>
              <w:t>跨界。</w:t>
            </w:r>
          </w:p>
        </w:tc>
      </w:tr>
      <w:tr>
        <w:trPr>
          <w:trHeight w:val="1566"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spacing w:before="172"/>
              <w:rPr>
                <w:rFonts w:ascii="Microsoft JhengHei"/>
                <w:b/>
                <w:sz w:val="24"/>
              </w:rPr>
            </w:pPr>
          </w:p>
          <w:p>
            <w:pPr>
              <w:pStyle w:val="TableParagraph"/>
              <w:spacing w:before="1"/>
              <w:ind w:right="8"/>
              <w:jc w:val="center"/>
              <w:rPr>
                <w:sz w:val="24"/>
              </w:rPr>
            </w:pPr>
            <w:r>
              <w:rPr>
                <w:spacing w:val="-5"/>
                <w:sz w:val="24"/>
              </w:rPr>
              <w:t>美國</w:t>
            </w:r>
          </w:p>
        </w:tc>
        <w:tc>
          <w:tcPr>
            <w:tcW w:w="2694" w:type="dxa"/>
          </w:tcPr>
          <w:p>
            <w:pPr>
              <w:pStyle w:val="TableParagraph"/>
              <w:numPr>
                <w:ilvl w:val="0"/>
                <w:numId w:val="27"/>
              </w:numPr>
              <w:tabs>
                <w:tab w:pos="216" w:val="left" w:leader="none"/>
              </w:tabs>
              <w:spacing w:line="324" w:lineRule="auto" w:before="146" w:after="0"/>
              <w:ind w:left="216" w:right="216" w:hanging="113"/>
              <w:jc w:val="left"/>
              <w:rPr>
                <w:sz w:val="24"/>
              </w:rPr>
            </w:pPr>
            <w:r>
              <w:rPr>
                <w:sz w:val="24"/>
              </w:rPr>
              <w:t>健全的收入模式支持</w:t>
            </w:r>
            <w:r>
              <w:rPr>
                <w:spacing w:val="-4"/>
                <w:sz w:val="24"/>
              </w:rPr>
              <w:t>企業研發</w:t>
            </w:r>
          </w:p>
          <w:p>
            <w:pPr>
              <w:pStyle w:val="TableParagraph"/>
              <w:numPr>
                <w:ilvl w:val="0"/>
                <w:numId w:val="27"/>
              </w:numPr>
              <w:tabs>
                <w:tab w:pos="215" w:val="left" w:leader="none"/>
              </w:tabs>
              <w:spacing w:line="240" w:lineRule="auto" w:before="106" w:after="0"/>
              <w:ind w:left="215" w:right="0" w:hanging="112"/>
              <w:jc w:val="left"/>
              <w:rPr>
                <w:sz w:val="24"/>
              </w:rPr>
            </w:pPr>
            <w:r>
              <w:rPr>
                <w:spacing w:val="-2"/>
                <w:sz w:val="24"/>
              </w:rPr>
              <w:t>嚴重的信任壁壘</w:t>
            </w:r>
          </w:p>
        </w:tc>
        <w:tc>
          <w:tcPr>
            <w:tcW w:w="1611" w:type="dxa"/>
            <w:vMerge/>
            <w:tcBorders>
              <w:top w:val="nil"/>
            </w:tcBorders>
          </w:tcPr>
          <w:p>
            <w:pPr>
              <w:rPr>
                <w:sz w:val="2"/>
                <w:szCs w:val="2"/>
              </w:rPr>
            </w:pPr>
          </w:p>
        </w:tc>
      </w:tr>
      <w:tr>
        <w:trPr>
          <w:trHeight w:val="1061"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val="restart"/>
            <w:shd w:val="clear" w:color="auto" w:fill="E7E6E6"/>
          </w:tcPr>
          <w:p>
            <w:pPr>
              <w:pStyle w:val="TableParagraph"/>
              <w:spacing w:before="12"/>
              <w:rPr>
                <w:rFonts w:ascii="Microsoft JhengHei"/>
                <w:b/>
                <w:sz w:val="24"/>
              </w:rPr>
            </w:pPr>
          </w:p>
          <w:p>
            <w:pPr>
              <w:pStyle w:val="TableParagraph"/>
              <w:spacing w:line="225" w:lineRule="auto"/>
              <w:ind w:left="183" w:right="177"/>
              <w:jc w:val="both"/>
              <w:rPr>
                <w:rFonts w:ascii="Microsoft JhengHei" w:eastAsia="Microsoft JhengHei"/>
                <w:b/>
                <w:sz w:val="24"/>
              </w:rPr>
            </w:pPr>
            <w:r>
              <w:rPr>
                <w:rFonts w:ascii="Microsoft JhengHei" w:eastAsia="Microsoft JhengHei"/>
                <w:b/>
                <w:spacing w:val="-6"/>
                <w:sz w:val="24"/>
              </w:rPr>
              <w:t>跨界資源</w:t>
            </w:r>
            <w:r>
              <w:rPr>
                <w:rFonts w:ascii="Microsoft JhengHei" w:eastAsia="Microsoft JhengHei"/>
                <w:b/>
                <w:spacing w:val="-5"/>
                <w:sz w:val="24"/>
              </w:rPr>
              <w:t>行動</w:t>
            </w:r>
          </w:p>
        </w:tc>
        <w:tc>
          <w:tcPr>
            <w:tcW w:w="3119" w:type="dxa"/>
            <w:vMerge w:val="restart"/>
          </w:tcPr>
          <w:p>
            <w:pPr>
              <w:pStyle w:val="TableParagraph"/>
              <w:spacing w:before="223"/>
              <w:rPr>
                <w:rFonts w:ascii="Microsoft JhengHei"/>
                <w:b/>
                <w:sz w:val="24"/>
              </w:rPr>
            </w:pPr>
          </w:p>
          <w:p>
            <w:pPr>
              <w:pStyle w:val="TableParagraph"/>
              <w:numPr>
                <w:ilvl w:val="0"/>
                <w:numId w:val="28"/>
              </w:numPr>
              <w:tabs>
                <w:tab w:pos="217" w:val="left" w:leader="none"/>
              </w:tabs>
              <w:spacing w:line="240" w:lineRule="auto" w:before="1" w:after="0"/>
              <w:ind w:left="217" w:right="0" w:hanging="112"/>
              <w:jc w:val="left"/>
              <w:rPr>
                <w:sz w:val="24"/>
              </w:rPr>
            </w:pPr>
            <w:r>
              <w:rPr>
                <w:spacing w:val="-2"/>
                <w:sz w:val="24"/>
              </w:rPr>
              <w:t>新</w:t>
            </w:r>
            <w:r>
              <w:rPr>
                <w:spacing w:val="-2"/>
                <w:sz w:val="24"/>
                <w:u w:val="single"/>
              </w:rPr>
              <w:t>商業模式</w:t>
            </w:r>
            <w:r>
              <w:rPr>
                <w:rFonts w:ascii="Times New Roman" w:hAnsi="Times New Roman" w:eastAsia="Times New Roman"/>
                <w:spacing w:val="-2"/>
                <w:sz w:val="24"/>
              </w:rPr>
              <w:t>-</w:t>
            </w:r>
            <w:r>
              <w:rPr>
                <w:spacing w:val="-4"/>
                <w:sz w:val="24"/>
              </w:rPr>
              <w:t>紙本電子化</w:t>
            </w:r>
          </w:p>
          <w:p>
            <w:pPr>
              <w:pStyle w:val="TableParagraph"/>
              <w:numPr>
                <w:ilvl w:val="0"/>
                <w:numId w:val="28"/>
              </w:numPr>
              <w:tabs>
                <w:tab w:pos="217" w:val="left" w:leader="none"/>
              </w:tabs>
              <w:spacing w:line="240" w:lineRule="auto" w:before="215" w:after="0"/>
              <w:ind w:left="217" w:right="0" w:hanging="112"/>
              <w:jc w:val="left"/>
              <w:rPr>
                <w:sz w:val="24"/>
              </w:rPr>
            </w:pPr>
            <w:r>
              <w:rPr>
                <w:sz w:val="24"/>
                <w:u w:val="single"/>
              </w:rPr>
              <w:t>辨識</w:t>
            </w:r>
            <w:r>
              <w:rPr>
                <w:spacing w:val="-2"/>
                <w:sz w:val="24"/>
              </w:rPr>
              <w:t>一站式服務需求</w:t>
            </w:r>
          </w:p>
        </w:tc>
        <w:tc>
          <w:tcPr>
            <w:tcW w:w="3121" w:type="dxa"/>
            <w:vMerge w:val="restart"/>
          </w:tcPr>
          <w:p>
            <w:pPr>
              <w:pStyle w:val="TableParagraph"/>
              <w:spacing w:before="223"/>
              <w:rPr>
                <w:rFonts w:ascii="Microsoft JhengHei"/>
                <w:b/>
                <w:sz w:val="24"/>
              </w:rPr>
            </w:pPr>
          </w:p>
          <w:p>
            <w:pPr>
              <w:pStyle w:val="TableParagraph"/>
              <w:numPr>
                <w:ilvl w:val="0"/>
                <w:numId w:val="29"/>
              </w:numPr>
              <w:tabs>
                <w:tab w:pos="216" w:val="left" w:leader="none"/>
              </w:tabs>
              <w:spacing w:line="240" w:lineRule="auto" w:before="1" w:after="0"/>
              <w:ind w:left="216" w:right="0" w:hanging="112"/>
              <w:jc w:val="left"/>
              <w:rPr>
                <w:sz w:val="24"/>
              </w:rPr>
            </w:pPr>
            <w:r>
              <w:rPr>
                <w:sz w:val="24"/>
                <w:u w:val="single"/>
              </w:rPr>
              <w:t>辨識</w:t>
            </w:r>
            <w:r>
              <w:rPr>
                <w:spacing w:val="-2"/>
                <w:sz w:val="24"/>
              </w:rPr>
              <w:t>耗材事業的可發展性</w:t>
            </w:r>
          </w:p>
          <w:p>
            <w:pPr>
              <w:pStyle w:val="TableParagraph"/>
              <w:numPr>
                <w:ilvl w:val="0"/>
                <w:numId w:val="29"/>
              </w:numPr>
              <w:tabs>
                <w:tab w:pos="216" w:val="left" w:leader="none"/>
              </w:tabs>
              <w:spacing w:line="240" w:lineRule="auto" w:before="215" w:after="0"/>
              <w:ind w:left="216" w:right="0" w:hanging="112"/>
              <w:jc w:val="left"/>
              <w:rPr>
                <w:sz w:val="24"/>
              </w:rPr>
            </w:pPr>
            <w:r>
              <w:rPr>
                <w:spacing w:val="-33"/>
                <w:sz w:val="24"/>
              </w:rPr>
              <w:t>以 </w:t>
            </w:r>
            <w:r>
              <w:rPr>
                <w:rFonts w:ascii="Times New Roman" w:hAnsi="Times New Roman" w:eastAsia="Times New Roman"/>
                <w:sz w:val="24"/>
              </w:rPr>
              <w:t>ARPU</w:t>
            </w:r>
            <w:r>
              <w:rPr>
                <w:rFonts w:ascii="Times New Roman" w:hAnsi="Times New Roman" w:eastAsia="Times New Roman"/>
                <w:spacing w:val="-8"/>
                <w:sz w:val="24"/>
              </w:rPr>
              <w:t> </w:t>
            </w:r>
            <w:r>
              <w:rPr>
                <w:sz w:val="24"/>
              </w:rPr>
              <w:t>驅動的</w:t>
            </w:r>
            <w:r>
              <w:rPr>
                <w:spacing w:val="-3"/>
                <w:sz w:val="24"/>
                <w:u w:val="single"/>
              </w:rPr>
              <w:t>商業模式</w:t>
            </w:r>
          </w:p>
        </w:tc>
        <w:tc>
          <w:tcPr>
            <w:tcW w:w="709" w:type="dxa"/>
            <w:shd w:val="clear" w:color="auto" w:fill="E7E6E6"/>
          </w:tcPr>
          <w:p>
            <w:pPr>
              <w:pStyle w:val="TableParagraph"/>
              <w:spacing w:before="362"/>
              <w:ind w:right="8"/>
              <w:jc w:val="center"/>
              <w:rPr>
                <w:sz w:val="24"/>
              </w:rPr>
            </w:pPr>
            <w:r>
              <w:rPr>
                <w:spacing w:val="-5"/>
                <w:sz w:val="24"/>
              </w:rPr>
              <w:t>藥局</w:t>
            </w:r>
          </w:p>
        </w:tc>
        <w:tc>
          <w:tcPr>
            <w:tcW w:w="2694" w:type="dxa"/>
          </w:tcPr>
          <w:p>
            <w:pPr>
              <w:pStyle w:val="TableParagraph"/>
              <w:spacing w:line="321" w:lineRule="auto" w:before="156"/>
              <w:ind w:left="103" w:right="101"/>
              <w:rPr>
                <w:sz w:val="24"/>
              </w:rPr>
            </w:pPr>
            <w:r>
              <w:rPr>
                <w:spacing w:val="-19"/>
                <w:sz w:val="24"/>
              </w:rPr>
              <w:t>提出「醫藥養生態圈」的</w:t>
            </w:r>
            <w:r>
              <w:rPr>
                <w:spacing w:val="-4"/>
                <w:sz w:val="24"/>
              </w:rPr>
              <w:t>願景。</w:t>
            </w:r>
          </w:p>
        </w:tc>
        <w:tc>
          <w:tcPr>
            <w:tcW w:w="1611" w:type="dxa"/>
            <w:vMerge/>
            <w:tcBorders>
              <w:top w:val="nil"/>
            </w:tcBorders>
          </w:tcPr>
          <w:p>
            <w:pPr>
              <w:rPr>
                <w:sz w:val="2"/>
                <w:szCs w:val="2"/>
              </w:rPr>
            </w:pPr>
          </w:p>
        </w:tc>
      </w:tr>
      <w:tr>
        <w:trPr>
          <w:trHeight w:val="1120"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spacing w:before="393"/>
              <w:ind w:right="8"/>
              <w:jc w:val="center"/>
              <w:rPr>
                <w:sz w:val="24"/>
              </w:rPr>
            </w:pPr>
            <w:r>
              <w:rPr>
                <w:spacing w:val="-5"/>
                <w:sz w:val="24"/>
              </w:rPr>
              <w:t>美國</w:t>
            </w:r>
          </w:p>
        </w:tc>
        <w:tc>
          <w:tcPr>
            <w:tcW w:w="2694" w:type="dxa"/>
          </w:tcPr>
          <w:p>
            <w:pPr>
              <w:pStyle w:val="TableParagraph"/>
              <w:spacing w:line="324" w:lineRule="auto" w:before="184"/>
              <w:ind w:left="103" w:right="104"/>
              <w:rPr>
                <w:rFonts w:ascii="Times New Roman" w:eastAsia="Times New Roman"/>
                <w:sz w:val="24"/>
              </w:rPr>
            </w:pPr>
            <w:r>
              <w:rPr>
                <w:spacing w:val="-2"/>
                <w:sz w:val="24"/>
              </w:rPr>
              <w:t>尋找進軍美國的合作夥</w:t>
            </w:r>
            <w:r>
              <w:rPr>
                <w:sz w:val="24"/>
              </w:rPr>
              <w:t>伴＿</w:t>
            </w:r>
            <w:r>
              <w:rPr>
                <w:rFonts w:ascii="Times New Roman" w:eastAsia="Times New Roman"/>
                <w:sz w:val="24"/>
              </w:rPr>
              <w:t>Eva Care Group</w:t>
            </w:r>
          </w:p>
        </w:tc>
        <w:tc>
          <w:tcPr>
            <w:tcW w:w="1611" w:type="dxa"/>
            <w:vMerge/>
            <w:tcBorders>
              <w:top w:val="nil"/>
            </w:tcBorders>
          </w:tcPr>
          <w:p>
            <w:pPr>
              <w:rPr>
                <w:sz w:val="2"/>
                <w:szCs w:val="2"/>
              </w:rPr>
            </w:pPr>
          </w:p>
        </w:tc>
      </w:tr>
    </w:tbl>
    <w:p>
      <w:pPr>
        <w:spacing w:after="0"/>
        <w:rPr>
          <w:sz w:val="2"/>
          <w:szCs w:val="2"/>
        </w:rPr>
        <w:sectPr>
          <w:footerReference w:type="default" r:id="rId127"/>
          <w:pgSz w:w="16840" w:h="11910" w:orient="landscape"/>
          <w:pgMar w:header="0" w:footer="1197" w:top="1340" w:bottom="1380" w:left="1700" w:right="1700"/>
        </w:sectPr>
      </w:pPr>
    </w:p>
    <w:p>
      <w:pPr>
        <w:pStyle w:val="BodyText"/>
        <w:spacing w:before="86"/>
        <w:ind w:left="0"/>
        <w:jc w:val="left"/>
        <w:rPr>
          <w:rFonts w:ascii="Microsoft JhengHei"/>
          <w:b/>
          <w:sz w:val="20"/>
        </w:rPr>
      </w:pPr>
    </w:p>
    <w:tbl>
      <w:tblPr>
        <w:tblW w:w="0" w:type="auto"/>
        <w:jc w:val="left"/>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567"/>
        <w:gridCol w:w="853"/>
        <w:gridCol w:w="3119"/>
        <w:gridCol w:w="3121"/>
        <w:gridCol w:w="709"/>
        <w:gridCol w:w="2694"/>
        <w:gridCol w:w="1611"/>
      </w:tblGrid>
      <w:tr>
        <w:trPr>
          <w:trHeight w:val="1043" w:hRule="atLeast"/>
        </w:trPr>
        <w:tc>
          <w:tcPr>
            <w:tcW w:w="1982" w:type="dxa"/>
            <w:gridSpan w:val="3"/>
            <w:shd w:val="clear" w:color="auto" w:fill="2F5496"/>
          </w:tcPr>
          <w:p>
            <w:pPr>
              <w:pStyle w:val="TableParagraph"/>
              <w:spacing w:before="273"/>
              <w:ind w:left="5"/>
              <w:jc w:val="center"/>
              <w:rPr>
                <w:rFonts w:ascii="Microsoft JhengHei" w:eastAsia="Microsoft JhengHei"/>
                <w:b/>
                <w:sz w:val="24"/>
              </w:rPr>
            </w:pPr>
            <w:r>
              <w:rPr>
                <w:rFonts w:ascii="Microsoft JhengHei" w:eastAsia="Microsoft JhengHei"/>
                <w:b/>
                <w:color w:val="FFFFFF"/>
                <w:spacing w:val="-5"/>
                <w:sz w:val="24"/>
              </w:rPr>
              <w:t>理論</w:t>
            </w:r>
          </w:p>
        </w:tc>
        <w:tc>
          <w:tcPr>
            <w:tcW w:w="3119" w:type="dxa"/>
            <w:shd w:val="clear" w:color="auto" w:fill="2F5496"/>
          </w:tcPr>
          <w:p>
            <w:pPr>
              <w:pStyle w:val="TableParagraph"/>
              <w:spacing w:line="400" w:lineRule="exact"/>
              <w:ind w:left="3"/>
              <w:jc w:val="center"/>
              <w:rPr>
                <w:rFonts w:ascii="Microsoft JhengHei" w:eastAsia="Microsoft JhengHei"/>
                <w:b/>
                <w:sz w:val="24"/>
              </w:rPr>
            </w:pPr>
            <w:r>
              <w:rPr>
                <w:rFonts w:ascii="Microsoft JhengHei" w:eastAsia="Microsoft JhengHei"/>
                <w:b/>
                <w:color w:val="FFFFFF"/>
                <w:spacing w:val="-2"/>
                <w:sz w:val="24"/>
              </w:rPr>
              <w:t>第一階段：</w:t>
            </w:r>
          </w:p>
          <w:p>
            <w:pPr>
              <w:pStyle w:val="TableParagraph"/>
              <w:spacing w:before="82"/>
              <w:ind w:left="3"/>
              <w:jc w:val="center"/>
              <w:rPr>
                <w:rFonts w:ascii="Microsoft JhengHei" w:eastAsia="Microsoft JhengHei"/>
                <w:b/>
                <w:sz w:val="24"/>
              </w:rPr>
            </w:pPr>
            <w:r>
              <w:rPr>
                <w:rFonts w:ascii="Microsoft JhengHei" w:eastAsia="Microsoft JhengHei"/>
                <w:b/>
                <w:color w:val="FFFFFF"/>
                <w:spacing w:val="-2"/>
                <w:sz w:val="24"/>
              </w:rPr>
              <w:t>初期建構系統</w:t>
            </w:r>
          </w:p>
        </w:tc>
        <w:tc>
          <w:tcPr>
            <w:tcW w:w="3121" w:type="dxa"/>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第二階段：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耗材供應鏈拓展</w:t>
            </w:r>
          </w:p>
        </w:tc>
        <w:tc>
          <w:tcPr>
            <w:tcW w:w="3403" w:type="dxa"/>
            <w:gridSpan w:val="2"/>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第三階段：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生態協調模組拓展</w:t>
            </w:r>
          </w:p>
        </w:tc>
        <w:tc>
          <w:tcPr>
            <w:tcW w:w="1611" w:type="dxa"/>
            <w:shd w:val="clear" w:color="auto" w:fill="2F5496"/>
          </w:tcPr>
          <w:p>
            <w:pPr>
              <w:pStyle w:val="TableParagraph"/>
              <w:spacing w:line="400" w:lineRule="exact"/>
              <w:ind w:right="1"/>
              <w:jc w:val="center"/>
              <w:rPr>
                <w:rFonts w:ascii="Microsoft JhengHei" w:eastAsia="Microsoft JhengHei"/>
                <w:b/>
                <w:sz w:val="24"/>
              </w:rPr>
            </w:pPr>
            <w:r>
              <w:rPr>
                <w:rFonts w:ascii="Microsoft JhengHei" w:eastAsia="Microsoft JhengHei"/>
                <w:b/>
                <w:color w:val="FFFFFF"/>
                <w:spacing w:val="-4"/>
                <w:sz w:val="24"/>
              </w:rPr>
              <w:t>跨階段</w:t>
            </w:r>
          </w:p>
          <w:p>
            <w:pPr>
              <w:pStyle w:val="TableParagraph"/>
              <w:spacing w:before="82"/>
              <w:ind w:right="1"/>
              <w:jc w:val="center"/>
              <w:rPr>
                <w:rFonts w:ascii="Microsoft JhengHei" w:eastAsia="Microsoft JhengHei"/>
                <w:b/>
                <w:sz w:val="24"/>
              </w:rPr>
            </w:pPr>
            <w:r>
              <w:rPr>
                <w:rFonts w:ascii="Microsoft JhengHei" w:eastAsia="Microsoft JhengHei"/>
                <w:b/>
                <w:color w:val="FFFFFF"/>
                <w:spacing w:val="-5"/>
                <w:sz w:val="24"/>
              </w:rPr>
              <w:t>命題</w:t>
            </w:r>
          </w:p>
        </w:tc>
      </w:tr>
      <w:tr>
        <w:trPr>
          <w:trHeight w:val="1044" w:hRule="atLeast"/>
        </w:trPr>
        <w:tc>
          <w:tcPr>
            <w:tcW w:w="562" w:type="dxa"/>
            <w:vMerge w:val="restart"/>
            <w:shd w:val="clear" w:color="auto" w:fill="D9E2F3"/>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1"/>
              <w:rPr>
                <w:rFonts w:ascii="Microsoft JhengHei"/>
                <w:b/>
                <w:sz w:val="24"/>
              </w:rPr>
            </w:pPr>
          </w:p>
          <w:p>
            <w:pPr>
              <w:pStyle w:val="TableParagraph"/>
              <w:spacing w:line="225" w:lineRule="auto"/>
              <w:ind w:left="160" w:right="149"/>
              <w:jc w:val="both"/>
              <w:rPr>
                <w:rFonts w:ascii="Microsoft JhengHei" w:eastAsia="Microsoft JhengHei"/>
                <w:b/>
                <w:sz w:val="24"/>
              </w:rPr>
            </w:pPr>
            <w:r>
              <w:rPr>
                <w:rFonts w:ascii="Microsoft JhengHei" w:eastAsia="Microsoft JhengHei"/>
                <w:b/>
                <w:spacing w:val="-10"/>
                <w:sz w:val="24"/>
              </w:rPr>
              <w:t>資源和諧的跨界管理</w:t>
            </w:r>
          </w:p>
        </w:tc>
        <w:tc>
          <w:tcPr>
            <w:tcW w:w="567" w:type="dxa"/>
            <w:vMerge w:val="restart"/>
            <w:shd w:val="clear" w:color="auto" w:fill="E7E6E6"/>
          </w:tcPr>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rPr>
                <w:rFonts w:ascii="Microsoft JhengHei"/>
                <w:b/>
                <w:sz w:val="24"/>
              </w:rPr>
            </w:pPr>
          </w:p>
          <w:p>
            <w:pPr>
              <w:pStyle w:val="TableParagraph"/>
              <w:spacing w:before="162"/>
              <w:rPr>
                <w:rFonts w:ascii="Microsoft JhengHei"/>
                <w:b/>
                <w:sz w:val="24"/>
              </w:rPr>
            </w:pPr>
          </w:p>
          <w:p>
            <w:pPr>
              <w:pStyle w:val="TableParagraph"/>
              <w:spacing w:line="225" w:lineRule="auto"/>
              <w:ind w:left="162" w:right="152"/>
              <w:jc w:val="both"/>
              <w:rPr>
                <w:rFonts w:ascii="Microsoft JhengHei" w:eastAsia="Microsoft JhengHei"/>
                <w:b/>
                <w:sz w:val="24"/>
              </w:rPr>
            </w:pPr>
            <w:r>
              <w:rPr>
                <w:rFonts w:ascii="Microsoft JhengHei" w:eastAsia="Microsoft JhengHei"/>
                <w:b/>
                <w:spacing w:val="-10"/>
                <w:sz w:val="24"/>
              </w:rPr>
              <w:t>知識邊界</w:t>
            </w:r>
          </w:p>
        </w:tc>
        <w:tc>
          <w:tcPr>
            <w:tcW w:w="853" w:type="dxa"/>
            <w:vMerge w:val="restart"/>
            <w:shd w:val="clear" w:color="auto" w:fill="E7E6E6"/>
          </w:tcPr>
          <w:p>
            <w:pPr>
              <w:pStyle w:val="TableParagraph"/>
              <w:rPr>
                <w:rFonts w:ascii="Microsoft JhengHei"/>
                <w:b/>
                <w:sz w:val="24"/>
              </w:rPr>
            </w:pPr>
          </w:p>
          <w:p>
            <w:pPr>
              <w:pStyle w:val="TableParagraph"/>
              <w:spacing w:before="200"/>
              <w:rPr>
                <w:rFonts w:ascii="Microsoft JhengHei"/>
                <w:b/>
                <w:sz w:val="24"/>
              </w:rPr>
            </w:pPr>
          </w:p>
          <w:p>
            <w:pPr>
              <w:pStyle w:val="TableParagraph"/>
              <w:spacing w:line="225" w:lineRule="auto"/>
              <w:ind w:left="183" w:right="17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3119" w:type="dxa"/>
            <w:vMerge w:val="restart"/>
          </w:tcPr>
          <w:p>
            <w:pPr>
              <w:pStyle w:val="TableParagraph"/>
              <w:spacing w:before="79"/>
              <w:rPr>
                <w:rFonts w:ascii="Microsoft JhengHei"/>
                <w:b/>
                <w:sz w:val="24"/>
              </w:rPr>
            </w:pPr>
          </w:p>
          <w:p>
            <w:pPr>
              <w:pStyle w:val="TableParagraph"/>
              <w:spacing w:line="324" w:lineRule="auto"/>
              <w:ind w:left="218" w:right="214"/>
              <w:jc w:val="both"/>
              <w:rPr>
                <w:sz w:val="24"/>
              </w:rPr>
            </w:pPr>
            <w:r>
              <w:rPr>
                <w:spacing w:val="-2"/>
                <w:sz w:val="24"/>
              </w:rPr>
              <w:t>對長照機構的實際操作和工作流程缺乏認識，無法</w:t>
            </w:r>
            <w:r>
              <w:rPr>
                <w:spacing w:val="-2"/>
                <w:sz w:val="24"/>
              </w:rPr>
              <w:t>清晰掌握如何減輕照服員負擔或提升溝通效率等需</w:t>
            </w:r>
            <w:r>
              <w:rPr>
                <w:spacing w:val="-10"/>
                <w:sz w:val="24"/>
              </w:rPr>
              <w:t>求</w:t>
            </w:r>
          </w:p>
        </w:tc>
        <w:tc>
          <w:tcPr>
            <w:tcW w:w="3121" w:type="dxa"/>
            <w:vMerge w:val="restart"/>
          </w:tcPr>
          <w:p>
            <w:pPr>
              <w:pStyle w:val="TableParagraph"/>
              <w:spacing w:before="439"/>
              <w:rPr>
                <w:rFonts w:ascii="Microsoft JhengHei"/>
                <w:b/>
                <w:sz w:val="24"/>
              </w:rPr>
            </w:pPr>
          </w:p>
          <w:p>
            <w:pPr>
              <w:pStyle w:val="TableParagraph"/>
              <w:numPr>
                <w:ilvl w:val="0"/>
                <w:numId w:val="30"/>
              </w:numPr>
              <w:tabs>
                <w:tab w:pos="216" w:val="left" w:leader="none"/>
              </w:tabs>
              <w:spacing w:line="240" w:lineRule="auto" w:before="1" w:after="0"/>
              <w:ind w:left="216" w:right="0" w:hanging="112"/>
              <w:jc w:val="left"/>
              <w:rPr>
                <w:sz w:val="24"/>
              </w:rPr>
            </w:pPr>
            <w:r>
              <w:rPr>
                <w:spacing w:val="-1"/>
                <w:sz w:val="24"/>
              </w:rPr>
              <w:t>對耗材管理知識的不足</w:t>
            </w:r>
          </w:p>
          <w:p>
            <w:pPr>
              <w:pStyle w:val="TableParagraph"/>
              <w:numPr>
                <w:ilvl w:val="0"/>
                <w:numId w:val="30"/>
              </w:numPr>
              <w:tabs>
                <w:tab w:pos="217" w:val="left" w:leader="none"/>
              </w:tabs>
              <w:spacing w:line="321" w:lineRule="auto" w:before="215" w:after="0"/>
              <w:ind w:left="217" w:right="222" w:hanging="113"/>
              <w:jc w:val="left"/>
              <w:rPr>
                <w:sz w:val="24"/>
              </w:rPr>
            </w:pPr>
            <w:r>
              <w:rPr>
                <w:sz w:val="24"/>
              </w:rPr>
              <mc:AlternateContent>
                <mc:Choice Requires="wps">
                  <w:drawing>
                    <wp:anchor distT="0" distB="0" distL="0" distR="0" allowOverlap="1" layoutInCell="1" locked="0" behindDoc="1" simplePos="0" relativeHeight="485831680">
                      <wp:simplePos x="0" y="0"/>
                      <wp:positionH relativeFrom="column">
                        <wp:posOffset>497712</wp:posOffset>
                      </wp:positionH>
                      <wp:positionV relativeFrom="paragraph">
                        <wp:posOffset>688339</wp:posOffset>
                      </wp:positionV>
                      <wp:extent cx="929640" cy="978535"/>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929640" cy="978535"/>
                                <a:chExt cx="929640" cy="978535"/>
                              </a:xfrm>
                            </wpg:grpSpPr>
                            <pic:pic>
                              <pic:nvPicPr>
                                <pic:cNvPr id="255" name="Image 255"/>
                                <pic:cNvPicPr/>
                              </pic:nvPicPr>
                              <pic:blipFill>
                                <a:blip r:embed="rId6" cstate="print"/>
                                <a:stretch>
                                  <a:fillRect/>
                                </a:stretch>
                              </pic:blipFill>
                              <pic:spPr>
                                <a:xfrm>
                                  <a:off x="0" y="0"/>
                                  <a:ext cx="929640" cy="978408"/>
                                </a:xfrm>
                                <a:prstGeom prst="rect">
                                  <a:avLst/>
                                </a:prstGeom>
                              </pic:spPr>
                            </pic:pic>
                          </wpg:wgp>
                        </a:graphicData>
                      </a:graphic>
                    </wp:anchor>
                  </w:drawing>
                </mc:Choice>
                <mc:Fallback>
                  <w:pict>
                    <v:group style="position:absolute;margin-left:39.189995pt;margin-top:54.199997pt;width:73.2pt;height:77.05pt;mso-position-horizontal-relative:column;mso-position-vertical-relative:paragraph;z-index:-17484800" id="docshapegroup39" coordorigin="784,1084" coordsize="1464,1541">
                      <v:shape style="position:absolute;left:783;top:1084;width:1464;height:1541" type="#_x0000_t75" id="docshape40" stroked="false">
                        <v:imagedata r:id="rId6" o:title=""/>
                      </v:shape>
                      <w10:wrap type="none"/>
                    </v:group>
                  </w:pict>
                </mc:Fallback>
              </mc:AlternateContent>
            </w:r>
            <w:r>
              <w:rPr>
                <w:spacing w:val="-2"/>
                <w:sz w:val="24"/>
              </w:rPr>
              <w:t>耗材有高度複雜的供應鏈與物流管理環節</w:t>
            </w:r>
          </w:p>
        </w:tc>
        <w:tc>
          <w:tcPr>
            <w:tcW w:w="709" w:type="dxa"/>
            <w:shd w:val="clear" w:color="auto" w:fill="E7E6E6"/>
          </w:tcPr>
          <w:p>
            <w:pPr>
              <w:pStyle w:val="TableParagraph"/>
              <w:spacing w:before="355"/>
              <w:ind w:right="8"/>
              <w:jc w:val="center"/>
              <w:rPr>
                <w:sz w:val="24"/>
              </w:rPr>
            </w:pPr>
            <w:r>
              <w:rPr>
                <w:spacing w:val="-5"/>
                <w:sz w:val="24"/>
              </w:rPr>
              <w:t>藥局</w:t>
            </w:r>
          </w:p>
        </w:tc>
        <w:tc>
          <w:tcPr>
            <w:tcW w:w="2694" w:type="dxa"/>
          </w:tcPr>
          <w:p>
            <w:pPr>
              <w:pStyle w:val="TableParagraph"/>
              <w:spacing w:line="324" w:lineRule="auto" w:before="146"/>
              <w:ind w:left="103" w:right="104"/>
              <w:rPr>
                <w:sz w:val="24"/>
              </w:rPr>
            </w:pPr>
            <w:r>
              <w:rPr>
                <w:spacing w:val="-2"/>
                <w:sz w:val="24"/>
              </w:rPr>
              <w:t>疫情導致人力不足，且無法進行充分調研</w:t>
            </w:r>
          </w:p>
        </w:tc>
        <w:tc>
          <w:tcPr>
            <w:tcW w:w="1611" w:type="dxa"/>
            <w:vMerge w:val="restart"/>
          </w:tcPr>
          <w:p>
            <w:pPr>
              <w:pStyle w:val="TableParagraph"/>
              <w:rPr>
                <w:rFonts w:ascii="Microsoft JhengHei"/>
                <w:b/>
                <w:sz w:val="24"/>
              </w:rPr>
            </w:pPr>
          </w:p>
          <w:p>
            <w:pPr>
              <w:pStyle w:val="TableParagraph"/>
              <w:spacing w:before="125"/>
              <w:rPr>
                <w:rFonts w:ascii="Microsoft JhengHei"/>
                <w:b/>
                <w:sz w:val="24"/>
              </w:rPr>
            </w:pPr>
          </w:p>
          <w:p>
            <w:pPr>
              <w:pStyle w:val="TableParagraph"/>
              <w:spacing w:line="324" w:lineRule="auto"/>
              <w:ind w:left="102" w:right="296"/>
              <w:jc w:val="both"/>
              <w:rPr>
                <w:sz w:val="24"/>
              </w:rPr>
            </w:pPr>
            <w:r>
              <w:rPr>
                <w:spacing w:val="-2"/>
                <w:sz w:val="24"/>
              </w:rPr>
              <w:t>為突破知識邊界，其所需資源包括跨域人才、客戶回饋、政策法規。而透過投資併購以及與夥伴合作，組織可以有效替代逐一取得資源的</w:t>
            </w:r>
            <w:r>
              <w:rPr>
                <w:spacing w:val="-4"/>
                <w:sz w:val="24"/>
              </w:rPr>
              <w:t>方式。</w:t>
            </w:r>
          </w:p>
        </w:tc>
      </w:tr>
      <w:tr>
        <w:trPr>
          <w:trHeight w:val="1979"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spacing w:before="381"/>
              <w:rPr>
                <w:rFonts w:ascii="Microsoft JhengHei"/>
                <w:b/>
                <w:sz w:val="24"/>
              </w:rPr>
            </w:pPr>
          </w:p>
          <w:p>
            <w:pPr>
              <w:pStyle w:val="TableParagraph"/>
              <w:ind w:right="8"/>
              <w:jc w:val="center"/>
              <w:rPr>
                <w:sz w:val="24"/>
              </w:rPr>
            </w:pPr>
            <w:r>
              <w:rPr>
                <w:spacing w:val="-5"/>
                <w:sz w:val="24"/>
              </w:rPr>
              <w:t>美國</w:t>
            </w:r>
          </w:p>
        </w:tc>
        <w:tc>
          <w:tcPr>
            <w:tcW w:w="2694" w:type="dxa"/>
          </w:tcPr>
          <w:p>
            <w:pPr>
              <w:pStyle w:val="TableParagraph"/>
              <w:numPr>
                <w:ilvl w:val="0"/>
                <w:numId w:val="31"/>
              </w:numPr>
              <w:tabs>
                <w:tab w:pos="216" w:val="left" w:leader="none"/>
              </w:tabs>
              <w:spacing w:line="324" w:lineRule="auto" w:before="146" w:after="0"/>
              <w:ind w:left="216" w:right="75" w:hanging="113"/>
              <w:jc w:val="left"/>
              <w:rPr>
                <w:sz w:val="24"/>
              </w:rPr>
            </w:pPr>
            <w:r>
              <w:rPr>
                <w:spacing w:val="21"/>
                <w:sz w:val="24"/>
              </w:rPr>
              <w:t>須符合多層次法律規</w:t>
            </w:r>
            <w:r>
              <w:rPr>
                <w:spacing w:val="-10"/>
                <w:sz w:val="24"/>
              </w:rPr>
              <w:t>範</w:t>
            </w:r>
          </w:p>
          <w:p>
            <w:pPr>
              <w:pStyle w:val="TableParagraph"/>
              <w:numPr>
                <w:ilvl w:val="0"/>
                <w:numId w:val="31"/>
              </w:numPr>
              <w:tabs>
                <w:tab w:pos="216" w:val="left" w:leader="none"/>
              </w:tabs>
              <w:spacing w:line="324" w:lineRule="auto" w:before="106" w:after="0"/>
              <w:ind w:left="216" w:right="75" w:hanging="113"/>
              <w:jc w:val="left"/>
              <w:rPr>
                <w:sz w:val="24"/>
              </w:rPr>
            </w:pPr>
            <w:r>
              <w:rPr>
                <w:spacing w:val="21"/>
                <w:sz w:val="24"/>
              </w:rPr>
              <w:t>重視人文關懷的服務</w:t>
            </w:r>
            <w:r>
              <w:rPr>
                <w:spacing w:val="-6"/>
                <w:sz w:val="24"/>
              </w:rPr>
              <w:t>模式</w:t>
            </w:r>
          </w:p>
        </w:tc>
        <w:tc>
          <w:tcPr>
            <w:tcW w:w="1611" w:type="dxa"/>
            <w:vMerge/>
            <w:tcBorders>
              <w:top w:val="nil"/>
            </w:tcBorders>
          </w:tcPr>
          <w:p>
            <w:pPr>
              <w:rPr>
                <w:sz w:val="2"/>
                <w:szCs w:val="2"/>
              </w:rPr>
            </w:pPr>
          </w:p>
        </w:tc>
      </w:tr>
      <w:tr>
        <w:trPr>
          <w:trHeight w:val="1459"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val="restart"/>
            <w:shd w:val="clear" w:color="auto" w:fill="E7E6E6"/>
          </w:tcPr>
          <w:p>
            <w:pPr>
              <w:pStyle w:val="TableParagraph"/>
              <w:rPr>
                <w:rFonts w:ascii="Microsoft JhengHei"/>
                <w:b/>
                <w:sz w:val="24"/>
              </w:rPr>
            </w:pPr>
          </w:p>
          <w:p>
            <w:pPr>
              <w:pStyle w:val="TableParagraph"/>
              <w:rPr>
                <w:rFonts w:ascii="Microsoft JhengHei"/>
                <w:b/>
                <w:sz w:val="24"/>
              </w:rPr>
            </w:pPr>
          </w:p>
          <w:p>
            <w:pPr>
              <w:pStyle w:val="TableParagraph"/>
              <w:spacing w:before="173"/>
              <w:rPr>
                <w:rFonts w:ascii="Microsoft JhengHei"/>
                <w:b/>
                <w:sz w:val="24"/>
              </w:rPr>
            </w:pPr>
          </w:p>
          <w:p>
            <w:pPr>
              <w:pStyle w:val="TableParagraph"/>
              <w:spacing w:line="225" w:lineRule="auto"/>
              <w:ind w:left="183" w:right="177"/>
              <w:jc w:val="both"/>
              <w:rPr>
                <w:rFonts w:ascii="Microsoft JhengHei" w:eastAsia="Microsoft JhengHei"/>
                <w:b/>
                <w:sz w:val="24"/>
              </w:rPr>
            </w:pPr>
            <w:r>
              <w:rPr>
                <w:rFonts w:ascii="Microsoft JhengHei" w:eastAsia="Microsoft JhengHei"/>
                <w:b/>
                <w:spacing w:val="-6"/>
                <w:sz w:val="24"/>
              </w:rPr>
              <w:t>跨界資源</w:t>
            </w:r>
            <w:r>
              <w:rPr>
                <w:rFonts w:ascii="Microsoft JhengHei" w:eastAsia="Microsoft JhengHei"/>
                <w:b/>
                <w:spacing w:val="-5"/>
                <w:sz w:val="24"/>
              </w:rPr>
              <w:t>行動</w:t>
            </w:r>
          </w:p>
        </w:tc>
        <w:tc>
          <w:tcPr>
            <w:tcW w:w="3119" w:type="dxa"/>
            <w:vMerge w:val="restart"/>
          </w:tcPr>
          <w:p>
            <w:pPr>
              <w:pStyle w:val="TableParagraph"/>
              <w:rPr>
                <w:rFonts w:ascii="Microsoft JhengHei"/>
                <w:b/>
                <w:sz w:val="24"/>
              </w:rPr>
            </w:pPr>
          </w:p>
          <w:p>
            <w:pPr>
              <w:pStyle w:val="TableParagraph"/>
              <w:spacing w:before="99"/>
              <w:rPr>
                <w:rFonts w:ascii="Microsoft JhengHei"/>
                <w:b/>
                <w:sz w:val="24"/>
              </w:rPr>
            </w:pPr>
          </w:p>
          <w:p>
            <w:pPr>
              <w:pStyle w:val="TableParagraph"/>
              <w:numPr>
                <w:ilvl w:val="0"/>
                <w:numId w:val="32"/>
              </w:numPr>
              <w:tabs>
                <w:tab w:pos="217" w:val="left" w:leader="none"/>
              </w:tabs>
              <w:spacing w:line="240" w:lineRule="auto" w:before="0" w:after="0"/>
              <w:ind w:left="217" w:right="0" w:hanging="112"/>
              <w:jc w:val="left"/>
              <w:rPr>
                <w:sz w:val="24"/>
              </w:rPr>
            </w:pPr>
            <w:r>
              <w:rPr>
                <w:sz w:val="24"/>
                <w:u w:val="single"/>
              </w:rPr>
              <w:t>取得</w:t>
            </w:r>
            <w:r>
              <w:rPr>
                <w:spacing w:val="-2"/>
                <w:sz w:val="24"/>
              </w:rPr>
              <w:t>跨領域專業人才</w:t>
            </w:r>
          </w:p>
          <w:p>
            <w:pPr>
              <w:pStyle w:val="TableParagraph"/>
              <w:numPr>
                <w:ilvl w:val="0"/>
                <w:numId w:val="32"/>
              </w:numPr>
              <w:tabs>
                <w:tab w:pos="217" w:val="left" w:leader="none"/>
              </w:tabs>
              <w:spacing w:line="240" w:lineRule="auto" w:before="213" w:after="0"/>
              <w:ind w:left="217" w:right="0" w:hanging="112"/>
              <w:jc w:val="left"/>
              <w:rPr>
                <w:sz w:val="24"/>
              </w:rPr>
            </w:pPr>
            <w:r>
              <w:rPr>
                <w:sz w:val="24"/>
                <w:u w:val="single"/>
              </w:rPr>
              <w:t>取得</w:t>
            </w:r>
            <w:r>
              <w:rPr>
                <w:spacing w:val="-2"/>
                <w:sz w:val="24"/>
              </w:rPr>
              <w:t>實地需求，引導開發</w:t>
            </w:r>
          </w:p>
          <w:p>
            <w:pPr>
              <w:pStyle w:val="TableParagraph"/>
              <w:numPr>
                <w:ilvl w:val="0"/>
                <w:numId w:val="32"/>
              </w:numPr>
              <w:tabs>
                <w:tab w:pos="217" w:val="left" w:leader="none"/>
              </w:tabs>
              <w:spacing w:line="240" w:lineRule="auto" w:before="216" w:after="0"/>
              <w:ind w:left="217" w:right="0" w:hanging="112"/>
              <w:jc w:val="left"/>
              <w:rPr>
                <w:sz w:val="24"/>
              </w:rPr>
            </w:pPr>
            <w:r>
              <w:rPr>
                <w:sz w:val="24"/>
                <w:u w:val="single"/>
              </w:rPr>
              <w:t>建構</w:t>
            </w:r>
            <w:r>
              <w:rPr>
                <w:spacing w:val="-2"/>
                <w:sz w:val="24"/>
              </w:rPr>
              <w:t>客戶回饋機制</w:t>
            </w:r>
          </w:p>
          <w:p>
            <w:pPr>
              <w:pStyle w:val="TableParagraph"/>
              <w:numPr>
                <w:ilvl w:val="0"/>
                <w:numId w:val="32"/>
              </w:numPr>
              <w:tabs>
                <w:tab w:pos="218" w:val="left" w:leader="none"/>
              </w:tabs>
              <w:spacing w:line="324" w:lineRule="auto" w:before="213" w:after="0"/>
              <w:ind w:left="218" w:right="219" w:hanging="113"/>
              <w:jc w:val="left"/>
              <w:rPr>
                <w:sz w:val="24"/>
              </w:rPr>
            </w:pPr>
            <w:r>
              <w:rPr>
                <w:spacing w:val="-2"/>
                <w:sz w:val="24"/>
              </w:rPr>
              <w:t>承接政府專案</w:t>
            </w:r>
            <w:r>
              <w:rPr>
                <w:spacing w:val="-2"/>
                <w:sz w:val="24"/>
                <w:u w:val="single"/>
              </w:rPr>
              <w:t>取得</w:t>
            </w:r>
            <w:r>
              <w:rPr>
                <w:spacing w:val="-2"/>
                <w:sz w:val="24"/>
              </w:rPr>
              <w:t>市場先</w:t>
            </w:r>
            <w:r>
              <w:rPr>
                <w:spacing w:val="-10"/>
                <w:sz w:val="24"/>
              </w:rPr>
              <w:t>機</w:t>
            </w:r>
          </w:p>
        </w:tc>
        <w:tc>
          <w:tcPr>
            <w:tcW w:w="3121" w:type="dxa"/>
            <w:vMerge w:val="restart"/>
          </w:tcPr>
          <w:p>
            <w:pPr>
              <w:pStyle w:val="TableParagraph"/>
              <w:rPr>
                <w:rFonts w:ascii="Microsoft JhengHei"/>
                <w:b/>
                <w:sz w:val="24"/>
              </w:rPr>
            </w:pPr>
          </w:p>
          <w:p>
            <w:pPr>
              <w:pStyle w:val="TableParagraph"/>
              <w:spacing w:before="413"/>
              <w:rPr>
                <w:rFonts w:ascii="Microsoft JhengHei"/>
                <w:b/>
                <w:sz w:val="24"/>
              </w:rPr>
            </w:pPr>
          </w:p>
          <w:p>
            <w:pPr>
              <w:pStyle w:val="TableParagraph"/>
              <w:numPr>
                <w:ilvl w:val="0"/>
                <w:numId w:val="33"/>
              </w:numPr>
              <w:tabs>
                <w:tab w:pos="217" w:val="left" w:leader="none"/>
              </w:tabs>
              <w:spacing w:line="321" w:lineRule="auto" w:before="0" w:after="0"/>
              <w:ind w:left="217" w:right="223" w:hanging="113"/>
              <w:jc w:val="left"/>
              <w:rPr>
                <w:sz w:val="24"/>
              </w:rPr>
            </w:pPr>
            <w:r>
              <w:rPr>
                <w:spacing w:val="-2"/>
                <w:sz w:val="24"/>
                <w:u w:val="single"/>
              </w:rPr>
              <w:t>投資</w:t>
            </w:r>
            <w:r>
              <w:rPr>
                <w:spacing w:val="-2"/>
                <w:sz w:val="24"/>
              </w:rPr>
              <w:t>物流與耗材廠商，快速建立知識及產業的信任</w:t>
            </w:r>
          </w:p>
          <w:p>
            <w:pPr>
              <w:pStyle w:val="TableParagraph"/>
              <w:numPr>
                <w:ilvl w:val="0"/>
                <w:numId w:val="33"/>
              </w:numPr>
              <w:tabs>
                <w:tab w:pos="215" w:val="left" w:leader="none"/>
                <w:tab w:pos="217" w:val="left" w:leader="none"/>
              </w:tabs>
              <w:spacing w:line="321" w:lineRule="auto" w:before="112" w:after="0"/>
              <w:ind w:left="217" w:right="223" w:hanging="113"/>
              <w:jc w:val="left"/>
              <w:rPr>
                <w:sz w:val="24"/>
              </w:rPr>
            </w:pPr>
            <w:r>
              <w:rPr>
                <w:rFonts w:ascii="Times New Roman" w:hAnsi="Times New Roman" w:eastAsia="Times New Roman"/>
                <w:spacing w:val="-60"/>
                <w:sz w:val="24"/>
                <w:u w:val="single"/>
              </w:rPr>
              <w:t> </w:t>
            </w:r>
            <w:r>
              <w:rPr>
                <w:sz w:val="24"/>
              </w:rPr>
              <w:t>整合全球供應鏈並優化耗材成本管理</w:t>
            </w:r>
          </w:p>
        </w:tc>
        <w:tc>
          <w:tcPr>
            <w:tcW w:w="709" w:type="dxa"/>
            <w:shd w:val="clear" w:color="auto" w:fill="E7E6E6"/>
          </w:tcPr>
          <w:p>
            <w:pPr>
              <w:pStyle w:val="TableParagraph"/>
              <w:spacing w:before="120"/>
              <w:rPr>
                <w:rFonts w:ascii="Microsoft JhengHei"/>
                <w:b/>
                <w:sz w:val="24"/>
              </w:rPr>
            </w:pPr>
          </w:p>
          <w:p>
            <w:pPr>
              <w:pStyle w:val="TableParagraph"/>
              <w:ind w:right="8"/>
              <w:jc w:val="center"/>
              <w:rPr>
                <w:sz w:val="24"/>
              </w:rPr>
            </w:pPr>
            <w:r>
              <w:rPr>
                <w:spacing w:val="-5"/>
                <w:sz w:val="24"/>
              </w:rPr>
              <w:t>藥局</w:t>
            </w:r>
          </w:p>
        </w:tc>
        <w:tc>
          <w:tcPr>
            <w:tcW w:w="2694" w:type="dxa"/>
          </w:tcPr>
          <w:p>
            <w:pPr>
              <w:pStyle w:val="TableParagraph"/>
              <w:spacing w:line="324" w:lineRule="auto" w:before="149"/>
              <w:ind w:left="103" w:right="96"/>
              <w:jc w:val="both"/>
              <w:rPr>
                <w:sz w:val="24"/>
              </w:rPr>
            </w:pPr>
            <w:r>
              <w:rPr>
                <w:spacing w:val="-2"/>
                <w:sz w:val="24"/>
                <w:u w:val="single"/>
              </w:rPr>
              <w:t>投資</w:t>
            </w:r>
            <w:r>
              <w:rPr>
                <w:spacing w:val="-2"/>
                <w:sz w:val="24"/>
              </w:rPr>
              <w:t>春天藥局，深入研究藥局現有制度與運營</w:t>
            </w:r>
            <w:r>
              <w:rPr>
                <w:spacing w:val="-6"/>
                <w:sz w:val="24"/>
              </w:rPr>
              <w:t>方式</w:t>
            </w:r>
          </w:p>
        </w:tc>
        <w:tc>
          <w:tcPr>
            <w:tcW w:w="1611" w:type="dxa"/>
            <w:vMerge/>
            <w:tcBorders>
              <w:top w:val="nil"/>
            </w:tcBorders>
          </w:tcPr>
          <w:p>
            <w:pPr>
              <w:rPr>
                <w:sz w:val="2"/>
                <w:szCs w:val="2"/>
              </w:rPr>
            </w:pPr>
          </w:p>
        </w:tc>
      </w:tr>
      <w:tr>
        <w:trPr>
          <w:trHeight w:val="2808"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rPr>
                <w:rFonts w:ascii="Microsoft JhengHei"/>
                <w:b/>
                <w:sz w:val="24"/>
              </w:rPr>
            </w:pPr>
          </w:p>
          <w:p>
            <w:pPr>
              <w:pStyle w:val="TableParagraph"/>
              <w:spacing w:before="353"/>
              <w:rPr>
                <w:rFonts w:ascii="Microsoft JhengHei"/>
                <w:b/>
                <w:sz w:val="24"/>
              </w:rPr>
            </w:pPr>
          </w:p>
          <w:p>
            <w:pPr>
              <w:pStyle w:val="TableParagraph"/>
              <w:ind w:right="8"/>
              <w:jc w:val="center"/>
              <w:rPr>
                <w:sz w:val="24"/>
              </w:rPr>
            </w:pPr>
            <w:r>
              <w:rPr>
                <w:spacing w:val="-5"/>
                <w:sz w:val="24"/>
              </w:rPr>
              <w:t>美國</w:t>
            </w:r>
          </w:p>
        </w:tc>
        <w:tc>
          <w:tcPr>
            <w:tcW w:w="2694" w:type="dxa"/>
          </w:tcPr>
          <w:p>
            <w:pPr>
              <w:pStyle w:val="TableParagraph"/>
              <w:numPr>
                <w:ilvl w:val="0"/>
                <w:numId w:val="34"/>
              </w:numPr>
              <w:tabs>
                <w:tab w:pos="216" w:val="left" w:leader="none"/>
              </w:tabs>
              <w:spacing w:line="324" w:lineRule="auto" w:before="146" w:after="0"/>
              <w:ind w:left="216" w:right="214" w:hanging="113"/>
              <w:jc w:val="both"/>
              <w:rPr>
                <w:sz w:val="24"/>
              </w:rPr>
            </w:pPr>
            <w:r>
              <w:rPr>
                <w:sz w:val="24"/>
              </w:rPr>
              <w:t>研究 </w:t>
            </w:r>
            <w:r>
              <w:rPr>
                <w:rFonts w:ascii="Times New Roman" w:hAnsi="Times New Roman" w:eastAsia="Times New Roman"/>
                <w:sz w:val="24"/>
              </w:rPr>
              <w:t>CMS</w:t>
            </w:r>
            <w:r>
              <w:rPr>
                <w:rFonts w:ascii="Times New Roman" w:hAnsi="Times New Roman" w:eastAsia="Times New Roman"/>
                <w:spacing w:val="40"/>
                <w:sz w:val="24"/>
              </w:rPr>
              <w:t> </w:t>
            </w:r>
            <w:r>
              <w:rPr>
                <w:sz w:val="24"/>
              </w:rPr>
              <w:t>及州政府</w:t>
            </w:r>
            <w:r>
              <w:rPr>
                <w:spacing w:val="1"/>
                <w:sz w:val="24"/>
              </w:rPr>
              <w:t>法律，</w:t>
            </w:r>
            <w:r>
              <w:rPr>
                <w:sz w:val="24"/>
                <w:u w:val="single"/>
              </w:rPr>
              <w:t>累積</w:t>
            </w:r>
            <w:r>
              <w:rPr>
                <w:spacing w:val="1"/>
                <w:sz w:val="24"/>
              </w:rPr>
              <w:t>美國法規</w:t>
            </w:r>
            <w:r>
              <w:rPr>
                <w:spacing w:val="-6"/>
                <w:sz w:val="24"/>
              </w:rPr>
              <w:t>知識</w:t>
            </w:r>
          </w:p>
          <w:p>
            <w:pPr>
              <w:pStyle w:val="TableParagraph"/>
              <w:numPr>
                <w:ilvl w:val="0"/>
                <w:numId w:val="34"/>
              </w:numPr>
              <w:tabs>
                <w:tab w:pos="216" w:val="left" w:leader="none"/>
              </w:tabs>
              <w:spacing w:line="324" w:lineRule="auto" w:before="106" w:after="0"/>
              <w:ind w:left="216" w:right="216" w:hanging="113"/>
              <w:jc w:val="both"/>
              <w:rPr>
                <w:sz w:val="24"/>
              </w:rPr>
            </w:pPr>
            <w:r>
              <w:rPr>
                <w:sz w:val="24"/>
                <w:u w:val="single"/>
              </w:rPr>
              <w:t>投資</w:t>
            </w:r>
            <w:r>
              <w:rPr>
                <w:sz w:val="24"/>
              </w:rPr>
              <w:t>長照機構，成為深耕美國體性的示範</w:t>
            </w:r>
            <w:r>
              <w:rPr>
                <w:spacing w:val="-10"/>
                <w:sz w:val="24"/>
              </w:rPr>
              <w:t>點</w:t>
            </w:r>
          </w:p>
        </w:tc>
        <w:tc>
          <w:tcPr>
            <w:tcW w:w="1611" w:type="dxa"/>
            <w:vMerge/>
            <w:tcBorders>
              <w:top w:val="nil"/>
            </w:tcBorders>
          </w:tcPr>
          <w:p>
            <w:pPr>
              <w:rPr>
                <w:sz w:val="2"/>
                <w:szCs w:val="2"/>
              </w:rPr>
            </w:pPr>
          </w:p>
        </w:tc>
      </w:tr>
    </w:tbl>
    <w:p>
      <w:pPr>
        <w:spacing w:after="0"/>
        <w:rPr>
          <w:sz w:val="2"/>
          <w:szCs w:val="2"/>
        </w:rPr>
        <w:sectPr>
          <w:pgSz w:w="16840" w:h="11910" w:orient="landscape"/>
          <w:pgMar w:header="0" w:footer="1197" w:top="1340" w:bottom="1380" w:left="1700" w:right="1700"/>
        </w:sectPr>
      </w:pPr>
    </w:p>
    <w:tbl>
      <w:tblPr>
        <w:tblW w:w="0" w:type="auto"/>
        <w:jc w:val="left"/>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567"/>
        <w:gridCol w:w="853"/>
        <w:gridCol w:w="3119"/>
        <w:gridCol w:w="3121"/>
        <w:gridCol w:w="709"/>
        <w:gridCol w:w="2694"/>
        <w:gridCol w:w="1611"/>
      </w:tblGrid>
      <w:tr>
        <w:trPr>
          <w:trHeight w:val="1043" w:hRule="atLeast"/>
        </w:trPr>
        <w:tc>
          <w:tcPr>
            <w:tcW w:w="1982" w:type="dxa"/>
            <w:gridSpan w:val="3"/>
            <w:shd w:val="clear" w:color="auto" w:fill="2F5496"/>
          </w:tcPr>
          <w:p>
            <w:pPr>
              <w:pStyle w:val="TableParagraph"/>
              <w:spacing w:before="273"/>
              <w:ind w:left="5"/>
              <w:jc w:val="center"/>
              <w:rPr>
                <w:rFonts w:ascii="Microsoft JhengHei" w:eastAsia="Microsoft JhengHei"/>
                <w:b/>
                <w:sz w:val="24"/>
              </w:rPr>
            </w:pPr>
            <w:r>
              <w:rPr>
                <w:rFonts w:ascii="Microsoft JhengHei" w:eastAsia="Microsoft JhengHei"/>
                <w:b/>
                <w:color w:val="FFFFFF"/>
                <w:spacing w:val="-5"/>
                <w:sz w:val="24"/>
              </w:rPr>
              <w:t>理論</w:t>
            </w:r>
          </w:p>
        </w:tc>
        <w:tc>
          <w:tcPr>
            <w:tcW w:w="3119" w:type="dxa"/>
            <w:shd w:val="clear" w:color="auto" w:fill="2F5496"/>
          </w:tcPr>
          <w:p>
            <w:pPr>
              <w:pStyle w:val="TableParagraph"/>
              <w:spacing w:line="400" w:lineRule="exact"/>
              <w:ind w:left="3"/>
              <w:jc w:val="center"/>
              <w:rPr>
                <w:rFonts w:ascii="Microsoft JhengHei" w:eastAsia="Microsoft JhengHei"/>
                <w:b/>
                <w:sz w:val="24"/>
              </w:rPr>
            </w:pPr>
            <w:r>
              <w:rPr>
                <w:rFonts w:ascii="Microsoft JhengHei" w:eastAsia="Microsoft JhengHei"/>
                <w:b/>
                <w:color w:val="FFFFFF"/>
                <w:spacing w:val="-2"/>
                <w:sz w:val="24"/>
              </w:rPr>
              <w:t>第一階段：</w:t>
            </w:r>
          </w:p>
          <w:p>
            <w:pPr>
              <w:pStyle w:val="TableParagraph"/>
              <w:spacing w:before="82"/>
              <w:ind w:left="3"/>
              <w:jc w:val="center"/>
              <w:rPr>
                <w:rFonts w:ascii="Microsoft JhengHei" w:eastAsia="Microsoft JhengHei"/>
                <w:b/>
                <w:sz w:val="24"/>
              </w:rPr>
            </w:pPr>
            <w:r>
              <w:rPr>
                <w:rFonts w:ascii="Microsoft JhengHei" w:eastAsia="Microsoft JhengHei"/>
                <w:b/>
                <w:color w:val="FFFFFF"/>
                <w:spacing w:val="-2"/>
                <w:sz w:val="24"/>
              </w:rPr>
              <w:t>初期建構系統</w:t>
            </w:r>
          </w:p>
        </w:tc>
        <w:tc>
          <w:tcPr>
            <w:tcW w:w="3121" w:type="dxa"/>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第二階段：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耗材供應鏈拓展</w:t>
            </w:r>
          </w:p>
        </w:tc>
        <w:tc>
          <w:tcPr>
            <w:tcW w:w="3403" w:type="dxa"/>
            <w:gridSpan w:val="2"/>
            <w:shd w:val="clear" w:color="auto" w:fill="2F5496"/>
          </w:tcPr>
          <w:p>
            <w:pPr>
              <w:pStyle w:val="TableParagraph"/>
              <w:spacing w:line="400" w:lineRule="exact"/>
              <w:jc w:val="center"/>
              <w:rPr>
                <w:rFonts w:ascii="Microsoft JhengHei" w:eastAsia="Microsoft JhengHei"/>
                <w:b/>
                <w:sz w:val="24"/>
              </w:rPr>
            </w:pPr>
            <w:r>
              <w:rPr>
                <w:rFonts w:ascii="Microsoft JhengHei" w:eastAsia="Microsoft JhengHei"/>
                <w:b/>
                <w:color w:val="FFFFFF"/>
                <w:spacing w:val="-2"/>
                <w:sz w:val="24"/>
              </w:rPr>
              <w:t>第三階段：</w:t>
            </w:r>
          </w:p>
          <w:p>
            <w:pPr>
              <w:pStyle w:val="TableParagraph"/>
              <w:spacing w:before="82"/>
              <w:jc w:val="center"/>
              <w:rPr>
                <w:rFonts w:ascii="Microsoft JhengHei" w:eastAsia="Microsoft JhengHei"/>
                <w:b/>
                <w:sz w:val="24"/>
              </w:rPr>
            </w:pPr>
            <w:r>
              <w:rPr>
                <w:rFonts w:ascii="Microsoft JhengHei" w:eastAsia="Microsoft JhengHei"/>
                <w:b/>
                <w:color w:val="FFFFFF"/>
                <w:spacing w:val="-2"/>
                <w:sz w:val="24"/>
              </w:rPr>
              <w:t>生態協調模組拓展</w:t>
            </w:r>
          </w:p>
        </w:tc>
        <w:tc>
          <w:tcPr>
            <w:tcW w:w="1611" w:type="dxa"/>
            <w:shd w:val="clear" w:color="auto" w:fill="2F5496"/>
          </w:tcPr>
          <w:p>
            <w:pPr>
              <w:pStyle w:val="TableParagraph"/>
              <w:spacing w:line="400" w:lineRule="exact"/>
              <w:ind w:right="1"/>
              <w:jc w:val="center"/>
              <w:rPr>
                <w:rFonts w:ascii="Microsoft JhengHei" w:eastAsia="Microsoft JhengHei"/>
                <w:b/>
                <w:sz w:val="24"/>
              </w:rPr>
            </w:pPr>
            <w:r>
              <w:rPr>
                <w:rFonts w:ascii="Microsoft JhengHei" w:eastAsia="Microsoft JhengHei"/>
                <w:b/>
                <w:color w:val="FFFFFF"/>
                <w:spacing w:val="-4"/>
                <w:sz w:val="24"/>
              </w:rPr>
              <w:t>跨階段</w:t>
            </w:r>
          </w:p>
          <w:p>
            <w:pPr>
              <w:pStyle w:val="TableParagraph"/>
              <w:spacing w:before="82"/>
              <w:ind w:right="1"/>
              <w:jc w:val="center"/>
              <w:rPr>
                <w:rFonts w:ascii="Microsoft JhengHei" w:eastAsia="Microsoft JhengHei"/>
                <w:b/>
                <w:sz w:val="24"/>
              </w:rPr>
            </w:pPr>
            <w:r>
              <w:rPr>
                <w:rFonts w:ascii="Microsoft JhengHei" w:eastAsia="Microsoft JhengHei"/>
                <w:b/>
                <w:color w:val="FFFFFF"/>
                <w:spacing w:val="-5"/>
                <w:sz w:val="24"/>
              </w:rPr>
              <w:t>命題</w:t>
            </w:r>
          </w:p>
        </w:tc>
      </w:tr>
      <w:tr>
        <w:trPr>
          <w:trHeight w:val="820" w:hRule="atLeast"/>
        </w:trPr>
        <w:tc>
          <w:tcPr>
            <w:tcW w:w="562" w:type="dxa"/>
            <w:vMerge w:val="restart"/>
            <w:shd w:val="clear" w:color="auto" w:fill="D9E2F3"/>
          </w:tcPr>
          <w:p>
            <w:pPr>
              <w:pStyle w:val="TableParagraph"/>
              <w:spacing w:line="225" w:lineRule="auto" w:before="295"/>
              <w:ind w:left="160" w:right="149"/>
              <w:jc w:val="both"/>
              <w:rPr>
                <w:rFonts w:ascii="Microsoft JhengHei" w:eastAsia="Microsoft JhengHei"/>
                <w:b/>
                <w:sz w:val="24"/>
              </w:rPr>
            </w:pPr>
            <w:r>
              <w:rPr>
                <w:rFonts w:ascii="Microsoft JhengHei" w:eastAsia="Microsoft JhengHei"/>
                <w:b/>
                <w:spacing w:val="-10"/>
                <w:sz w:val="24"/>
              </w:rPr>
              <w:t>資源和諧的跨界管理</w:t>
            </w:r>
          </w:p>
        </w:tc>
        <w:tc>
          <w:tcPr>
            <w:tcW w:w="567" w:type="dxa"/>
            <w:vMerge w:val="restart"/>
            <w:shd w:val="clear" w:color="auto" w:fill="E7E6E6"/>
          </w:tcPr>
          <w:p>
            <w:pPr>
              <w:pStyle w:val="TableParagraph"/>
              <w:rPr>
                <w:rFonts w:ascii="Microsoft JhengHei"/>
                <w:b/>
                <w:sz w:val="24"/>
              </w:rPr>
            </w:pPr>
          </w:p>
          <w:p>
            <w:pPr>
              <w:pStyle w:val="TableParagraph"/>
              <w:rPr>
                <w:rFonts w:ascii="Microsoft JhengHei"/>
                <w:b/>
                <w:sz w:val="24"/>
              </w:rPr>
            </w:pPr>
          </w:p>
          <w:p>
            <w:pPr>
              <w:pStyle w:val="TableParagraph"/>
              <w:spacing w:before="5"/>
              <w:rPr>
                <w:rFonts w:ascii="Microsoft JhengHei"/>
                <w:b/>
                <w:sz w:val="24"/>
              </w:rPr>
            </w:pPr>
          </w:p>
          <w:p>
            <w:pPr>
              <w:pStyle w:val="TableParagraph"/>
              <w:spacing w:line="225" w:lineRule="auto" w:before="1"/>
              <w:ind w:left="162" w:right="152"/>
              <w:jc w:val="both"/>
              <w:rPr>
                <w:rFonts w:ascii="Microsoft JhengHei" w:eastAsia="Microsoft JhengHei"/>
                <w:b/>
                <w:sz w:val="24"/>
              </w:rPr>
            </w:pPr>
            <w:r>
              <w:rPr>
                <w:rFonts w:ascii="Microsoft JhengHei" w:eastAsia="Microsoft JhengHei"/>
                <w:b/>
                <w:spacing w:val="-10"/>
                <w:sz w:val="24"/>
              </w:rPr>
              <w:t>技術邊界</w:t>
            </w:r>
          </w:p>
        </w:tc>
        <w:tc>
          <w:tcPr>
            <w:tcW w:w="853" w:type="dxa"/>
            <w:vMerge w:val="restart"/>
            <w:shd w:val="clear" w:color="auto" w:fill="E7E6E6"/>
          </w:tcPr>
          <w:p>
            <w:pPr>
              <w:pStyle w:val="TableParagraph"/>
              <w:spacing w:before="67"/>
              <w:rPr>
                <w:rFonts w:ascii="Microsoft JhengHei"/>
                <w:b/>
                <w:sz w:val="24"/>
              </w:rPr>
            </w:pPr>
          </w:p>
          <w:p>
            <w:pPr>
              <w:pStyle w:val="TableParagraph"/>
              <w:spacing w:line="225" w:lineRule="auto"/>
              <w:ind w:left="183" w:right="177"/>
              <w:rPr>
                <w:rFonts w:ascii="Microsoft JhengHei" w:eastAsia="Microsoft JhengHei"/>
                <w:b/>
                <w:sz w:val="24"/>
              </w:rPr>
            </w:pPr>
            <w:r>
              <w:rPr>
                <w:rFonts w:ascii="Microsoft JhengHei" w:eastAsia="Microsoft JhengHei"/>
                <w:b/>
                <w:spacing w:val="-6"/>
                <w:sz w:val="24"/>
              </w:rPr>
              <w:t>跨界</w:t>
            </w:r>
            <w:r>
              <w:rPr>
                <w:rFonts w:ascii="Microsoft JhengHei" w:eastAsia="Microsoft JhengHei"/>
                <w:b/>
                <w:spacing w:val="-5"/>
                <w:sz w:val="24"/>
              </w:rPr>
              <w:t>探索</w:t>
            </w:r>
          </w:p>
        </w:tc>
        <w:tc>
          <w:tcPr>
            <w:tcW w:w="3119" w:type="dxa"/>
            <w:vMerge w:val="restart"/>
          </w:tcPr>
          <w:p>
            <w:pPr>
              <w:pStyle w:val="TableParagraph"/>
              <w:spacing w:line="324" w:lineRule="auto" w:before="359"/>
              <w:ind w:left="218" w:right="248"/>
              <w:jc w:val="both"/>
              <w:rPr>
                <w:sz w:val="24"/>
              </w:rPr>
            </w:pPr>
            <w:r>
              <w:rPr>
                <w:spacing w:val="-2"/>
                <w:sz w:val="24"/>
              </w:rPr>
              <w:t>在新功能導入時，公司缺乏專業技術府志，無法有</w:t>
            </w:r>
            <w:r>
              <w:rPr>
                <w:spacing w:val="-1"/>
                <w:sz w:val="24"/>
              </w:rPr>
              <w:t>效支撐新產品的開發需求</w:t>
            </w:r>
          </w:p>
        </w:tc>
        <w:tc>
          <w:tcPr>
            <w:tcW w:w="3121" w:type="dxa"/>
            <w:vMerge w:val="restart"/>
          </w:tcPr>
          <w:p>
            <w:pPr>
              <w:pStyle w:val="TableParagraph"/>
              <w:spacing w:line="324" w:lineRule="auto" w:before="359"/>
              <w:ind w:left="217" w:right="251"/>
              <w:jc w:val="both"/>
              <w:rPr>
                <w:sz w:val="24"/>
              </w:rPr>
            </w:pPr>
            <w:r>
              <w:rPr>
                <w:spacing w:val="-2"/>
                <w:sz w:val="24"/>
              </w:rPr>
              <w:t>如何將資訊技術與傳統耗材採購流程結合，提升流</w:t>
            </w:r>
            <w:r>
              <w:rPr>
                <w:spacing w:val="-4"/>
                <w:sz w:val="24"/>
              </w:rPr>
              <w:t>程效率</w:t>
            </w:r>
          </w:p>
        </w:tc>
        <w:tc>
          <w:tcPr>
            <w:tcW w:w="709" w:type="dxa"/>
            <w:shd w:val="clear" w:color="auto" w:fill="E7E6E6"/>
          </w:tcPr>
          <w:p>
            <w:pPr>
              <w:pStyle w:val="TableParagraph"/>
              <w:spacing w:before="242"/>
              <w:ind w:right="8"/>
              <w:jc w:val="center"/>
              <w:rPr>
                <w:sz w:val="24"/>
              </w:rPr>
            </w:pPr>
            <w:r>
              <w:rPr>
                <w:spacing w:val="-5"/>
                <w:sz w:val="24"/>
              </w:rPr>
              <w:t>藥局</w:t>
            </w:r>
          </w:p>
        </w:tc>
        <w:tc>
          <w:tcPr>
            <w:tcW w:w="2694" w:type="dxa"/>
          </w:tcPr>
          <w:p>
            <w:pPr>
              <w:pStyle w:val="TableParagraph"/>
              <w:spacing w:before="242"/>
              <w:ind w:left="103"/>
              <w:rPr>
                <w:sz w:val="24"/>
              </w:rPr>
            </w:pPr>
            <w:r>
              <w:rPr>
                <w:spacing w:val="-1"/>
                <w:sz w:val="24"/>
              </w:rPr>
              <w:t>多邊系統割裂無法串接</w:t>
            </w:r>
          </w:p>
        </w:tc>
        <w:tc>
          <w:tcPr>
            <w:tcW w:w="1611" w:type="dxa"/>
            <w:vMerge w:val="restart"/>
          </w:tcPr>
          <w:p>
            <w:pPr>
              <w:pStyle w:val="TableParagraph"/>
              <w:spacing w:line="324" w:lineRule="auto" w:before="146"/>
              <w:ind w:left="102" w:right="296"/>
              <w:jc w:val="both"/>
              <w:rPr>
                <w:sz w:val="24"/>
              </w:rPr>
            </w:pPr>
            <w:r>
              <w:rPr>
                <w:spacing w:val="-2"/>
                <w:sz w:val="24"/>
              </w:rPr>
              <w:t>組織獲取外部專業技術來跨越技術邊界，專注於提升系統整合能力，並將其作為技術槓桿，推動產品的持續拓展。</w:t>
            </w:r>
          </w:p>
        </w:tc>
      </w:tr>
      <w:tr>
        <w:trPr>
          <w:trHeight w:val="1056"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spacing w:before="360"/>
              <w:ind w:right="8"/>
              <w:jc w:val="center"/>
              <w:rPr>
                <w:sz w:val="24"/>
              </w:rPr>
            </w:pPr>
            <w:r>
              <w:rPr>
                <w:spacing w:val="-5"/>
                <w:sz w:val="24"/>
              </w:rPr>
              <w:t>美國</w:t>
            </w:r>
          </w:p>
        </w:tc>
        <w:tc>
          <w:tcPr>
            <w:tcW w:w="2694" w:type="dxa"/>
          </w:tcPr>
          <w:p>
            <w:pPr>
              <w:pStyle w:val="TableParagraph"/>
              <w:spacing w:line="321" w:lineRule="auto" w:before="154"/>
              <w:ind w:left="103" w:right="178"/>
              <w:rPr>
                <w:sz w:val="24"/>
              </w:rPr>
            </w:pPr>
            <w:r>
              <w:rPr>
                <w:spacing w:val="-2"/>
                <w:sz w:val="24"/>
              </w:rPr>
              <w:t>缺乏針對長照機構需求的人事管理模組</w:t>
            </w:r>
          </w:p>
        </w:tc>
        <w:tc>
          <w:tcPr>
            <w:tcW w:w="1611" w:type="dxa"/>
            <w:vMerge/>
            <w:tcBorders>
              <w:top w:val="nil"/>
            </w:tcBorders>
          </w:tcPr>
          <w:p>
            <w:pPr>
              <w:rPr>
                <w:sz w:val="2"/>
                <w:szCs w:val="2"/>
              </w:rPr>
            </w:pPr>
          </w:p>
        </w:tc>
      </w:tr>
      <w:tr>
        <w:trPr>
          <w:trHeight w:val="1062"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val="restart"/>
            <w:shd w:val="clear" w:color="auto" w:fill="E7E6E6"/>
          </w:tcPr>
          <w:p>
            <w:pPr>
              <w:pStyle w:val="TableParagraph"/>
              <w:spacing w:before="146"/>
              <w:rPr>
                <w:rFonts w:ascii="Microsoft JhengHei"/>
                <w:b/>
                <w:sz w:val="24"/>
              </w:rPr>
            </w:pPr>
          </w:p>
          <w:p>
            <w:pPr>
              <w:pStyle w:val="TableParagraph"/>
              <w:spacing w:line="225" w:lineRule="auto"/>
              <w:ind w:left="183" w:right="177"/>
              <w:jc w:val="both"/>
              <w:rPr>
                <w:rFonts w:ascii="Microsoft JhengHei" w:eastAsia="Microsoft JhengHei"/>
                <w:b/>
                <w:sz w:val="24"/>
              </w:rPr>
            </w:pPr>
            <w:r>
              <w:rPr>
                <w:rFonts w:ascii="Microsoft JhengHei" w:eastAsia="Microsoft JhengHei"/>
                <w:b/>
                <w:spacing w:val="-6"/>
                <w:sz w:val="24"/>
              </w:rPr>
              <w:t>跨界資源</w:t>
            </w:r>
            <w:r>
              <w:rPr>
                <w:rFonts w:ascii="Microsoft JhengHei" w:eastAsia="Microsoft JhengHei"/>
                <w:b/>
                <w:spacing w:val="-5"/>
                <w:sz w:val="24"/>
              </w:rPr>
              <w:t>行動</w:t>
            </w:r>
          </w:p>
        </w:tc>
        <w:tc>
          <w:tcPr>
            <w:tcW w:w="3119" w:type="dxa"/>
            <w:vMerge w:val="restart"/>
          </w:tcPr>
          <w:p>
            <w:pPr>
              <w:pStyle w:val="TableParagraph"/>
              <w:spacing w:before="360"/>
              <w:rPr>
                <w:rFonts w:ascii="Microsoft JhengHei"/>
                <w:b/>
                <w:sz w:val="24"/>
              </w:rPr>
            </w:pPr>
          </w:p>
          <w:p>
            <w:pPr>
              <w:pStyle w:val="TableParagraph"/>
              <w:numPr>
                <w:ilvl w:val="0"/>
                <w:numId w:val="35"/>
              </w:numPr>
              <w:tabs>
                <w:tab w:pos="217" w:val="left" w:leader="none"/>
              </w:tabs>
              <w:spacing w:line="240" w:lineRule="auto" w:before="0" w:after="0"/>
              <w:ind w:left="217" w:right="0" w:hanging="112"/>
              <w:jc w:val="left"/>
              <w:rPr>
                <w:sz w:val="24"/>
              </w:rPr>
            </w:pPr>
            <w:r>
              <w:rPr>
                <w:spacing w:val="-20"/>
                <w:sz w:val="24"/>
                <w:u w:val="single"/>
              </w:rPr>
              <w:t>建構 </w:t>
            </w:r>
            <w:r>
              <w:rPr>
                <w:rFonts w:ascii="Times New Roman" w:hAnsi="Times New Roman" w:eastAsia="Times New Roman"/>
                <w:sz w:val="24"/>
              </w:rPr>
              <w:t>API</w:t>
            </w:r>
            <w:r>
              <w:rPr>
                <w:rFonts w:ascii="Times New Roman" w:hAnsi="Times New Roman" w:eastAsia="Times New Roman"/>
                <w:spacing w:val="-1"/>
                <w:sz w:val="24"/>
              </w:rPr>
              <w:t> </w:t>
            </w:r>
            <w:r>
              <w:rPr>
                <w:spacing w:val="-3"/>
                <w:sz w:val="24"/>
              </w:rPr>
              <w:t>整合方案</w:t>
            </w:r>
          </w:p>
          <w:p>
            <w:pPr>
              <w:pStyle w:val="TableParagraph"/>
              <w:numPr>
                <w:ilvl w:val="0"/>
                <w:numId w:val="35"/>
              </w:numPr>
              <w:tabs>
                <w:tab w:pos="217" w:val="left" w:leader="none"/>
              </w:tabs>
              <w:spacing w:line="240" w:lineRule="auto" w:before="213" w:after="0"/>
              <w:ind w:left="217" w:right="0" w:hanging="112"/>
              <w:jc w:val="left"/>
              <w:rPr>
                <w:sz w:val="24"/>
              </w:rPr>
            </w:pPr>
            <w:r>
              <w:rPr>
                <w:sz w:val="24"/>
                <w:u w:val="single"/>
              </w:rPr>
              <w:t>取得</w:t>
            </w:r>
            <w:r>
              <w:rPr>
                <w:spacing w:val="-20"/>
                <w:sz w:val="24"/>
              </w:rPr>
              <w:t>外部 </w:t>
            </w:r>
            <w:r>
              <w:rPr>
                <w:rFonts w:ascii="Times New Roman" w:hAnsi="Times New Roman" w:eastAsia="Times New Roman"/>
                <w:sz w:val="24"/>
              </w:rPr>
              <w:t>AI</w:t>
            </w:r>
            <w:r>
              <w:rPr>
                <w:rFonts w:ascii="Times New Roman" w:hAnsi="Times New Roman" w:eastAsia="Times New Roman"/>
                <w:spacing w:val="-2"/>
                <w:sz w:val="24"/>
              </w:rPr>
              <w:t> </w:t>
            </w:r>
            <w:r>
              <w:rPr>
                <w:spacing w:val="-5"/>
                <w:sz w:val="24"/>
              </w:rPr>
              <w:t>技術</w:t>
            </w:r>
          </w:p>
        </w:tc>
        <w:tc>
          <w:tcPr>
            <w:tcW w:w="3121" w:type="dxa"/>
            <w:vMerge w:val="restart"/>
          </w:tcPr>
          <w:p>
            <w:pPr>
              <w:pStyle w:val="TableParagraph"/>
              <w:rPr>
                <w:rFonts w:ascii="Microsoft JhengHei"/>
                <w:b/>
                <w:sz w:val="24"/>
              </w:rPr>
            </w:pPr>
          </w:p>
          <w:p>
            <w:pPr>
              <w:pStyle w:val="TableParagraph"/>
              <w:spacing w:line="324" w:lineRule="auto"/>
              <w:ind w:left="217" w:right="251"/>
              <w:rPr>
                <w:sz w:val="24"/>
              </w:rPr>
            </w:pPr>
            <w:r>
              <w:rPr>
                <w:sz w:val="24"/>
              </w:rPr>
              <mc:AlternateContent>
                <mc:Choice Requires="wps">
                  <w:drawing>
                    <wp:anchor distT="0" distB="0" distL="0" distR="0" allowOverlap="1" layoutInCell="1" locked="0" behindDoc="1" simplePos="0" relativeHeight="485832192">
                      <wp:simplePos x="0" y="0"/>
                      <wp:positionH relativeFrom="column">
                        <wp:posOffset>497712</wp:posOffset>
                      </wp:positionH>
                      <wp:positionV relativeFrom="paragraph">
                        <wp:posOffset>187579</wp:posOffset>
                      </wp:positionV>
                      <wp:extent cx="929640" cy="978535"/>
                      <wp:effectExtent l="0" t="0" r="0" b="0"/>
                      <wp:wrapNone/>
                      <wp:docPr id="256" name="Group 256"/>
                      <wp:cNvGraphicFramePr>
                        <a:graphicFrameLocks/>
                      </wp:cNvGraphicFramePr>
                      <a:graphic>
                        <a:graphicData uri="http://schemas.microsoft.com/office/word/2010/wordprocessingGroup">
                          <wpg:wgp>
                            <wpg:cNvPr id="256" name="Group 256"/>
                            <wpg:cNvGrpSpPr/>
                            <wpg:grpSpPr>
                              <a:xfrm>
                                <a:off x="0" y="0"/>
                                <a:ext cx="929640" cy="978535"/>
                                <a:chExt cx="929640" cy="978535"/>
                              </a:xfrm>
                            </wpg:grpSpPr>
                            <pic:pic>
                              <pic:nvPicPr>
                                <pic:cNvPr id="257" name="Image 257"/>
                                <pic:cNvPicPr/>
                              </pic:nvPicPr>
                              <pic:blipFill>
                                <a:blip r:embed="rId6" cstate="print"/>
                                <a:stretch>
                                  <a:fillRect/>
                                </a:stretch>
                              </pic:blipFill>
                              <pic:spPr>
                                <a:xfrm>
                                  <a:off x="0" y="0"/>
                                  <a:ext cx="929639" cy="978408"/>
                                </a:xfrm>
                                <a:prstGeom prst="rect">
                                  <a:avLst/>
                                </a:prstGeom>
                              </pic:spPr>
                            </pic:pic>
                          </wpg:wgp>
                        </a:graphicData>
                      </a:graphic>
                    </wp:anchor>
                  </w:drawing>
                </mc:Choice>
                <mc:Fallback>
                  <w:pict>
                    <v:group style="position:absolute;margin-left:39.189995pt;margin-top:14.770005pt;width:73.2pt;height:77.05pt;mso-position-horizontal-relative:column;mso-position-vertical-relative:paragraph;z-index:-17484288" id="docshapegroup41" coordorigin="784,295" coordsize="1464,1541">
                      <v:shape style="position:absolute;left:783;top:295;width:1464;height:1541" type="#_x0000_t75" id="docshape42" stroked="false">
                        <v:imagedata r:id="rId6" o:title=""/>
                      </v:shape>
                      <w10:wrap type="none"/>
                    </v:group>
                  </w:pict>
                </mc:Fallback>
              </mc:AlternateContent>
            </w:r>
            <w:r>
              <w:rPr>
                <w:spacing w:val="-2"/>
                <w:sz w:val="24"/>
                <w:u w:val="single"/>
              </w:rPr>
              <w:t>建構</w:t>
            </w:r>
            <w:r>
              <w:rPr>
                <w:spacing w:val="-2"/>
                <w:sz w:val="24"/>
              </w:rPr>
              <w:t>數據導向的自動化採購模組詳細記錄耗材使用情況，進行精確需求預 </w:t>
            </w:r>
            <w:r>
              <w:rPr>
                <w:spacing w:val="-6"/>
                <w:sz w:val="24"/>
              </w:rPr>
              <w:t>測。</w:t>
            </w:r>
          </w:p>
        </w:tc>
        <w:tc>
          <w:tcPr>
            <w:tcW w:w="709" w:type="dxa"/>
            <w:shd w:val="clear" w:color="auto" w:fill="E7E6E6"/>
          </w:tcPr>
          <w:p>
            <w:pPr>
              <w:pStyle w:val="TableParagraph"/>
              <w:spacing w:before="362"/>
              <w:ind w:right="8"/>
              <w:jc w:val="center"/>
              <w:rPr>
                <w:sz w:val="24"/>
              </w:rPr>
            </w:pPr>
            <w:r>
              <w:rPr>
                <w:spacing w:val="-5"/>
                <w:sz w:val="24"/>
              </w:rPr>
              <w:t>藥局</w:t>
            </w:r>
          </w:p>
        </w:tc>
        <w:tc>
          <w:tcPr>
            <w:tcW w:w="2694" w:type="dxa"/>
          </w:tcPr>
          <w:p>
            <w:pPr>
              <w:pStyle w:val="TableParagraph"/>
              <w:spacing w:line="324" w:lineRule="auto" w:before="155"/>
              <w:ind w:left="103" w:right="134"/>
              <w:rPr>
                <w:sz w:val="24"/>
              </w:rPr>
            </w:pPr>
            <w:r>
              <w:rPr>
                <w:spacing w:val="-20"/>
                <w:sz w:val="24"/>
                <w:u w:val="single"/>
              </w:rPr>
              <w:t>整合 </w:t>
            </w:r>
            <w:r>
              <w:rPr>
                <w:rFonts w:ascii="Times New Roman" w:eastAsia="Times New Roman"/>
                <w:sz w:val="24"/>
              </w:rPr>
              <w:t>POS</w:t>
            </w:r>
            <w:r>
              <w:rPr>
                <w:sz w:val="24"/>
              </w:rPr>
              <w:t>、</w:t>
            </w:r>
            <w:r>
              <w:rPr>
                <w:rFonts w:ascii="Times New Roman" w:eastAsia="Times New Roman"/>
                <w:sz w:val="24"/>
              </w:rPr>
              <w:t>ERP</w:t>
            </w:r>
            <w:r>
              <w:rPr>
                <w:rFonts w:ascii="Times New Roman" w:eastAsia="Times New Roman"/>
                <w:spacing w:val="-15"/>
                <w:sz w:val="24"/>
              </w:rPr>
              <w:t> </w:t>
            </w:r>
            <w:r>
              <w:rPr>
                <w:sz w:val="24"/>
              </w:rPr>
              <w:t>與健保</w:t>
            </w:r>
            <w:r>
              <w:rPr>
                <w:spacing w:val="-2"/>
                <w:sz w:val="24"/>
              </w:rPr>
              <w:t>系統，優化庫存管理</w:t>
            </w:r>
          </w:p>
        </w:tc>
        <w:tc>
          <w:tcPr>
            <w:tcW w:w="1611" w:type="dxa"/>
            <w:vMerge/>
            <w:tcBorders>
              <w:top w:val="nil"/>
            </w:tcBorders>
          </w:tcPr>
          <w:p>
            <w:pPr>
              <w:rPr>
                <w:sz w:val="2"/>
                <w:szCs w:val="2"/>
              </w:rPr>
            </w:pPr>
          </w:p>
        </w:tc>
      </w:tr>
      <w:tr>
        <w:trPr>
          <w:trHeight w:val="1387" w:hRule="atLeast"/>
        </w:trPr>
        <w:tc>
          <w:tcPr>
            <w:tcW w:w="562" w:type="dxa"/>
            <w:vMerge/>
            <w:tcBorders>
              <w:top w:val="nil"/>
            </w:tcBorders>
            <w:shd w:val="clear" w:color="auto" w:fill="D9E2F3"/>
          </w:tcPr>
          <w:p>
            <w:pPr>
              <w:rPr>
                <w:sz w:val="2"/>
                <w:szCs w:val="2"/>
              </w:rPr>
            </w:pPr>
          </w:p>
        </w:tc>
        <w:tc>
          <w:tcPr>
            <w:tcW w:w="567" w:type="dxa"/>
            <w:vMerge/>
            <w:tcBorders>
              <w:top w:val="nil"/>
            </w:tcBorders>
            <w:shd w:val="clear" w:color="auto" w:fill="E7E6E6"/>
          </w:tcPr>
          <w:p>
            <w:pPr>
              <w:rPr>
                <w:sz w:val="2"/>
                <w:szCs w:val="2"/>
              </w:rPr>
            </w:pPr>
          </w:p>
        </w:tc>
        <w:tc>
          <w:tcPr>
            <w:tcW w:w="853" w:type="dxa"/>
            <w:vMerge/>
            <w:tcBorders>
              <w:top w:val="nil"/>
            </w:tcBorders>
            <w:shd w:val="clear" w:color="auto" w:fill="E7E6E6"/>
          </w:tcPr>
          <w:p>
            <w:pPr>
              <w:rPr>
                <w:sz w:val="2"/>
                <w:szCs w:val="2"/>
              </w:rPr>
            </w:pPr>
          </w:p>
        </w:tc>
        <w:tc>
          <w:tcPr>
            <w:tcW w:w="3119" w:type="dxa"/>
            <w:vMerge/>
            <w:tcBorders>
              <w:top w:val="nil"/>
            </w:tcBorders>
          </w:tcPr>
          <w:p>
            <w:pPr>
              <w:rPr>
                <w:sz w:val="2"/>
                <w:szCs w:val="2"/>
              </w:rPr>
            </w:pPr>
          </w:p>
        </w:tc>
        <w:tc>
          <w:tcPr>
            <w:tcW w:w="3121" w:type="dxa"/>
            <w:vMerge/>
            <w:tcBorders>
              <w:top w:val="nil"/>
            </w:tcBorders>
          </w:tcPr>
          <w:p>
            <w:pPr>
              <w:rPr>
                <w:sz w:val="2"/>
                <w:szCs w:val="2"/>
              </w:rPr>
            </w:pPr>
          </w:p>
        </w:tc>
        <w:tc>
          <w:tcPr>
            <w:tcW w:w="709" w:type="dxa"/>
            <w:shd w:val="clear" w:color="auto" w:fill="E7E6E6"/>
          </w:tcPr>
          <w:p>
            <w:pPr>
              <w:pStyle w:val="TableParagraph"/>
              <w:spacing w:before="84"/>
              <w:rPr>
                <w:rFonts w:ascii="Microsoft JhengHei"/>
                <w:b/>
                <w:sz w:val="24"/>
              </w:rPr>
            </w:pPr>
          </w:p>
          <w:p>
            <w:pPr>
              <w:pStyle w:val="TableParagraph"/>
              <w:ind w:right="8"/>
              <w:jc w:val="center"/>
              <w:rPr>
                <w:sz w:val="24"/>
              </w:rPr>
            </w:pPr>
            <w:r>
              <w:rPr>
                <w:spacing w:val="-5"/>
                <w:sz w:val="24"/>
              </w:rPr>
              <w:t>美國</w:t>
            </w:r>
          </w:p>
        </w:tc>
        <w:tc>
          <w:tcPr>
            <w:tcW w:w="2694" w:type="dxa"/>
          </w:tcPr>
          <w:p>
            <w:pPr>
              <w:pStyle w:val="TableParagraph"/>
              <w:spacing w:before="84"/>
              <w:rPr>
                <w:rFonts w:ascii="Microsoft JhengHei"/>
                <w:b/>
                <w:sz w:val="24"/>
              </w:rPr>
            </w:pPr>
          </w:p>
          <w:p>
            <w:pPr>
              <w:pStyle w:val="TableParagraph"/>
              <w:numPr>
                <w:ilvl w:val="0"/>
                <w:numId w:val="36"/>
              </w:numPr>
              <w:tabs>
                <w:tab w:pos="215" w:val="left" w:leader="none"/>
              </w:tabs>
              <w:spacing w:line="240" w:lineRule="auto" w:before="0" w:after="0"/>
              <w:ind w:left="215" w:right="0" w:hanging="112"/>
              <w:jc w:val="left"/>
              <w:rPr>
                <w:rFonts w:ascii="Times New Roman" w:hAnsi="Times New Roman" w:eastAsia="Times New Roman"/>
                <w:sz w:val="24"/>
              </w:rPr>
            </w:pPr>
            <w:r>
              <w:rPr>
                <w:sz w:val="24"/>
                <w:u w:val="single"/>
              </w:rPr>
              <w:t>部署</w:t>
            </w:r>
            <w:r>
              <w:rPr>
                <w:spacing w:val="-20"/>
                <w:sz w:val="24"/>
              </w:rPr>
              <w:t>系統 </w:t>
            </w:r>
            <w:r>
              <w:rPr>
                <w:rFonts w:ascii="Times New Roman" w:hAnsi="Times New Roman" w:eastAsia="Times New Roman"/>
                <w:spacing w:val="-2"/>
                <w:sz w:val="24"/>
              </w:rPr>
              <w:t>Ucare2.0</w:t>
            </w:r>
          </w:p>
        </w:tc>
        <w:tc>
          <w:tcPr>
            <w:tcW w:w="1611" w:type="dxa"/>
            <w:vMerge/>
            <w:tcBorders>
              <w:top w:val="nil"/>
            </w:tcBorders>
          </w:tcPr>
          <w:p>
            <w:pPr>
              <w:rPr>
                <w:sz w:val="2"/>
                <w:szCs w:val="2"/>
              </w:rPr>
            </w:pPr>
          </w:p>
        </w:tc>
      </w:tr>
      <w:tr>
        <w:trPr>
          <w:trHeight w:val="2894" w:hRule="atLeast"/>
        </w:trPr>
        <w:tc>
          <w:tcPr>
            <w:tcW w:w="1982" w:type="dxa"/>
            <w:gridSpan w:val="3"/>
            <w:shd w:val="clear" w:color="auto" w:fill="D9E2F3"/>
          </w:tcPr>
          <w:p>
            <w:pPr>
              <w:pStyle w:val="TableParagraph"/>
              <w:rPr>
                <w:rFonts w:ascii="Microsoft JhengHei"/>
                <w:b/>
                <w:sz w:val="24"/>
              </w:rPr>
            </w:pPr>
          </w:p>
          <w:p>
            <w:pPr>
              <w:pStyle w:val="TableParagraph"/>
              <w:spacing w:before="55"/>
              <w:rPr>
                <w:rFonts w:ascii="Microsoft JhengHei"/>
                <w:b/>
                <w:sz w:val="24"/>
              </w:rPr>
            </w:pPr>
          </w:p>
          <w:p>
            <w:pPr>
              <w:pStyle w:val="TableParagraph"/>
              <w:spacing w:line="285" w:lineRule="auto"/>
              <w:ind w:left="388" w:right="379"/>
              <w:rPr>
                <w:rFonts w:ascii="Microsoft JhengHei" w:eastAsia="Microsoft JhengHei"/>
                <w:b/>
                <w:sz w:val="24"/>
              </w:rPr>
            </w:pPr>
            <w:r>
              <w:rPr>
                <w:rFonts w:ascii="Microsoft JhengHei" w:eastAsia="Microsoft JhengHei"/>
                <w:b/>
                <w:spacing w:val="-2"/>
                <w:sz w:val="24"/>
              </w:rPr>
              <w:t>服務生態系的動態拓展</w:t>
            </w:r>
          </w:p>
        </w:tc>
        <w:tc>
          <w:tcPr>
            <w:tcW w:w="3119" w:type="dxa"/>
          </w:tcPr>
          <w:p>
            <w:pPr>
              <w:pStyle w:val="TableParagraph"/>
              <w:spacing w:before="422"/>
              <w:rPr>
                <w:rFonts w:ascii="Microsoft JhengHei"/>
                <w:b/>
                <w:sz w:val="24"/>
              </w:rPr>
            </w:pPr>
          </w:p>
          <w:p>
            <w:pPr>
              <w:pStyle w:val="TableParagraph"/>
              <w:spacing w:line="324" w:lineRule="auto"/>
              <w:ind w:left="105" w:right="121"/>
              <w:jc w:val="both"/>
              <w:rPr>
                <w:sz w:val="24"/>
              </w:rPr>
            </w:pPr>
            <w:r>
              <w:rPr>
                <w:spacing w:val="-2"/>
                <w:sz w:val="24"/>
              </w:rPr>
              <w:t>全台唯一一家涵蓋住宿、居家、日照且無須切換網頁或帳號度長照整合系統</w:t>
            </w:r>
          </w:p>
        </w:tc>
        <w:tc>
          <w:tcPr>
            <w:tcW w:w="3121" w:type="dxa"/>
          </w:tcPr>
          <w:p>
            <w:pPr>
              <w:pStyle w:val="TableParagraph"/>
              <w:spacing w:before="422"/>
              <w:rPr>
                <w:rFonts w:ascii="Microsoft JhengHei"/>
                <w:b/>
                <w:sz w:val="24"/>
              </w:rPr>
            </w:pPr>
          </w:p>
          <w:p>
            <w:pPr>
              <w:pStyle w:val="TableParagraph"/>
              <w:spacing w:line="324" w:lineRule="auto"/>
              <w:ind w:left="104" w:right="124"/>
              <w:jc w:val="both"/>
              <w:rPr>
                <w:sz w:val="24"/>
              </w:rPr>
            </w:pPr>
            <w:r>
              <w:rPr>
                <w:spacing w:val="-2"/>
                <w:sz w:val="24"/>
              </w:rPr>
              <w:t>耗材訂購與長照軟體的無縫整合服務，且耗材客戶不限於長照機構</w:t>
            </w:r>
          </w:p>
        </w:tc>
        <w:tc>
          <w:tcPr>
            <w:tcW w:w="3403" w:type="dxa"/>
            <w:gridSpan w:val="2"/>
          </w:tcPr>
          <w:p>
            <w:pPr>
              <w:pStyle w:val="TableParagraph"/>
              <w:spacing w:before="216"/>
              <w:rPr>
                <w:rFonts w:ascii="Microsoft JhengHei"/>
                <w:b/>
                <w:sz w:val="24"/>
              </w:rPr>
            </w:pPr>
          </w:p>
          <w:p>
            <w:pPr>
              <w:pStyle w:val="TableParagraph"/>
              <w:spacing w:line="324" w:lineRule="auto"/>
              <w:ind w:left="104" w:right="166"/>
              <w:jc w:val="both"/>
              <w:rPr>
                <w:sz w:val="24"/>
              </w:rPr>
            </w:pPr>
            <w:r>
              <w:rPr>
                <w:rFonts w:ascii="Times New Roman" w:eastAsia="Times New Roman"/>
                <w:sz w:val="24"/>
              </w:rPr>
              <w:t>ESaaS</w:t>
            </w:r>
            <w:r>
              <w:rPr>
                <w:rFonts w:ascii="Times New Roman" w:eastAsia="Times New Roman"/>
                <w:spacing w:val="-4"/>
                <w:sz w:val="24"/>
              </w:rPr>
              <w:t> </w:t>
            </w:r>
            <w:r>
              <w:rPr>
                <w:sz w:val="24"/>
              </w:rPr>
              <w:t>泛醫療生態圈的建立，</w:t>
            </w:r>
            <w:r>
              <w:rPr>
                <w:spacing w:val="-2"/>
                <w:sz w:val="24"/>
              </w:rPr>
              <w:t>服務範疇涵蓋台灣與美國的長照系統，以及台灣的耗材與藥事管理系統</w:t>
            </w:r>
          </w:p>
        </w:tc>
        <w:tc>
          <w:tcPr>
            <w:tcW w:w="1611" w:type="dxa"/>
          </w:tcPr>
          <w:p>
            <w:pPr>
              <w:pStyle w:val="TableParagraph"/>
              <w:spacing w:line="324" w:lineRule="auto" w:before="244"/>
              <w:ind w:left="102" w:right="296"/>
              <w:rPr>
                <w:sz w:val="24"/>
              </w:rPr>
            </w:pPr>
            <w:r>
              <w:rPr>
                <w:spacing w:val="-2"/>
                <w:sz w:val="24"/>
              </w:rPr>
              <w:t>透過資源行動持續探索</w:t>
            </w:r>
            <w:r>
              <w:rPr>
                <w:spacing w:val="-4"/>
                <w:sz w:val="24"/>
              </w:rPr>
              <w:t>並突破邊 </w:t>
            </w:r>
            <w:r>
              <w:rPr>
                <w:spacing w:val="-2"/>
                <w:sz w:val="24"/>
              </w:rPr>
              <w:t>界，推動服務的創新與</w:t>
            </w:r>
            <w:r>
              <w:rPr>
                <w:spacing w:val="-4"/>
                <w:sz w:val="24"/>
              </w:rPr>
              <w:t>發展。</w:t>
            </w:r>
          </w:p>
        </w:tc>
      </w:tr>
    </w:tbl>
    <w:p>
      <w:pPr>
        <w:pStyle w:val="BodyText"/>
        <w:spacing w:before="307"/>
        <w:ind w:left="242"/>
        <w:jc w:val="center"/>
      </w:pPr>
      <w:r>
        <w:rPr>
          <w:spacing w:val="-1"/>
        </w:rPr>
        <w:t>資料來源：本研究整理</w:t>
      </w:r>
    </w:p>
    <w:p>
      <w:pPr>
        <w:pStyle w:val="BodyText"/>
        <w:spacing w:after="0"/>
        <w:jc w:val="center"/>
        <w:sectPr>
          <w:type w:val="continuous"/>
          <w:pgSz w:w="16840" w:h="11910" w:orient="landscape"/>
          <w:pgMar w:header="0" w:footer="1197" w:top="1340" w:bottom="1380" w:left="1700" w:right="1700"/>
        </w:sectPr>
      </w:pPr>
    </w:p>
    <w:p>
      <w:pPr>
        <w:pStyle w:val="Heading1"/>
        <w:ind w:left="2210" w:right="0"/>
        <w:jc w:val="left"/>
      </w:pPr>
      <w:bookmarkStart w:name="_bookmark92" w:id="93"/>
      <w:bookmarkEnd w:id="93"/>
      <w:r>
        <w:rPr>
          <w:b w:val="0"/>
        </w:rPr>
      </w:r>
      <w:r>
        <w:rPr>
          <w:spacing w:val="-1"/>
        </w:rPr>
        <w:t>第六章、研究結論與建議</w:t>
      </w:r>
    </w:p>
    <w:p>
      <w:pPr>
        <w:pStyle w:val="Heading2"/>
        <w:numPr>
          <w:ilvl w:val="1"/>
          <w:numId w:val="37"/>
        </w:numPr>
        <w:tabs>
          <w:tab w:pos="480" w:val="left" w:leader="none"/>
        </w:tabs>
        <w:spacing w:line="240" w:lineRule="auto" w:before="205" w:after="0"/>
        <w:ind w:left="480" w:right="0" w:hanging="478"/>
        <w:jc w:val="left"/>
      </w:pPr>
      <w:bookmarkStart w:name="_bookmark93" w:id="94"/>
      <w:bookmarkEnd w:id="94"/>
      <w:r>
        <w:rPr>
          <w:rFonts w:ascii="Times New Roman" w:eastAsia="Times New Roman"/>
          <w:spacing w:val="-1"/>
        </w:rPr>
      </w:r>
      <w:r>
        <w:rPr>
          <w:spacing w:val="-5"/>
        </w:rPr>
        <w:t>研究結論與研究貢獻</w:t>
      </w:r>
    </w:p>
    <w:p>
      <w:pPr>
        <w:pStyle w:val="BodyText"/>
        <w:spacing w:line="422" w:lineRule="auto" w:before="312"/>
        <w:ind w:left="2" w:right="279" w:firstLine="479"/>
      </w:pPr>
      <w:r>
        <w:rPr>
          <w:spacing w:val="-6"/>
        </w:rPr>
        <w:t>本研究以諾亞克科技為研究對象，將諾亞克之拓展方向為三部分，探討公司如</w:t>
      </w:r>
      <w:r>
        <w:rPr>
          <w:spacing w:val="-4"/>
        </w:rPr>
        <w:t>何在市場限制底下，跨越邊界拓展至新的服務生態系。而針對本研究第一章提出之</w:t>
      </w:r>
      <w:r>
        <w:rPr>
          <w:spacing w:val="-24"/>
        </w:rPr>
        <w:t>研究問題，經過多次的訪談與資料蒐集，並進一步分析與探討後，彙整出以下結論：</w:t>
      </w:r>
    </w:p>
    <w:p>
      <w:pPr>
        <w:pStyle w:val="Heading4"/>
        <w:numPr>
          <w:ilvl w:val="2"/>
          <w:numId w:val="37"/>
        </w:numPr>
        <w:tabs>
          <w:tab w:pos="851" w:val="left" w:leader="none"/>
        </w:tabs>
        <w:spacing w:line="292" w:lineRule="auto" w:before="26" w:after="0"/>
        <w:ind w:left="851" w:right="282" w:hanging="360"/>
        <w:jc w:val="left"/>
        <w:rPr>
          <w:rFonts w:ascii="Times New Roman" w:eastAsia="Times New Roman"/>
        </w:rPr>
      </w:pPr>
      <w:r>
        <w:rPr>
          <w:spacing w:val="-2"/>
        </w:rPr>
        <w:t>照護科技公司如何針對不同競爭環境採取治理策略，以拓展服務範疇並增強市場應變能力</w:t>
      </w:r>
      <w:r>
        <w:rPr>
          <w:rFonts w:ascii="Times New Roman" w:eastAsia="Times New Roman"/>
          <w:spacing w:val="-2"/>
        </w:rPr>
        <w:t>?</w:t>
      </w:r>
    </w:p>
    <w:p>
      <w:pPr>
        <w:pStyle w:val="BodyText"/>
        <w:spacing w:line="422" w:lineRule="auto" w:before="190"/>
        <w:ind w:left="854" w:right="282" w:firstLine="480"/>
      </w:pPr>
      <w:r>
        <w:rPr/>
        <w:drawing>
          <wp:anchor distT="0" distB="0" distL="0" distR="0" allowOverlap="1" layoutInCell="1" locked="0" behindDoc="1" simplePos="0" relativeHeight="485832704">
            <wp:simplePos x="0" y="0"/>
            <wp:positionH relativeFrom="page">
              <wp:posOffset>3312414</wp:posOffset>
            </wp:positionH>
            <wp:positionV relativeFrom="paragraph">
              <wp:posOffset>899005</wp:posOffset>
            </wp:positionV>
            <wp:extent cx="929640" cy="978408"/>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隨著照護科技產業從無人競爭發展到多元競爭的局面，競爭環境在不同階段各有不同。公司根據自身的資源、所處的限制與機會，調整組織策</w:t>
      </w:r>
      <w:r>
        <w:rPr>
          <w:spacing w:val="-3"/>
        </w:rPr>
        <w:t>略。例如，在公司初期，市場上沒有競爭對手且創業資源匱乏，因此透過</w:t>
      </w:r>
    </w:p>
    <w:p>
      <w:pPr>
        <w:pStyle w:val="BodyText"/>
        <w:spacing w:line="422" w:lineRule="auto"/>
        <w:ind w:left="854" w:right="277"/>
        <w:rPr>
          <w:rFonts w:ascii="Times New Roman" w:eastAsia="Times New Roman"/>
        </w:rPr>
      </w:pPr>
      <w:r>
        <w:rPr>
          <w:spacing w:val="-15"/>
        </w:rPr>
        <w:t>「需求採用」的訪談方式來規劃長照產品；到了中期，由於人才獲取困難，</w:t>
      </w:r>
      <w:r>
        <w:rPr>
          <w:spacing w:val="-2"/>
        </w:rPr>
        <w:t>產生了價格競爭壓力，公司轉向開發高獲利的產品，以「數據驅動」作為拓展方向；最近，由於軟體發展成熟，且在台灣市佔率穩居第一，但仍受限於收費模式，因此採取「生態協調」策略，將現有的軟體資源應用於其</w:t>
      </w:r>
      <w:r>
        <w:rPr>
          <w:spacing w:val="-8"/>
        </w:rPr>
        <w:t>他市場。每一次新的策略調整，都引導公司獲取資源並實現成長。表 </w:t>
      </w:r>
      <w:r>
        <w:rPr>
          <w:rFonts w:ascii="Times New Roman" w:eastAsia="Times New Roman"/>
          <w:spacing w:val="-6"/>
        </w:rPr>
        <w:t>6.1.1</w:t>
      </w:r>
      <w:r>
        <w:rPr>
          <w:rFonts w:ascii="Times New Roman" w:eastAsia="Times New Roman"/>
          <w:spacing w:val="-6"/>
        </w:rPr>
        <w:t>-</w:t>
      </w:r>
    </w:p>
    <w:p>
      <w:pPr>
        <w:pStyle w:val="BodyText"/>
        <w:spacing w:line="302" w:lineRule="exact"/>
        <w:ind w:left="854"/>
      </w:pPr>
      <w:r>
        <w:rPr>
          <w:rFonts w:ascii="Times New Roman" w:eastAsia="Times New Roman"/>
        </w:rPr>
        <w:t>1 </w:t>
      </w:r>
      <w:r>
        <w:rPr>
          <w:spacing w:val="-1"/>
        </w:rPr>
        <w:t>總結了不同競爭環境與組織策略之關聯；</w:t>
      </w:r>
    </w:p>
    <w:p>
      <w:pPr>
        <w:pStyle w:val="Heading4"/>
        <w:tabs>
          <w:tab w:pos="1297" w:val="left" w:leader="none"/>
        </w:tabs>
        <w:spacing w:before="258"/>
        <w:ind w:left="196"/>
        <w:jc w:val="center"/>
      </w:pPr>
      <w:bookmarkStart w:name="_bookmark94" w:id="95"/>
      <w:bookmarkEnd w:id="95"/>
      <w:r>
        <w:rPr>
          <w:b w:val="0"/>
        </w:rPr>
      </w:r>
      <w:r>
        <w:rPr/>
        <w:t>表</w:t>
      </w:r>
      <w:r>
        <w:rPr>
          <w:spacing w:val="61"/>
        </w:rPr>
        <w:t> </w:t>
      </w:r>
      <w:r>
        <w:rPr>
          <w:rFonts w:ascii="Times New Roman" w:eastAsia="Times New Roman"/>
        </w:rPr>
        <w:t>6.1-</w:t>
      </w:r>
      <w:r>
        <w:rPr>
          <w:rFonts w:ascii="Times New Roman" w:eastAsia="Times New Roman"/>
          <w:spacing w:val="-10"/>
        </w:rPr>
        <w:t>1</w:t>
      </w:r>
      <w:r>
        <w:rPr>
          <w:rFonts w:ascii="Times New Roman" w:eastAsia="Times New Roman"/>
        </w:rPr>
        <w:tab/>
      </w:r>
      <w:r>
        <w:rPr/>
        <w:t>競爭環境與組織策略之關</w:t>
      </w:r>
      <w:r>
        <w:rPr>
          <w:spacing w:val="-10"/>
        </w:rPr>
        <w:t>係</w:t>
      </w:r>
    </w:p>
    <w:p>
      <w:pPr>
        <w:pStyle w:val="BodyText"/>
        <w:spacing w:before="17"/>
        <w:ind w:left="0"/>
        <w:jc w:val="left"/>
        <w:rPr>
          <w:rFonts w:ascii="Microsoft JhengHei"/>
          <w:b/>
          <w:sz w:val="9"/>
        </w:rPr>
      </w:pPr>
    </w:p>
    <w:tbl>
      <w:tblPr>
        <w:tblW w:w="0" w:type="auto"/>
        <w:jc w:val="left"/>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3524"/>
        <w:gridCol w:w="2432"/>
        <w:gridCol w:w="1267"/>
      </w:tblGrid>
      <w:tr>
        <w:trPr>
          <w:trHeight w:val="576" w:hRule="atLeast"/>
        </w:trPr>
        <w:tc>
          <w:tcPr>
            <w:tcW w:w="1272" w:type="dxa"/>
            <w:shd w:val="clear" w:color="auto" w:fill="E7E6E6"/>
          </w:tcPr>
          <w:p>
            <w:pPr>
              <w:pStyle w:val="TableParagraph"/>
              <w:spacing w:before="119"/>
              <w:ind w:left="9"/>
              <w:jc w:val="center"/>
              <w:rPr>
                <w:sz w:val="24"/>
              </w:rPr>
            </w:pPr>
            <w:r>
              <w:rPr>
                <w:spacing w:val="-5"/>
                <w:sz w:val="24"/>
              </w:rPr>
              <w:t>時期</w:t>
            </w:r>
          </w:p>
        </w:tc>
        <w:tc>
          <w:tcPr>
            <w:tcW w:w="3524" w:type="dxa"/>
            <w:shd w:val="clear" w:color="auto" w:fill="E7E6E6"/>
          </w:tcPr>
          <w:p>
            <w:pPr>
              <w:pStyle w:val="TableParagraph"/>
              <w:spacing w:before="119"/>
              <w:ind w:left="1039"/>
              <w:rPr>
                <w:sz w:val="24"/>
              </w:rPr>
            </w:pPr>
            <w:r>
              <w:rPr>
                <w:spacing w:val="-2"/>
                <w:sz w:val="24"/>
              </w:rPr>
              <w:t>市場競爭環境</w:t>
            </w:r>
          </w:p>
        </w:tc>
        <w:tc>
          <w:tcPr>
            <w:tcW w:w="2432" w:type="dxa"/>
            <w:shd w:val="clear" w:color="auto" w:fill="E7E6E6"/>
          </w:tcPr>
          <w:p>
            <w:pPr>
              <w:pStyle w:val="TableParagraph"/>
              <w:spacing w:before="119"/>
              <w:ind w:left="371"/>
              <w:rPr>
                <w:sz w:val="24"/>
              </w:rPr>
            </w:pPr>
            <w:r>
              <w:rPr>
                <w:spacing w:val="-2"/>
                <w:sz w:val="24"/>
              </w:rPr>
              <w:t>組織機會與限制</w:t>
            </w:r>
          </w:p>
        </w:tc>
        <w:tc>
          <w:tcPr>
            <w:tcW w:w="1267" w:type="dxa"/>
            <w:shd w:val="clear" w:color="auto" w:fill="E7E6E6"/>
          </w:tcPr>
          <w:p>
            <w:pPr>
              <w:pStyle w:val="TableParagraph"/>
              <w:spacing w:before="119"/>
              <w:ind w:left="150"/>
              <w:rPr>
                <w:sz w:val="24"/>
              </w:rPr>
            </w:pPr>
            <w:r>
              <w:rPr>
                <w:spacing w:val="-3"/>
                <w:sz w:val="24"/>
              </w:rPr>
              <w:t>策略方式</w:t>
            </w:r>
          </w:p>
        </w:tc>
      </w:tr>
      <w:tr>
        <w:trPr>
          <w:trHeight w:val="630" w:hRule="atLeast"/>
        </w:trPr>
        <w:tc>
          <w:tcPr>
            <w:tcW w:w="1272" w:type="dxa"/>
          </w:tcPr>
          <w:p>
            <w:pPr>
              <w:pStyle w:val="TableParagraph"/>
              <w:spacing w:before="146"/>
              <w:ind w:left="9"/>
              <w:jc w:val="center"/>
              <w:rPr>
                <w:sz w:val="24"/>
              </w:rPr>
            </w:pPr>
            <w:r>
              <w:rPr>
                <w:spacing w:val="-3"/>
                <w:sz w:val="24"/>
              </w:rPr>
              <w:t>第一階段</w:t>
            </w:r>
          </w:p>
        </w:tc>
        <w:tc>
          <w:tcPr>
            <w:tcW w:w="3524" w:type="dxa"/>
          </w:tcPr>
          <w:p>
            <w:pPr>
              <w:pStyle w:val="TableParagraph"/>
              <w:spacing w:before="146"/>
              <w:ind w:left="105"/>
              <w:rPr>
                <w:sz w:val="24"/>
              </w:rPr>
            </w:pPr>
            <w:r>
              <w:rPr>
                <w:spacing w:val="-1"/>
                <w:sz w:val="24"/>
              </w:rPr>
              <w:t>新商業模式，無競爭對手。</w:t>
            </w:r>
          </w:p>
        </w:tc>
        <w:tc>
          <w:tcPr>
            <w:tcW w:w="2432" w:type="dxa"/>
          </w:tcPr>
          <w:p>
            <w:pPr>
              <w:pStyle w:val="TableParagraph"/>
              <w:spacing w:before="146"/>
              <w:ind w:left="105"/>
              <w:rPr>
                <w:sz w:val="24"/>
              </w:rPr>
            </w:pPr>
            <w:r>
              <w:rPr>
                <w:spacing w:val="-2"/>
                <w:sz w:val="24"/>
              </w:rPr>
              <w:t>創業初期資源不足。</w:t>
            </w:r>
          </w:p>
        </w:tc>
        <w:tc>
          <w:tcPr>
            <w:tcW w:w="1267" w:type="dxa"/>
          </w:tcPr>
          <w:p>
            <w:pPr>
              <w:pStyle w:val="TableParagraph"/>
              <w:spacing w:before="146"/>
              <w:ind w:left="105"/>
              <w:rPr>
                <w:sz w:val="24"/>
              </w:rPr>
            </w:pPr>
            <w:r>
              <w:rPr>
                <w:spacing w:val="-3"/>
                <w:sz w:val="24"/>
              </w:rPr>
              <w:t>需求採用</w:t>
            </w:r>
          </w:p>
        </w:tc>
      </w:tr>
      <w:tr>
        <w:trPr>
          <w:trHeight w:val="628" w:hRule="atLeast"/>
        </w:trPr>
        <w:tc>
          <w:tcPr>
            <w:tcW w:w="1272" w:type="dxa"/>
          </w:tcPr>
          <w:p>
            <w:pPr>
              <w:pStyle w:val="TableParagraph"/>
              <w:spacing w:before="146"/>
              <w:ind w:left="9"/>
              <w:jc w:val="center"/>
              <w:rPr>
                <w:sz w:val="24"/>
              </w:rPr>
            </w:pPr>
            <w:r>
              <w:rPr>
                <w:spacing w:val="-3"/>
                <w:sz w:val="24"/>
              </w:rPr>
              <w:t>第二階段</w:t>
            </w:r>
          </w:p>
        </w:tc>
        <w:tc>
          <w:tcPr>
            <w:tcW w:w="3524" w:type="dxa"/>
          </w:tcPr>
          <w:p>
            <w:pPr>
              <w:pStyle w:val="TableParagraph"/>
              <w:spacing w:before="146"/>
              <w:ind w:left="105"/>
              <w:rPr>
                <w:sz w:val="24"/>
              </w:rPr>
            </w:pPr>
            <w:r>
              <w:rPr>
                <w:spacing w:val="-1"/>
                <w:sz w:val="24"/>
              </w:rPr>
              <w:t>削價競爭且人才取得困難。</w:t>
            </w:r>
          </w:p>
        </w:tc>
        <w:tc>
          <w:tcPr>
            <w:tcW w:w="2432" w:type="dxa"/>
          </w:tcPr>
          <w:p>
            <w:pPr>
              <w:pStyle w:val="TableParagraph"/>
              <w:spacing w:before="146"/>
              <w:ind w:left="105"/>
              <w:rPr>
                <w:sz w:val="24"/>
              </w:rPr>
            </w:pPr>
            <w:r>
              <w:rPr>
                <w:spacing w:val="-2"/>
                <w:sz w:val="24"/>
              </w:rPr>
              <w:t>尋求高獲利產品。</w:t>
            </w:r>
          </w:p>
        </w:tc>
        <w:tc>
          <w:tcPr>
            <w:tcW w:w="1267" w:type="dxa"/>
          </w:tcPr>
          <w:p>
            <w:pPr>
              <w:pStyle w:val="TableParagraph"/>
              <w:spacing w:before="146"/>
              <w:ind w:left="105"/>
              <w:rPr>
                <w:sz w:val="24"/>
              </w:rPr>
            </w:pPr>
            <w:r>
              <w:rPr>
                <w:spacing w:val="-3"/>
                <w:sz w:val="24"/>
              </w:rPr>
              <w:t>數據驅動</w:t>
            </w:r>
          </w:p>
        </w:tc>
      </w:tr>
      <w:tr>
        <w:trPr>
          <w:trHeight w:val="938" w:hRule="atLeast"/>
        </w:trPr>
        <w:tc>
          <w:tcPr>
            <w:tcW w:w="1272" w:type="dxa"/>
          </w:tcPr>
          <w:p>
            <w:pPr>
              <w:pStyle w:val="TableParagraph"/>
              <w:spacing w:before="300"/>
              <w:ind w:left="9"/>
              <w:jc w:val="center"/>
              <w:rPr>
                <w:sz w:val="24"/>
              </w:rPr>
            </w:pPr>
            <w:r>
              <w:rPr>
                <w:spacing w:val="-3"/>
                <w:sz w:val="24"/>
              </w:rPr>
              <w:t>第三階段</w:t>
            </w:r>
          </w:p>
        </w:tc>
        <w:tc>
          <w:tcPr>
            <w:tcW w:w="3524" w:type="dxa"/>
          </w:tcPr>
          <w:p>
            <w:pPr>
              <w:pStyle w:val="TableParagraph"/>
              <w:spacing w:line="280" w:lineRule="auto" w:before="120"/>
              <w:ind w:left="105" w:right="286"/>
              <w:rPr>
                <w:sz w:val="24"/>
              </w:rPr>
            </w:pPr>
            <w:r>
              <w:rPr>
                <w:spacing w:val="-2"/>
                <w:sz w:val="24"/>
              </w:rPr>
              <w:t>台灣市場市佔率第一，但收費模式仍有限。</w:t>
            </w:r>
          </w:p>
        </w:tc>
        <w:tc>
          <w:tcPr>
            <w:tcW w:w="2432" w:type="dxa"/>
          </w:tcPr>
          <w:p>
            <w:pPr>
              <w:pStyle w:val="TableParagraph"/>
              <w:spacing w:line="280" w:lineRule="auto" w:before="120"/>
              <w:ind w:left="105" w:right="154"/>
              <w:rPr>
                <w:sz w:val="24"/>
              </w:rPr>
            </w:pPr>
            <w:r>
              <w:rPr>
                <w:spacing w:val="-2"/>
                <w:sz w:val="24"/>
              </w:rPr>
              <w:t>利用既有資源，開拓</w:t>
            </w:r>
            <w:r>
              <w:rPr>
                <w:spacing w:val="-4"/>
                <w:sz w:val="24"/>
              </w:rPr>
              <w:t>新市場。</w:t>
            </w:r>
          </w:p>
        </w:tc>
        <w:tc>
          <w:tcPr>
            <w:tcW w:w="1267" w:type="dxa"/>
          </w:tcPr>
          <w:p>
            <w:pPr>
              <w:pStyle w:val="TableParagraph"/>
              <w:spacing w:before="300"/>
              <w:ind w:left="105"/>
              <w:rPr>
                <w:sz w:val="24"/>
              </w:rPr>
            </w:pPr>
            <w:r>
              <w:rPr>
                <w:spacing w:val="-3"/>
                <w:sz w:val="24"/>
              </w:rPr>
              <w:t>生態協調</w:t>
            </w:r>
          </w:p>
        </w:tc>
      </w:tr>
    </w:tbl>
    <w:p>
      <w:pPr>
        <w:pStyle w:val="BodyText"/>
        <w:spacing w:before="212"/>
        <w:ind w:left="0" w:right="79"/>
        <w:jc w:val="center"/>
      </w:pPr>
      <w:r>
        <w:rPr>
          <w:spacing w:val="-1"/>
        </w:rPr>
        <w:t>資料來源：本研究整理</w:t>
      </w:r>
    </w:p>
    <w:p>
      <w:pPr>
        <w:pStyle w:val="BodyText"/>
        <w:spacing w:after="0"/>
        <w:jc w:val="center"/>
        <w:sectPr>
          <w:footerReference w:type="default" r:id="rId128"/>
          <w:pgSz w:w="11910" w:h="16840"/>
          <w:pgMar w:header="0" w:footer="1197" w:top="1780" w:bottom="1380" w:left="1700" w:right="1417"/>
        </w:sectPr>
      </w:pPr>
    </w:p>
    <w:p>
      <w:pPr>
        <w:pStyle w:val="Heading4"/>
        <w:numPr>
          <w:ilvl w:val="2"/>
          <w:numId w:val="37"/>
        </w:numPr>
        <w:tabs>
          <w:tab w:pos="851" w:val="left" w:leader="none"/>
        </w:tabs>
        <w:spacing w:line="409" w:lineRule="exact" w:before="0" w:after="0"/>
        <w:ind w:left="851" w:right="0" w:hanging="360"/>
        <w:jc w:val="left"/>
      </w:pPr>
      <w:r>
        <w:rPr>
          <w:spacing w:val="-1"/>
        </w:rPr>
        <w:t>以資源和諧的跨界管理機制為觀點，探討照護科技公司如何整合有形與</w:t>
      </w:r>
    </w:p>
    <w:p>
      <w:pPr>
        <w:spacing w:line="292" w:lineRule="auto" w:before="98"/>
        <w:ind w:left="851" w:right="487" w:firstLine="0"/>
        <w:jc w:val="left"/>
        <w:rPr>
          <w:rFonts w:ascii="Microsoft JhengHei" w:eastAsia="Microsoft JhengHei"/>
          <w:b/>
          <w:sz w:val="24"/>
        </w:rPr>
      </w:pPr>
      <w:r>
        <w:rPr>
          <w:rFonts w:ascii="Microsoft JhengHei" w:eastAsia="Microsoft JhengHei"/>
          <w:b/>
          <w:spacing w:val="-2"/>
          <w:sz w:val="24"/>
        </w:rPr>
        <w:t>無形資源，破傳統框架補足自身不足，強化競爭力並拓展生態系統中的</w:t>
      </w:r>
      <w:r>
        <w:rPr>
          <w:rFonts w:ascii="Microsoft JhengHei" w:eastAsia="Microsoft JhengHei"/>
          <w:b/>
          <w:spacing w:val="-4"/>
          <w:sz w:val="24"/>
        </w:rPr>
        <w:t>營運？</w:t>
      </w:r>
    </w:p>
    <w:p>
      <w:pPr>
        <w:pStyle w:val="BodyText"/>
        <w:spacing w:line="422" w:lineRule="auto" w:before="263"/>
        <w:ind w:left="721" w:right="66" w:firstLine="480"/>
        <w:jc w:val="left"/>
      </w:pPr>
      <w:r>
        <w:rPr>
          <w:spacing w:val="-2"/>
        </w:rPr>
        <w:t>組織的邊界動態調整是資源整合與市場擴展的核心策略，涵蓋從資源</w:t>
      </w:r>
      <w:r>
        <w:rPr>
          <w:spacing w:val="80"/>
        </w:rPr>
        <w:t> </w:t>
      </w:r>
      <w:r>
        <w:rPr>
          <w:spacing w:val="-2"/>
        </w:rPr>
        <w:t>探索到市場部署的多個階段。首先，透過跨界探索不足的資源，並積極與利</w:t>
      </w:r>
      <w:r>
        <w:rPr>
          <w:spacing w:val="-6"/>
        </w:rPr>
        <w:t>害關係人合作，組織能確認資產動態和諧，並重構組織邊界以適應環境變化。</w:t>
      </w:r>
      <w:r>
        <w:rPr>
          <w:spacing w:val="-2"/>
        </w:rPr>
        <w:t>在此基礎上，取得跨域人才、政策法規知識及行業經驗成為拓展的關鍵，尤其在照護產業中，信任是決策與合作的重要考量因素。由於從零開始進入新領域面臨較高困難度，採取投資或併購策略可有效跳過時間累積過程，快速獲取資源並建立市場基礎。</w:t>
      </w:r>
    </w:p>
    <w:p>
      <w:pPr>
        <w:pStyle w:val="BodyText"/>
        <w:spacing w:line="422" w:lineRule="auto" w:before="100"/>
        <w:ind w:left="721" w:right="279" w:firstLine="480"/>
      </w:pPr>
      <w:r>
        <w:rPr/>
        <w:drawing>
          <wp:anchor distT="0" distB="0" distL="0" distR="0" allowOverlap="1" layoutInCell="1" locked="0" behindDoc="1" simplePos="0" relativeHeight="485833216">
            <wp:simplePos x="0" y="0"/>
            <wp:positionH relativeFrom="page">
              <wp:posOffset>3312414</wp:posOffset>
            </wp:positionH>
            <wp:positionV relativeFrom="paragraph">
              <wp:posOffset>133127</wp:posOffset>
            </wp:positionV>
            <wp:extent cx="929640" cy="978408"/>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6" cstate="print"/>
                    <a:stretch>
                      <a:fillRect/>
                    </a:stretch>
                  </pic:blipFill>
                  <pic:spPr>
                    <a:xfrm>
                      <a:off x="0" y="0"/>
                      <a:ext cx="929640" cy="978408"/>
                    </a:xfrm>
                    <a:prstGeom prst="rect">
                      <a:avLst/>
                    </a:prstGeom>
                  </pic:spPr>
                </pic:pic>
              </a:graphicData>
            </a:graphic>
          </wp:anchor>
        </w:drawing>
      </w:r>
      <w:r>
        <w:rPr>
          <w:spacing w:val="-6"/>
        </w:rPr>
        <w:t>接著，組織透過資訊科技的槓桿效應整合技術資源，實現平台化與整合</w:t>
      </w:r>
      <w:r>
        <w:rPr>
          <w:spacing w:val="-6"/>
        </w:rPr>
        <w:t>化，將資訊系統與產品結合，創造持續的產品價值增益。同時，部署既有資源於新市場，能進一步鞏固競爭優勢，實現市場的逐步擴張與資源的最佳化配置。透過動態協調資源、構建合作網絡與技術創新，組織得以在市場中持</w:t>
      </w:r>
      <w:r>
        <w:rPr>
          <w:spacing w:val="-2"/>
        </w:rPr>
        <w:t>續增強競爭力並推動業務成長。</w:t>
      </w:r>
    </w:p>
    <w:p>
      <w:pPr>
        <w:pStyle w:val="BodyText"/>
        <w:spacing w:line="422" w:lineRule="auto" w:before="102"/>
        <w:ind w:left="122" w:right="399" w:firstLine="479"/>
      </w:pPr>
      <w:r>
        <w:rPr>
          <w:spacing w:val="-6"/>
        </w:rPr>
        <w:t>根據研究問題二，本研究歸納出跨界管理機制與資源和諧機制的應用，展示</w:t>
      </w:r>
      <w:r>
        <w:rPr>
          <w:spacing w:val="-2"/>
        </w:rPr>
        <w:t>了照護科技公司如何透過不同的跨界行動達成市場拓展與競爭力提升的目標，</w:t>
      </w:r>
      <w:r>
        <w:rPr>
          <w:spacing w:val="-5"/>
        </w:rPr>
        <w:t>相關分析整理如表 </w:t>
      </w:r>
      <w:r>
        <w:rPr>
          <w:rFonts w:ascii="Times New Roman" w:eastAsia="Times New Roman"/>
        </w:rPr>
        <w:t>6.1-2</w:t>
      </w:r>
      <w:r>
        <w:rPr/>
        <w:t>。</w:t>
      </w:r>
    </w:p>
    <w:p>
      <w:pPr>
        <w:pStyle w:val="Heading4"/>
        <w:tabs>
          <w:tab w:pos="1297" w:val="left" w:leader="none"/>
        </w:tabs>
        <w:spacing w:before="26"/>
        <w:ind w:left="196"/>
        <w:jc w:val="center"/>
      </w:pPr>
      <w:bookmarkStart w:name="_bookmark95" w:id="96"/>
      <w:bookmarkEnd w:id="96"/>
      <w:r>
        <w:rPr>
          <w:b w:val="0"/>
        </w:rPr>
      </w:r>
      <w:r>
        <w:rPr/>
        <w:t>表</w:t>
      </w:r>
      <w:r>
        <w:rPr>
          <w:spacing w:val="61"/>
        </w:rPr>
        <w:t> </w:t>
      </w:r>
      <w:r>
        <w:rPr>
          <w:rFonts w:ascii="Times New Roman" w:eastAsia="Times New Roman"/>
        </w:rPr>
        <w:t>6.1-</w:t>
      </w:r>
      <w:r>
        <w:rPr>
          <w:rFonts w:ascii="Times New Roman" w:eastAsia="Times New Roman"/>
          <w:spacing w:val="-10"/>
        </w:rPr>
        <w:t>2</w:t>
      </w:r>
      <w:r>
        <w:rPr>
          <w:rFonts w:ascii="Times New Roman" w:eastAsia="Times New Roman"/>
        </w:rPr>
        <w:tab/>
      </w:r>
      <w:r>
        <w:rPr/>
        <w:t>跨界管理與資源和諧機制之關聯分</w:t>
      </w:r>
      <w:r>
        <w:rPr>
          <w:spacing w:val="-10"/>
        </w:rPr>
        <w:t>析</w:t>
      </w:r>
    </w:p>
    <w:p>
      <w:pPr>
        <w:pStyle w:val="BodyText"/>
        <w:spacing w:before="17"/>
        <w:ind w:left="0"/>
        <w:jc w:val="left"/>
        <w:rPr>
          <w:rFonts w:ascii="Microsoft JhengHei"/>
          <w:b/>
          <w:sz w:val="9"/>
        </w:rPr>
      </w:pPr>
    </w:p>
    <w:tbl>
      <w:tblPr>
        <w:tblW w:w="0" w:type="auto"/>
        <w:jc w:val="left"/>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3"/>
        <w:gridCol w:w="4374"/>
        <w:gridCol w:w="2466"/>
      </w:tblGrid>
      <w:tr>
        <w:trPr>
          <w:trHeight w:val="539" w:hRule="atLeast"/>
        </w:trPr>
        <w:tc>
          <w:tcPr>
            <w:tcW w:w="1373" w:type="dxa"/>
            <w:shd w:val="clear" w:color="auto" w:fill="E7E6E6"/>
          </w:tcPr>
          <w:p>
            <w:pPr>
              <w:pStyle w:val="TableParagraph"/>
              <w:spacing w:before="23"/>
              <w:ind w:left="9"/>
              <w:jc w:val="center"/>
              <w:rPr>
                <w:rFonts w:ascii="Microsoft JhengHei" w:eastAsia="Microsoft JhengHei"/>
                <w:b/>
                <w:sz w:val="24"/>
              </w:rPr>
            </w:pPr>
            <w:r>
              <w:rPr>
                <w:rFonts w:ascii="Microsoft JhengHei" w:eastAsia="Microsoft JhengHei"/>
                <w:b/>
                <w:spacing w:val="-3"/>
                <w:sz w:val="24"/>
              </w:rPr>
              <w:t>邊界類型</w:t>
            </w:r>
          </w:p>
        </w:tc>
        <w:tc>
          <w:tcPr>
            <w:tcW w:w="4374" w:type="dxa"/>
            <w:shd w:val="clear" w:color="auto" w:fill="E7E6E6"/>
          </w:tcPr>
          <w:p>
            <w:pPr>
              <w:pStyle w:val="TableParagraph"/>
              <w:spacing w:before="23"/>
              <w:ind w:left="1224"/>
              <w:rPr>
                <w:rFonts w:ascii="Microsoft JhengHei" w:eastAsia="Microsoft JhengHei"/>
                <w:b/>
                <w:sz w:val="24"/>
              </w:rPr>
            </w:pPr>
            <w:r>
              <w:rPr>
                <w:rFonts w:ascii="Microsoft JhengHei" w:eastAsia="Microsoft JhengHei"/>
                <w:b/>
                <w:spacing w:val="-2"/>
                <w:sz w:val="24"/>
              </w:rPr>
              <w:t>跨界資源行動策略</w:t>
            </w:r>
          </w:p>
        </w:tc>
        <w:tc>
          <w:tcPr>
            <w:tcW w:w="2466" w:type="dxa"/>
            <w:shd w:val="clear" w:color="auto" w:fill="E7E6E6"/>
          </w:tcPr>
          <w:p>
            <w:pPr>
              <w:pStyle w:val="TableParagraph"/>
              <w:spacing w:before="23"/>
              <w:ind w:left="750"/>
              <w:rPr>
                <w:rFonts w:ascii="Microsoft JhengHei" w:eastAsia="Microsoft JhengHei"/>
                <w:b/>
                <w:sz w:val="24"/>
              </w:rPr>
            </w:pPr>
            <w:r>
              <w:rPr>
                <w:rFonts w:ascii="Microsoft JhengHei" w:eastAsia="Microsoft JhengHei"/>
                <w:b/>
                <w:spacing w:val="-3"/>
                <w:sz w:val="24"/>
              </w:rPr>
              <w:t>關鍵成果</w:t>
            </w:r>
          </w:p>
        </w:tc>
      </w:tr>
      <w:tr>
        <w:trPr>
          <w:trHeight w:val="1403" w:hRule="atLeast"/>
        </w:trPr>
        <w:tc>
          <w:tcPr>
            <w:tcW w:w="1373" w:type="dxa"/>
          </w:tcPr>
          <w:p>
            <w:pPr>
              <w:pStyle w:val="TableParagraph"/>
              <w:spacing w:before="14"/>
              <w:rPr>
                <w:rFonts w:ascii="Microsoft JhengHei"/>
                <w:b/>
                <w:sz w:val="24"/>
              </w:rPr>
            </w:pPr>
          </w:p>
          <w:p>
            <w:pPr>
              <w:pStyle w:val="TableParagraph"/>
              <w:ind w:left="9"/>
              <w:jc w:val="center"/>
              <w:rPr>
                <w:rFonts w:ascii="Microsoft JhengHei" w:eastAsia="Microsoft JhengHei"/>
                <w:b/>
                <w:sz w:val="24"/>
              </w:rPr>
            </w:pPr>
            <w:r>
              <w:rPr>
                <w:rFonts w:ascii="Microsoft JhengHei" w:eastAsia="Microsoft JhengHei"/>
                <w:b/>
                <w:spacing w:val="-3"/>
                <w:sz w:val="24"/>
              </w:rPr>
              <w:t>市場邊界</w:t>
            </w:r>
          </w:p>
        </w:tc>
        <w:tc>
          <w:tcPr>
            <w:tcW w:w="4374" w:type="dxa"/>
          </w:tcPr>
          <w:p>
            <w:pPr>
              <w:pStyle w:val="TableParagraph"/>
              <w:spacing w:before="67"/>
              <w:ind w:left="107"/>
              <w:rPr>
                <w:sz w:val="24"/>
              </w:rPr>
            </w:pPr>
            <w:r>
              <w:rPr>
                <w:spacing w:val="-1"/>
                <w:sz w:val="24"/>
              </w:rPr>
              <w:t>跨越市場邊界，辨識可持續且可複製的</w:t>
            </w:r>
          </w:p>
          <w:p>
            <w:pPr>
              <w:pStyle w:val="TableParagraph"/>
              <w:spacing w:line="470" w:lineRule="atLeast"/>
              <w:ind w:left="107" w:right="174"/>
              <w:rPr>
                <w:sz w:val="24"/>
              </w:rPr>
            </w:pPr>
            <w:r>
              <w:rPr>
                <w:spacing w:val="-2"/>
                <w:sz w:val="24"/>
              </w:rPr>
              <w:t>商業模式，並尋找合作夥伴以擴大市場</w:t>
            </w:r>
            <w:r>
              <w:rPr>
                <w:spacing w:val="-4"/>
                <w:sz w:val="24"/>
              </w:rPr>
              <w:t>規模。</w:t>
            </w:r>
          </w:p>
        </w:tc>
        <w:tc>
          <w:tcPr>
            <w:tcW w:w="2466" w:type="dxa"/>
          </w:tcPr>
          <w:p>
            <w:pPr>
              <w:pStyle w:val="TableParagraph"/>
              <w:spacing w:line="364" w:lineRule="auto" w:before="302"/>
              <w:ind w:left="104" w:right="189"/>
              <w:rPr>
                <w:sz w:val="24"/>
              </w:rPr>
            </w:pPr>
            <w:r>
              <w:rPr>
                <w:spacing w:val="-2"/>
                <w:sz w:val="24"/>
              </w:rPr>
              <w:t>擴大市場影響力，形成穩定的競爭優勢。</w:t>
            </w:r>
          </w:p>
        </w:tc>
      </w:tr>
    </w:tbl>
    <w:p>
      <w:pPr>
        <w:pStyle w:val="TableParagraph"/>
        <w:spacing w:after="0" w:line="364" w:lineRule="auto"/>
        <w:rPr>
          <w:sz w:val="24"/>
        </w:rPr>
        <w:sectPr>
          <w:pgSz w:w="11910" w:h="16840"/>
          <w:pgMar w:header="0" w:footer="1197" w:top="1740" w:bottom="1380" w:left="1700" w:right="1417"/>
        </w:sectPr>
      </w:pPr>
    </w:p>
    <w:tbl>
      <w:tblPr>
        <w:tblW w:w="0" w:type="auto"/>
        <w:jc w:val="left"/>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3"/>
        <w:gridCol w:w="4374"/>
        <w:gridCol w:w="2466"/>
      </w:tblGrid>
      <w:tr>
        <w:trPr>
          <w:trHeight w:val="1871" w:hRule="atLeast"/>
        </w:trPr>
        <w:tc>
          <w:tcPr>
            <w:tcW w:w="1373" w:type="dxa"/>
          </w:tcPr>
          <w:p>
            <w:pPr>
              <w:pStyle w:val="TableParagraph"/>
              <w:spacing w:before="247"/>
              <w:rPr>
                <w:rFonts w:ascii="Microsoft JhengHei"/>
                <w:b/>
                <w:sz w:val="24"/>
              </w:rPr>
            </w:pPr>
          </w:p>
          <w:p>
            <w:pPr>
              <w:pStyle w:val="TableParagraph"/>
              <w:ind w:left="9"/>
              <w:jc w:val="center"/>
              <w:rPr>
                <w:rFonts w:ascii="Microsoft JhengHei" w:eastAsia="Microsoft JhengHei"/>
                <w:b/>
                <w:sz w:val="24"/>
              </w:rPr>
            </w:pPr>
            <w:r>
              <w:rPr>
                <w:rFonts w:ascii="Microsoft JhengHei" w:eastAsia="Microsoft JhengHei"/>
                <w:b/>
                <w:spacing w:val="-3"/>
                <w:sz w:val="24"/>
              </w:rPr>
              <w:t>知識邊界</w:t>
            </w:r>
          </w:p>
        </w:tc>
        <w:tc>
          <w:tcPr>
            <w:tcW w:w="4374" w:type="dxa"/>
          </w:tcPr>
          <w:p>
            <w:pPr>
              <w:pStyle w:val="TableParagraph"/>
              <w:spacing w:line="364" w:lineRule="auto" w:before="67"/>
              <w:ind w:left="107" w:right="173"/>
              <w:jc w:val="both"/>
              <w:rPr>
                <w:sz w:val="24"/>
              </w:rPr>
            </w:pPr>
            <w:r>
              <w:rPr>
                <w:spacing w:val="-2"/>
                <w:sz w:val="24"/>
              </w:rPr>
              <w:t>從外部獲取知識資源，包括人才、政策法規以及實務經驗。以投資方式可有效</w:t>
            </w:r>
            <w:r>
              <w:rPr>
                <w:spacing w:val="-1"/>
                <w:sz w:val="24"/>
              </w:rPr>
              <w:t>跳過累積「信任」的過程，補足知識缺</w:t>
            </w:r>
          </w:p>
          <w:p>
            <w:pPr>
              <w:pStyle w:val="TableParagraph"/>
              <w:spacing w:before="1"/>
              <w:ind w:left="107"/>
              <w:rPr>
                <w:sz w:val="24"/>
              </w:rPr>
            </w:pPr>
            <w:r>
              <w:rPr>
                <w:spacing w:val="-2"/>
                <w:sz w:val="24"/>
              </w:rPr>
              <w:t>口並強化專業能力。</w:t>
            </w:r>
          </w:p>
        </w:tc>
        <w:tc>
          <w:tcPr>
            <w:tcW w:w="2466" w:type="dxa"/>
          </w:tcPr>
          <w:p>
            <w:pPr>
              <w:pStyle w:val="TableParagraph"/>
              <w:spacing w:line="364" w:lineRule="auto" w:before="299"/>
              <w:ind w:left="104" w:right="189"/>
              <w:jc w:val="both"/>
              <w:rPr>
                <w:sz w:val="24"/>
              </w:rPr>
            </w:pPr>
            <w:r>
              <w:rPr>
                <w:spacing w:val="-2"/>
                <w:sz w:val="24"/>
              </w:rPr>
              <w:t>產品與市場需求高度匹配，提升市場適應性與創新能力。</w:t>
            </w:r>
          </w:p>
        </w:tc>
      </w:tr>
      <w:tr>
        <w:trPr>
          <w:trHeight w:val="1872" w:hRule="atLeast"/>
        </w:trPr>
        <w:tc>
          <w:tcPr>
            <w:tcW w:w="1373" w:type="dxa"/>
          </w:tcPr>
          <w:p>
            <w:pPr>
              <w:pStyle w:val="TableParagraph"/>
              <w:spacing w:before="249"/>
              <w:rPr>
                <w:rFonts w:ascii="Microsoft JhengHei"/>
                <w:b/>
                <w:sz w:val="24"/>
              </w:rPr>
            </w:pPr>
          </w:p>
          <w:p>
            <w:pPr>
              <w:pStyle w:val="TableParagraph"/>
              <w:ind w:left="9"/>
              <w:jc w:val="center"/>
              <w:rPr>
                <w:rFonts w:ascii="Microsoft JhengHei" w:eastAsia="Microsoft JhengHei"/>
                <w:b/>
                <w:sz w:val="24"/>
              </w:rPr>
            </w:pPr>
            <w:r>
              <w:rPr>
                <w:rFonts w:ascii="Microsoft JhengHei" w:eastAsia="Microsoft JhengHei"/>
                <w:b/>
                <w:spacing w:val="-3"/>
                <w:sz w:val="24"/>
              </w:rPr>
              <w:t>技術邊界</w:t>
            </w:r>
          </w:p>
        </w:tc>
        <w:tc>
          <w:tcPr>
            <w:tcW w:w="4374" w:type="dxa"/>
          </w:tcPr>
          <w:p>
            <w:pPr>
              <w:pStyle w:val="TableParagraph"/>
              <w:spacing w:line="364" w:lineRule="auto" w:before="67"/>
              <w:ind w:left="107" w:right="174"/>
              <w:rPr>
                <w:sz w:val="24"/>
              </w:rPr>
            </w:pPr>
            <w:r>
              <w:rPr>
                <w:spacing w:val="-2"/>
                <w:sz w:val="24"/>
              </w:rPr>
              <w:t>透過產品系統的槓桿效應整合技術資</w:t>
            </w:r>
            <w:r>
              <w:rPr>
                <w:spacing w:val="-2"/>
                <w:sz w:val="24"/>
              </w:rPr>
              <w:t> 源，創造持續的產品價值增益。同時，</w:t>
            </w:r>
            <w:r>
              <w:rPr>
                <w:spacing w:val="-1"/>
                <w:sz w:val="24"/>
              </w:rPr>
              <w:t>部署既有資源於新市場，進一步鞏固競</w:t>
            </w:r>
          </w:p>
          <w:p>
            <w:pPr>
              <w:pStyle w:val="TableParagraph"/>
              <w:spacing w:before="2"/>
              <w:ind w:left="107"/>
              <w:rPr>
                <w:sz w:val="24"/>
              </w:rPr>
            </w:pPr>
            <w:r>
              <w:rPr>
                <w:spacing w:val="-3"/>
                <w:sz w:val="24"/>
              </w:rPr>
              <w:t>爭優勢。</w:t>
            </w:r>
          </w:p>
        </w:tc>
        <w:tc>
          <w:tcPr>
            <w:tcW w:w="2466" w:type="dxa"/>
          </w:tcPr>
          <w:p>
            <w:pPr>
              <w:pStyle w:val="TableParagraph"/>
              <w:spacing w:line="364" w:lineRule="auto" w:before="302"/>
              <w:ind w:left="104" w:right="188"/>
              <w:jc w:val="both"/>
              <w:rPr>
                <w:sz w:val="24"/>
              </w:rPr>
            </w:pPr>
            <w:r>
              <w:rPr>
                <w:spacing w:val="-2"/>
                <w:sz w:val="24"/>
              </w:rPr>
              <w:t>技術創新使產品模組逐漸豐富，成為競爭優勢的重要基石。</w:t>
            </w:r>
          </w:p>
        </w:tc>
      </w:tr>
    </w:tbl>
    <w:p>
      <w:pPr>
        <w:pStyle w:val="BodyText"/>
        <w:spacing w:before="235"/>
        <w:ind w:left="0" w:right="79"/>
        <w:jc w:val="center"/>
      </w:pPr>
      <w:r>
        <w:rPr>
          <w:spacing w:val="-1"/>
        </w:rPr>
        <w:t>資料來源：本研究整理</w:t>
      </w:r>
    </w:p>
    <w:p>
      <w:pPr>
        <w:pStyle w:val="BodyText"/>
        <w:spacing w:before="105"/>
        <w:ind w:left="0"/>
        <w:jc w:val="left"/>
      </w:pPr>
    </w:p>
    <w:p>
      <w:pPr>
        <w:pStyle w:val="BodyText"/>
        <w:spacing w:line="422" w:lineRule="auto"/>
        <w:ind w:left="2" w:right="398" w:firstLine="424"/>
        <w:jc w:val="left"/>
      </w:pPr>
      <w:r>
        <w:rPr>
          <w:spacing w:val="-2"/>
        </w:rPr>
        <w:t>針對本研究第一章所提出之研究問題，經過多元資料的反覆分析與探討後，彙整出以下研究貢獻與結論：</w:t>
      </w:r>
    </w:p>
    <w:p>
      <w:pPr>
        <w:pStyle w:val="Heading4"/>
        <w:numPr>
          <w:ilvl w:val="0"/>
          <w:numId w:val="38"/>
        </w:numPr>
        <w:tabs>
          <w:tab w:pos="961" w:val="left" w:leader="none"/>
        </w:tabs>
        <w:spacing w:line="292" w:lineRule="auto" w:before="98" w:after="0"/>
        <w:ind w:left="961" w:right="402" w:hanging="480"/>
        <w:jc w:val="left"/>
      </w:pPr>
      <w:r>
        <w:rPr/>
        <w:drawing>
          <wp:anchor distT="0" distB="0" distL="0" distR="0" allowOverlap="1" layoutInCell="1" locked="0" behindDoc="1" simplePos="0" relativeHeight="485833728">
            <wp:simplePos x="0" y="0"/>
            <wp:positionH relativeFrom="page">
              <wp:posOffset>3312414</wp:posOffset>
            </wp:positionH>
            <wp:positionV relativeFrom="paragraph">
              <wp:posOffset>72643</wp:posOffset>
            </wp:positionV>
            <wp:extent cx="929640" cy="978408"/>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6" cstate="print"/>
                    <a:stretch>
                      <a:fillRect/>
                    </a:stretch>
                  </pic:blipFill>
                  <pic:spPr>
                    <a:xfrm>
                      <a:off x="0" y="0"/>
                      <a:ext cx="929640" cy="978408"/>
                    </a:xfrm>
                    <a:prstGeom prst="rect">
                      <a:avLst/>
                    </a:prstGeom>
                  </pic:spPr>
                </pic:pic>
              </a:graphicData>
            </a:graphic>
          </wp:anchor>
        </w:drawing>
      </w:r>
      <w:r>
        <w:rPr>
          <w:spacing w:val="5"/>
        </w:rPr>
        <w:t>觀察以 </w:t>
      </w:r>
      <w:r>
        <w:rPr>
          <w:rFonts w:ascii="Times New Roman" w:eastAsia="Times New Roman"/>
        </w:rPr>
        <w:t>SaaS</w:t>
      </w:r>
      <w:r>
        <w:rPr>
          <w:rFonts w:ascii="Times New Roman" w:eastAsia="Times New Roman"/>
          <w:spacing w:val="20"/>
        </w:rPr>
        <w:t> </w:t>
      </w:r>
      <w:r>
        <w:rPr/>
        <w:t>為產品的照護科技公司如何面對競爭環境改變其組織拓展</w:t>
      </w:r>
      <w:r>
        <w:rPr>
          <w:spacing w:val="-4"/>
        </w:rPr>
        <w:t>策略：</w:t>
      </w:r>
    </w:p>
    <w:p>
      <w:pPr>
        <w:pStyle w:val="BodyText"/>
        <w:spacing w:line="422" w:lineRule="auto" w:before="263"/>
        <w:ind w:left="961" w:right="279" w:firstLine="480"/>
      </w:pPr>
      <w:r>
        <w:rPr>
          <w:spacing w:val="-6"/>
        </w:rPr>
        <w:t>競爭環境的演變歷程顯示，公司從無競爭對手的藍海市場出發，隨後經歷削價競爭的紅海市場，最終進入市場成熟的穩定階段。在此過程中，組織能夠因應外部環境的變化，適時調整策略，以保持競爭力。此外，每</w:t>
      </w:r>
      <w:r>
        <w:rPr>
          <w:spacing w:val="-2"/>
        </w:rPr>
        <w:t>個階段的策略選擇均以現有資源與未來機會為基礎，確保策略方向能夠匹配市場需求與組織發展目標。</w:t>
      </w:r>
    </w:p>
    <w:p>
      <w:pPr>
        <w:pStyle w:val="Heading4"/>
        <w:numPr>
          <w:ilvl w:val="0"/>
          <w:numId w:val="38"/>
        </w:numPr>
        <w:tabs>
          <w:tab w:pos="961" w:val="left" w:leader="none"/>
        </w:tabs>
        <w:spacing w:line="240" w:lineRule="auto" w:before="95" w:after="0"/>
        <w:ind w:left="961" w:right="0" w:hanging="480"/>
        <w:jc w:val="left"/>
      </w:pPr>
      <w:r>
        <w:rPr>
          <w:spacing w:val="18"/>
        </w:rPr>
        <w:t>探索</w:t>
      </w:r>
      <w:r>
        <w:rPr>
          <w:rFonts w:ascii="Times New Roman" w:eastAsia="Times New Roman"/>
        </w:rPr>
        <w:t>SaaS</w:t>
      </w:r>
      <w:r>
        <w:rPr>
          <w:rFonts w:ascii="Times New Roman" w:eastAsia="Times New Roman"/>
          <w:spacing w:val="-23"/>
        </w:rPr>
        <w:t> </w:t>
      </w:r>
      <w:r>
        <w:rPr>
          <w:spacing w:val="-4"/>
        </w:rPr>
        <w:t>為產品的照護科技公司如何透過跨界管理機制突破資源限制：</w:t>
      </w:r>
    </w:p>
    <w:p>
      <w:pPr>
        <w:pStyle w:val="BodyText"/>
        <w:spacing w:line="422" w:lineRule="auto" w:before="358"/>
        <w:ind w:left="961" w:right="278" w:firstLine="480"/>
      </w:pPr>
      <w:r>
        <w:rPr>
          <w:rFonts w:ascii="Times New Roman" w:eastAsia="Times New Roman"/>
        </w:rPr>
        <w:t>SaaS </w:t>
      </w:r>
      <w:r>
        <w:rPr/>
        <w:t>為產品的照護科技公司透過跨界管理機制突破資源限制，首先</w:t>
      </w:r>
      <w:r>
        <w:rPr>
          <w:spacing w:val="-6"/>
        </w:rPr>
        <w:t>藉由探索外部合作機會，如投資或併購關鍵利害關係人，快速獲取政策法</w:t>
      </w:r>
      <w:r>
        <w:rPr>
          <w:spacing w:val="-6"/>
        </w:rPr>
        <w:t>規、行業經驗與信任資源；其次，利用資訊科技整合與平台化，實現數據</w:t>
      </w:r>
      <w:r>
        <w:rPr>
          <w:spacing w:val="-23"/>
        </w:rPr>
        <w:t>共享與技術槓桿化，提升資源運用效率；最後，將既有資源部署至新市場，</w:t>
      </w:r>
      <w:r>
        <w:rPr>
          <w:spacing w:val="-2"/>
        </w:rPr>
        <w:t>擴大規模並持續強化創新能力，達成資源動態和諧與市場拓展的目標。</w:t>
      </w:r>
    </w:p>
    <w:p>
      <w:pPr>
        <w:pStyle w:val="BodyText"/>
        <w:spacing w:after="0" w:line="422" w:lineRule="auto"/>
        <w:sectPr>
          <w:type w:val="continuous"/>
          <w:pgSz w:w="11910" w:h="16840"/>
          <w:pgMar w:header="0" w:footer="1197" w:top="1660" w:bottom="1380" w:left="1700" w:right="1417"/>
        </w:sectPr>
      </w:pPr>
    </w:p>
    <w:p>
      <w:pPr>
        <w:pStyle w:val="Heading4"/>
        <w:numPr>
          <w:ilvl w:val="0"/>
          <w:numId w:val="38"/>
        </w:numPr>
        <w:tabs>
          <w:tab w:pos="961" w:val="left" w:leader="none"/>
        </w:tabs>
        <w:spacing w:line="409" w:lineRule="exact" w:before="0" w:after="0"/>
        <w:ind w:left="961" w:right="0" w:hanging="480"/>
        <w:jc w:val="left"/>
      </w:pPr>
      <w:r>
        <w:rPr>
          <w:spacing w:val="-1"/>
        </w:rPr>
        <w:t>以資源和諧觀點發展一套跨界拓展服務生態系之架構圖：</w:t>
      </w:r>
    </w:p>
    <w:p>
      <w:pPr>
        <w:pStyle w:val="BodyText"/>
        <w:spacing w:line="422" w:lineRule="auto" w:before="358"/>
        <w:ind w:left="961" w:right="218" w:firstLine="480"/>
        <w:jc w:val="left"/>
      </w:pPr>
      <w:r>
        <w:rPr/>
        <w:drawing>
          <wp:anchor distT="0" distB="0" distL="0" distR="0" allowOverlap="1" layoutInCell="1" locked="0" behindDoc="0" simplePos="0" relativeHeight="15792640">
            <wp:simplePos x="0" y="0"/>
            <wp:positionH relativeFrom="page">
              <wp:posOffset>1257300</wp:posOffset>
            </wp:positionH>
            <wp:positionV relativeFrom="paragraph">
              <wp:posOffset>970718</wp:posOffset>
            </wp:positionV>
            <wp:extent cx="5400040" cy="3085465"/>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129" cstate="print"/>
                    <a:stretch>
                      <a:fillRect/>
                    </a:stretch>
                  </pic:blipFill>
                  <pic:spPr>
                    <a:xfrm>
                      <a:off x="0" y="0"/>
                      <a:ext cx="5400040" cy="3085465"/>
                    </a:xfrm>
                    <a:prstGeom prst="rect">
                      <a:avLst/>
                    </a:prstGeom>
                  </pic:spPr>
                </pic:pic>
              </a:graphicData>
            </a:graphic>
          </wp:anchor>
        </w:drawing>
      </w:r>
      <w:r>
        <w:rPr>
          <w:spacing w:val="-4"/>
        </w:rPr>
        <w:t>本研究彙整了資源和諧、跨界管理及服務生態系統等理論與現象，建</w:t>
      </w:r>
      <w:r>
        <w:rPr>
          <w:spacing w:val="-6"/>
        </w:rPr>
        <w:t>構出「照護科技公司跨界拓展服務生態系之架構圖」，如圖 </w:t>
      </w:r>
      <w:r>
        <w:rPr>
          <w:rFonts w:ascii="Times New Roman" w:eastAsia="Times New Roman"/>
        </w:rPr>
        <w:t>6.1-1</w:t>
      </w:r>
      <w:r>
        <w:rPr>
          <w:rFonts w:ascii="Times New Roman" w:eastAsia="Times New Roman"/>
          <w:spacing w:val="71"/>
        </w:rPr>
        <w:t> </w:t>
      </w:r>
      <w:r>
        <w:rPr>
          <w:spacing w:val="-4"/>
        </w:rPr>
        <w:t>所示：</w:t>
      </w: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ind w:left="0"/>
        <w:jc w:val="left"/>
      </w:pPr>
    </w:p>
    <w:p>
      <w:pPr>
        <w:pStyle w:val="BodyText"/>
        <w:spacing w:before="53"/>
        <w:ind w:left="0"/>
        <w:jc w:val="left"/>
      </w:pPr>
    </w:p>
    <w:p>
      <w:pPr>
        <w:spacing w:line="396" w:lineRule="auto" w:before="0"/>
        <w:ind w:left="3293" w:right="1522" w:hanging="1573"/>
        <w:jc w:val="left"/>
        <w:rPr>
          <w:sz w:val="24"/>
        </w:rPr>
      </w:pPr>
      <w:r>
        <w:rPr>
          <w:sz w:val="24"/>
        </w:rPr>
        <w:drawing>
          <wp:anchor distT="0" distB="0" distL="0" distR="0" allowOverlap="1" layoutInCell="1" locked="0" behindDoc="1" simplePos="0" relativeHeight="485834240">
            <wp:simplePos x="0" y="0"/>
            <wp:positionH relativeFrom="page">
              <wp:posOffset>3312414</wp:posOffset>
            </wp:positionH>
            <wp:positionV relativeFrom="paragraph">
              <wp:posOffset>-620718</wp:posOffset>
            </wp:positionV>
            <wp:extent cx="929640" cy="978408"/>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6" cstate="print"/>
                    <a:stretch>
                      <a:fillRect/>
                    </a:stretch>
                  </pic:blipFill>
                  <pic:spPr>
                    <a:xfrm>
                      <a:off x="0" y="0"/>
                      <a:ext cx="929640" cy="978408"/>
                    </a:xfrm>
                    <a:prstGeom prst="rect">
                      <a:avLst/>
                    </a:prstGeom>
                  </pic:spPr>
                </pic:pic>
              </a:graphicData>
            </a:graphic>
          </wp:anchor>
        </w:drawing>
      </w:r>
      <w:bookmarkStart w:name="_bookmark96" w:id="97"/>
      <w:bookmarkEnd w:id="97"/>
      <w:r>
        <w:rPr/>
      </w:r>
      <w:r>
        <w:rPr>
          <w:rFonts w:ascii="Microsoft JhengHei" w:eastAsia="Microsoft JhengHei"/>
          <w:b/>
          <w:spacing w:val="20"/>
          <w:sz w:val="24"/>
        </w:rPr>
        <w:t>圖 </w:t>
      </w:r>
      <w:r>
        <w:rPr>
          <w:rFonts w:ascii="Times New Roman" w:eastAsia="Times New Roman"/>
          <w:b/>
          <w:sz w:val="24"/>
        </w:rPr>
        <w:t>6.1-1</w:t>
      </w:r>
      <w:r>
        <w:rPr>
          <w:rFonts w:ascii="Times New Roman" w:eastAsia="Times New Roman"/>
          <w:b/>
          <w:spacing w:val="40"/>
          <w:sz w:val="24"/>
        </w:rPr>
        <w:t> </w:t>
      </w:r>
      <w:r>
        <w:rPr>
          <w:rFonts w:ascii="Microsoft JhengHei" w:eastAsia="Microsoft JhengHei"/>
          <w:b/>
          <w:sz w:val="24"/>
        </w:rPr>
        <w:t>照護科技公司跨界拓展服務生態系之架構圖</w:t>
      </w:r>
      <w:r>
        <w:rPr>
          <w:spacing w:val="-2"/>
          <w:sz w:val="24"/>
        </w:rPr>
        <w:t>資料來源：本研究整理</w:t>
      </w:r>
    </w:p>
    <w:p>
      <w:pPr>
        <w:spacing w:after="0" w:line="396" w:lineRule="auto"/>
        <w:jc w:val="left"/>
        <w:rPr>
          <w:sz w:val="24"/>
        </w:rPr>
        <w:sectPr>
          <w:pgSz w:w="11910" w:h="16840"/>
          <w:pgMar w:header="0" w:footer="1197" w:top="1740" w:bottom="1380" w:left="1700" w:right="1417"/>
        </w:sectPr>
      </w:pPr>
    </w:p>
    <w:p>
      <w:pPr>
        <w:pStyle w:val="Heading2"/>
        <w:numPr>
          <w:ilvl w:val="1"/>
          <w:numId w:val="37"/>
        </w:numPr>
        <w:tabs>
          <w:tab w:pos="480" w:val="left" w:leader="none"/>
        </w:tabs>
        <w:spacing w:line="522" w:lineRule="exact" w:before="0" w:after="0"/>
        <w:ind w:left="480" w:right="0" w:hanging="478"/>
        <w:jc w:val="left"/>
      </w:pPr>
      <w:bookmarkStart w:name="_bookmark97" w:id="98"/>
      <w:bookmarkEnd w:id="98"/>
      <w:r>
        <w:rPr>
          <w:b w:val="0"/>
        </w:rPr>
      </w:r>
      <w:r>
        <w:rPr>
          <w:spacing w:val="-4"/>
        </w:rPr>
        <w:t>研究限制</w:t>
      </w:r>
    </w:p>
    <w:p>
      <w:pPr>
        <w:pStyle w:val="BodyText"/>
        <w:spacing w:line="422" w:lineRule="auto" w:before="384"/>
        <w:ind w:left="122" w:right="399" w:firstLine="479"/>
      </w:pPr>
      <w:r>
        <w:rPr>
          <w:spacing w:val="-2"/>
        </w:rPr>
        <w:t>本研究採用質性研究中的個案研究法作為主要研究方法，透過半結構式訪</w:t>
      </w:r>
      <w:r>
        <w:rPr>
          <w:spacing w:val="-4"/>
        </w:rPr>
        <w:t>談蒐集資料，並輔以官方網站、新聞報導、書報雜誌與網路資料等多元外部資訊進行分析。此方法的優勢在於能深入了解研究對象的特定背景與運作模式，並從多角度探討相關議題。然而，個案研究法在應用過程中也存在一定的限制，需謹</w:t>
      </w:r>
      <w:r>
        <w:rPr>
          <w:spacing w:val="-2"/>
        </w:rPr>
        <w:t>慎檢視其影響。以下將對主要限制進行說明：</w:t>
      </w:r>
    </w:p>
    <w:p>
      <w:pPr>
        <w:pStyle w:val="Heading4"/>
        <w:numPr>
          <w:ilvl w:val="2"/>
          <w:numId w:val="37"/>
        </w:numPr>
        <w:tabs>
          <w:tab w:pos="781" w:val="left" w:leader="none"/>
        </w:tabs>
        <w:spacing w:line="240" w:lineRule="auto" w:before="95" w:after="0"/>
        <w:ind w:left="781" w:right="0" w:hanging="300"/>
        <w:jc w:val="left"/>
      </w:pPr>
      <w:r>
        <w:rPr>
          <w:spacing w:val="-1"/>
        </w:rPr>
        <w:t>資料適用產業的局限性</w:t>
      </w:r>
    </w:p>
    <w:p>
      <w:pPr>
        <w:pStyle w:val="BodyText"/>
        <w:spacing w:line="422" w:lineRule="auto" w:before="286"/>
        <w:ind w:left="481" w:right="279" w:firstLine="480"/>
      </w:pPr>
      <w:r>
        <w:rPr/>
        <w:drawing>
          <wp:anchor distT="0" distB="0" distL="0" distR="0" allowOverlap="1" layoutInCell="1" locked="0" behindDoc="1" simplePos="0" relativeHeight="485835264">
            <wp:simplePos x="0" y="0"/>
            <wp:positionH relativeFrom="page">
              <wp:posOffset>3312414</wp:posOffset>
            </wp:positionH>
            <wp:positionV relativeFrom="paragraph">
              <wp:posOffset>1051597</wp:posOffset>
            </wp:positionV>
            <wp:extent cx="929640" cy="978408"/>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由於個案研究法的結論深受個案所處的時空背景與產業環境影響，其研</w:t>
      </w:r>
      <w:r>
        <w:rPr>
          <w:spacing w:val="-6"/>
        </w:rPr>
        <w:t>究結果可能因個案組織的差異而有所不同。因此，本研究所得的結論主要適用</w:t>
      </w:r>
      <w:r>
        <w:rPr>
          <w:spacing w:val="-2"/>
        </w:rPr>
        <w:t>於研究對象所屬的特定背景，難以直接推論至其他組織或產業。</w:t>
      </w:r>
    </w:p>
    <w:p>
      <w:pPr>
        <w:pStyle w:val="Heading4"/>
        <w:numPr>
          <w:ilvl w:val="2"/>
          <w:numId w:val="37"/>
        </w:numPr>
        <w:tabs>
          <w:tab w:pos="781" w:val="left" w:leader="none"/>
        </w:tabs>
        <w:spacing w:line="240" w:lineRule="auto" w:before="26" w:after="0"/>
        <w:ind w:left="781" w:right="0" w:hanging="300"/>
        <w:jc w:val="left"/>
      </w:pPr>
      <w:r>
        <w:rPr>
          <w:spacing w:val="-1"/>
        </w:rPr>
        <w:t>資料切入角度不夠完整</w:t>
      </w:r>
    </w:p>
    <w:p>
      <w:pPr>
        <w:pStyle w:val="BodyText"/>
        <w:spacing w:line="422" w:lineRule="auto" w:before="286"/>
        <w:ind w:left="481" w:right="279" w:firstLine="480"/>
      </w:pPr>
      <w:r>
        <w:rPr>
          <w:spacing w:val="-2"/>
        </w:rPr>
        <w:t>在半結構式訪談中，資料蒐集的過程可能受到受訪者主觀意識或偏好的</w:t>
      </w:r>
      <w:r>
        <w:rPr>
          <w:spacing w:val="-6"/>
        </w:rPr>
        <w:t>影響，導致資料的完整性與中立性受到挑戰。此外，受限於訪談範圍與內容，</w:t>
      </w:r>
      <w:r>
        <w:rPr>
          <w:spacing w:val="-7"/>
        </w:rPr>
        <w:t>研究者可能僅能捕捉到部分現象或觀點，無法全面反映研究對象的實際情況。</w:t>
      </w:r>
    </w:p>
    <w:p>
      <w:pPr>
        <w:pStyle w:val="Heading4"/>
        <w:numPr>
          <w:ilvl w:val="2"/>
          <w:numId w:val="37"/>
        </w:numPr>
        <w:tabs>
          <w:tab w:pos="781" w:val="left" w:leader="none"/>
        </w:tabs>
        <w:spacing w:line="240" w:lineRule="auto" w:before="25" w:after="0"/>
        <w:ind w:left="781" w:right="0" w:hanging="300"/>
        <w:jc w:val="left"/>
      </w:pPr>
      <w:r>
        <w:rPr>
          <w:spacing w:val="-2"/>
        </w:rPr>
        <w:t>結果一般性</w:t>
      </w:r>
    </w:p>
    <w:p>
      <w:pPr>
        <w:pStyle w:val="BodyText"/>
        <w:spacing w:line="422" w:lineRule="auto" w:before="286"/>
        <w:ind w:left="481" w:right="279" w:firstLine="480"/>
      </w:pPr>
      <w:r>
        <w:rPr>
          <w:spacing w:val="-6"/>
        </w:rPr>
        <w:t>由於個案分析的本質，研究者在解釋個案結果時，可能基於有限的事實進行概括。然而，實際情況通常受到多重因素的影響，因此研究結論的廣泛通用</w:t>
      </w:r>
      <w:r>
        <w:rPr>
          <w:spacing w:val="-2"/>
        </w:rPr>
        <w:t>性需要謹慎評估。本研究建議未來的研究可採用更多個案或結合量化研究方法，以進一步驗證結果的普遍適用性。</w:t>
      </w:r>
    </w:p>
    <w:p>
      <w:pPr>
        <w:pStyle w:val="BodyText"/>
        <w:spacing w:after="0" w:line="422" w:lineRule="auto"/>
        <w:sectPr>
          <w:pgSz w:w="11910" w:h="16840"/>
          <w:pgMar w:header="0" w:footer="1197" w:top="1780" w:bottom="1380" w:left="1700" w:right="1417"/>
        </w:sectPr>
      </w:pPr>
    </w:p>
    <w:p>
      <w:pPr>
        <w:pStyle w:val="Heading2"/>
        <w:numPr>
          <w:ilvl w:val="1"/>
          <w:numId w:val="37"/>
        </w:numPr>
        <w:tabs>
          <w:tab w:pos="480" w:val="left" w:leader="none"/>
        </w:tabs>
        <w:spacing w:line="522" w:lineRule="exact" w:before="0" w:after="0"/>
        <w:ind w:left="480" w:right="0" w:hanging="478"/>
        <w:jc w:val="left"/>
      </w:pPr>
      <w:bookmarkStart w:name="_bookmark98" w:id="99"/>
      <w:bookmarkEnd w:id="99"/>
      <w:r>
        <w:rPr>
          <w:b w:val="0"/>
        </w:rPr>
      </w:r>
      <w:r>
        <w:rPr>
          <w:spacing w:val="-4"/>
        </w:rPr>
        <w:t>未來研究方向</w:t>
      </w:r>
    </w:p>
    <w:p>
      <w:pPr>
        <w:pStyle w:val="BodyText"/>
        <w:spacing w:line="422" w:lineRule="auto" w:before="384"/>
        <w:ind w:left="122" w:right="399" w:firstLine="479"/>
        <w:jc w:val="left"/>
      </w:pPr>
      <w:r>
        <w:rPr>
          <w:spacing w:val="-6"/>
        </w:rPr>
        <w:t>根據本研究的結果與限制，提出以下未來研究建議，旨在為後續研究提供參</w:t>
      </w:r>
      <w:r>
        <w:rPr>
          <w:spacing w:val="-4"/>
        </w:rPr>
        <w:t>考方向：</w:t>
      </w:r>
    </w:p>
    <w:p>
      <w:pPr>
        <w:pStyle w:val="Heading4"/>
        <w:numPr>
          <w:ilvl w:val="2"/>
          <w:numId w:val="37"/>
        </w:numPr>
        <w:tabs>
          <w:tab w:pos="981" w:val="left" w:leader="none"/>
        </w:tabs>
        <w:spacing w:line="240" w:lineRule="auto" w:before="98" w:after="0"/>
        <w:ind w:left="981" w:right="0" w:hanging="300"/>
        <w:jc w:val="left"/>
      </w:pPr>
      <w:r>
        <w:rPr>
          <w:spacing w:val="-1"/>
        </w:rPr>
        <w:t>多重個案的比較與分析</w:t>
      </w:r>
    </w:p>
    <w:p>
      <w:pPr>
        <w:pStyle w:val="BodyText"/>
        <w:spacing w:line="422" w:lineRule="auto" w:before="358"/>
        <w:ind w:left="601" w:right="399" w:firstLine="480"/>
      </w:pPr>
      <w:r>
        <w:rPr>
          <w:spacing w:val="-2"/>
        </w:rPr>
        <w:t>本研究以單一個案為分析對象，這種方法雖能深入揭示個案的特定現</w:t>
      </w:r>
      <w:r>
        <w:rPr>
          <w:spacing w:val="-6"/>
        </w:rPr>
        <w:t>象，但難以涵蓋組織間的差異。未來研究可採用多重個案比較的方法，分析不同組織在類似背景下的應對策略，揭示其共性與差異，進一步提升研究結</w:t>
      </w:r>
      <w:r>
        <w:rPr>
          <w:spacing w:val="-2"/>
        </w:rPr>
        <w:t>果的普遍性與產業應用價值。</w:t>
      </w:r>
    </w:p>
    <w:p>
      <w:pPr>
        <w:pStyle w:val="Heading4"/>
        <w:numPr>
          <w:ilvl w:val="2"/>
          <w:numId w:val="37"/>
        </w:numPr>
        <w:tabs>
          <w:tab w:pos="901" w:val="left" w:leader="none"/>
        </w:tabs>
        <w:spacing w:line="240" w:lineRule="auto" w:before="97" w:after="0"/>
        <w:ind w:left="901" w:right="0" w:hanging="300"/>
        <w:jc w:val="left"/>
      </w:pPr>
      <w:r>
        <w:rPr>
          <w:spacing w:val="-1"/>
        </w:rPr>
        <w:t>理論視角的多樣化應用</w:t>
      </w:r>
    </w:p>
    <w:p>
      <w:pPr>
        <w:pStyle w:val="BodyText"/>
        <w:spacing w:line="422" w:lineRule="auto" w:before="358"/>
        <w:ind w:left="601" w:right="186" w:firstLine="480"/>
        <w:jc w:val="left"/>
      </w:pPr>
      <w:r>
        <w:rPr/>
        <w:drawing>
          <wp:anchor distT="0" distB="0" distL="0" distR="0" allowOverlap="1" layoutInCell="1" locked="0" behindDoc="1" simplePos="0" relativeHeight="485835776">
            <wp:simplePos x="0" y="0"/>
            <wp:positionH relativeFrom="page">
              <wp:posOffset>3312414</wp:posOffset>
            </wp:positionH>
            <wp:positionV relativeFrom="paragraph">
              <wp:posOffset>136862</wp:posOffset>
            </wp:positionV>
            <wp:extent cx="929640" cy="978408"/>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6" cstate="print"/>
                    <a:stretch>
                      <a:fillRect/>
                    </a:stretch>
                  </pic:blipFill>
                  <pic:spPr>
                    <a:xfrm>
                      <a:off x="0" y="0"/>
                      <a:ext cx="929640" cy="978408"/>
                    </a:xfrm>
                    <a:prstGeom prst="rect">
                      <a:avLst/>
                    </a:prstGeom>
                  </pic:spPr>
                </pic:pic>
              </a:graphicData>
            </a:graphic>
          </wp:anchor>
        </w:drawing>
      </w:r>
      <w:r>
        <w:rPr>
          <w:spacing w:val="-2"/>
        </w:rPr>
        <w:t>本研究主要基於跨界管理和資源和諧理論框架進行分析。未來研究可</w:t>
      </w:r>
      <w:r>
        <w:rPr>
          <w:spacing w:val="80"/>
        </w:rPr>
        <w:t> </w:t>
      </w:r>
      <w:r>
        <w:rPr>
          <w:spacing w:val="-6"/>
        </w:rPr>
        <w:t>嘗試引入其他理論，如動態能力或社會資本理論，以多元視角構建研究框架，</w:t>
      </w:r>
      <w:r>
        <w:rPr>
          <w:spacing w:val="-2"/>
        </w:rPr>
        <w:t>豐富對研究現象的理解。</w:t>
      </w:r>
    </w:p>
    <w:p>
      <w:pPr>
        <w:pStyle w:val="Heading4"/>
        <w:numPr>
          <w:ilvl w:val="2"/>
          <w:numId w:val="37"/>
        </w:numPr>
        <w:tabs>
          <w:tab w:pos="1021" w:val="left" w:leader="none"/>
        </w:tabs>
        <w:spacing w:line="240" w:lineRule="auto" w:before="97" w:after="0"/>
        <w:ind w:left="1021" w:right="0" w:hanging="300"/>
        <w:jc w:val="left"/>
      </w:pPr>
      <w:r>
        <w:rPr>
          <w:spacing w:val="-1"/>
        </w:rPr>
        <w:t>更廣泛與深入的資料搜集</w:t>
      </w:r>
    </w:p>
    <w:p>
      <w:pPr>
        <w:pStyle w:val="BodyText"/>
        <w:spacing w:line="422" w:lineRule="auto" w:before="358"/>
        <w:ind w:left="601" w:right="399" w:firstLine="480"/>
      </w:pPr>
      <w:r>
        <w:rPr>
          <w:spacing w:val="-6"/>
        </w:rPr>
        <w:t>本研究的資料深度與廣度尚有提升空間。未來研究可增加訪談次數，並擴展至更多組織內部角色，如中層管理者、一線員工或合作夥伴，以獲取更</w:t>
      </w:r>
      <w:r>
        <w:rPr>
          <w:spacing w:val="-2"/>
        </w:rPr>
        <w:t>全面的視角。</w:t>
      </w:r>
    </w:p>
    <w:p>
      <w:pPr>
        <w:pStyle w:val="Heading4"/>
        <w:tabs>
          <w:tab w:pos="961" w:val="left" w:leader="none"/>
        </w:tabs>
        <w:spacing w:before="97"/>
        <w:ind w:left="481"/>
      </w:pPr>
      <w:r>
        <w:rPr>
          <w:rFonts w:ascii="Times New Roman" w:eastAsia="Times New Roman"/>
          <w:spacing w:val="-5"/>
        </w:rPr>
        <w:t>1.</w:t>
      </w:r>
      <w:r>
        <w:rPr>
          <w:rFonts w:ascii="Times New Roman" w:eastAsia="Times New Roman"/>
        </w:rPr>
        <w:tab/>
      </w:r>
      <w:r>
        <w:rPr>
          <w:spacing w:val="-2"/>
        </w:rPr>
        <w:t>拓展研究對象與範疇</w:t>
      </w:r>
    </w:p>
    <w:p>
      <w:pPr>
        <w:pStyle w:val="BodyText"/>
        <w:spacing w:line="422" w:lineRule="auto" w:before="359"/>
        <w:ind w:left="601" w:right="399" w:firstLine="480"/>
      </w:pPr>
      <w:r>
        <w:rPr>
          <w:spacing w:val="-6"/>
        </w:rPr>
        <w:t>來研究建議將範疇擴展至其他類型組織，特別是在照護科技領域中，如機器人應用、智慧環境設計等新技術產品。這些新興技術的應用場景和市場</w:t>
      </w:r>
      <w:r>
        <w:rPr>
          <w:spacing w:val="-2"/>
        </w:rPr>
        <w:t>需求可能與傳統企業大不相同，其特性和挑戰也可能提供更豐富的研究機</w:t>
      </w:r>
      <w:r>
        <w:rPr>
          <w:spacing w:val="-6"/>
        </w:rPr>
        <w:t>會。</w:t>
      </w:r>
    </w:p>
    <w:p>
      <w:pPr>
        <w:pStyle w:val="BodyText"/>
        <w:spacing w:after="0" w:line="422" w:lineRule="auto"/>
        <w:sectPr>
          <w:pgSz w:w="11910" w:h="16840"/>
          <w:pgMar w:header="0" w:footer="1197" w:top="1780" w:bottom="1380" w:left="1700" w:right="1417"/>
        </w:sectPr>
      </w:pPr>
    </w:p>
    <w:p>
      <w:pPr>
        <w:pStyle w:val="Heading1"/>
        <w:ind w:left="196" w:right="595"/>
      </w:pPr>
      <w:bookmarkStart w:name="_bookmark99" w:id="100"/>
      <w:bookmarkEnd w:id="100"/>
      <w:r>
        <w:rPr>
          <w:b w:val="0"/>
        </w:rPr>
      </w:r>
      <w:r>
        <w:rPr>
          <w:spacing w:val="-2"/>
        </w:rPr>
        <w:t>第七章、參考文獻</w:t>
      </w:r>
    </w:p>
    <w:p>
      <w:pPr>
        <w:pStyle w:val="Heading3"/>
        <w:spacing w:before="318"/>
        <w:ind w:left="122"/>
      </w:pPr>
      <w:r>
        <w:rPr>
          <w:spacing w:val="-3"/>
        </w:rPr>
        <w:t>中文文獻</w:t>
      </w:r>
    </w:p>
    <w:p>
      <w:pPr>
        <w:pStyle w:val="BodyText"/>
        <w:spacing w:before="416"/>
        <w:ind w:left="122"/>
        <w:jc w:val="left"/>
      </w:pPr>
      <w:r>
        <w:rPr>
          <w:spacing w:val="-1"/>
        </w:rPr>
        <w:t>陳向明 </w:t>
      </w:r>
      <w:r>
        <w:rPr>
          <w:rFonts w:ascii="Times New Roman" w:eastAsia="Times New Roman"/>
        </w:rPr>
        <w:t>(2002)</w:t>
      </w:r>
      <w:r>
        <w:rPr>
          <w:spacing w:val="-1"/>
        </w:rPr>
        <w:t>。社会科學質的硏究。五南圖書出版股份有限公司。</w:t>
      </w:r>
    </w:p>
    <w:p>
      <w:pPr>
        <w:pStyle w:val="BodyText"/>
        <w:spacing w:before="74"/>
        <w:ind w:left="0"/>
        <w:jc w:val="left"/>
      </w:pPr>
    </w:p>
    <w:p>
      <w:pPr>
        <w:pStyle w:val="Heading3"/>
        <w:spacing w:before="0"/>
        <w:ind w:left="122"/>
      </w:pPr>
      <w:r>
        <w:rPr>
          <w:spacing w:val="-4"/>
        </w:rPr>
        <w:t>英文文獻</w:t>
      </w:r>
    </w:p>
    <w:p>
      <w:pPr>
        <w:pStyle w:val="BodyText"/>
        <w:spacing w:line="470" w:lineRule="auto" w:before="445"/>
        <w:ind w:left="481" w:right="401" w:hanging="480"/>
        <w:rPr>
          <w:rFonts w:ascii="Times New Roman" w:hAnsi="Times New Roman"/>
        </w:rPr>
      </w:pPr>
      <w:r>
        <w:rPr>
          <w:rFonts w:ascii="Times New Roman" w:hAnsi="Times New Roman"/>
        </w:rPr>
        <w:t>Agarwal,</w:t>
      </w:r>
      <w:r>
        <w:rPr>
          <w:rFonts w:ascii="Times New Roman" w:hAnsi="Times New Roman"/>
          <w:spacing w:val="-15"/>
        </w:rPr>
        <w:t> </w:t>
      </w:r>
      <w:r>
        <w:rPr>
          <w:rFonts w:ascii="Times New Roman" w:hAnsi="Times New Roman"/>
        </w:rPr>
        <w:t>R.,</w:t>
      </w:r>
      <w:r>
        <w:rPr>
          <w:rFonts w:ascii="Times New Roman" w:hAnsi="Times New Roman"/>
          <w:spacing w:val="-13"/>
        </w:rPr>
        <w:t> </w:t>
      </w:r>
      <w:r>
        <w:rPr>
          <w:rFonts w:ascii="Times New Roman" w:hAnsi="Times New Roman"/>
        </w:rPr>
        <w:t>Gao,</w:t>
      </w:r>
      <w:r>
        <w:rPr>
          <w:rFonts w:ascii="Times New Roman" w:hAnsi="Times New Roman"/>
          <w:spacing w:val="-11"/>
        </w:rPr>
        <w:t> </w:t>
      </w:r>
      <w:r>
        <w:rPr>
          <w:rFonts w:ascii="Times New Roman" w:hAnsi="Times New Roman"/>
        </w:rPr>
        <w:t>G.,</w:t>
      </w:r>
      <w:r>
        <w:rPr>
          <w:rFonts w:ascii="Times New Roman" w:hAnsi="Times New Roman"/>
          <w:spacing w:val="-11"/>
        </w:rPr>
        <w:t> </w:t>
      </w:r>
      <w:r>
        <w:rPr>
          <w:rFonts w:ascii="Times New Roman" w:hAnsi="Times New Roman"/>
        </w:rPr>
        <w:t>DesRoches,</w:t>
      </w:r>
      <w:r>
        <w:rPr>
          <w:rFonts w:ascii="Times New Roman" w:hAnsi="Times New Roman"/>
          <w:spacing w:val="-10"/>
        </w:rPr>
        <w:t> </w:t>
      </w:r>
      <w:r>
        <w:rPr>
          <w:rFonts w:ascii="Times New Roman" w:hAnsi="Times New Roman"/>
        </w:rPr>
        <w:t>C.,</w:t>
      </w:r>
      <w:r>
        <w:rPr>
          <w:rFonts w:ascii="Times New Roman" w:hAnsi="Times New Roman"/>
          <w:spacing w:val="-11"/>
        </w:rPr>
        <w:t> </w:t>
      </w:r>
      <w:r>
        <w:rPr>
          <w:rFonts w:ascii="Times New Roman" w:hAnsi="Times New Roman"/>
        </w:rPr>
        <w:t>&amp;</w:t>
      </w:r>
      <w:r>
        <w:rPr>
          <w:rFonts w:ascii="Times New Roman" w:hAnsi="Times New Roman"/>
          <w:spacing w:val="-10"/>
        </w:rPr>
        <w:t> </w:t>
      </w:r>
      <w:r>
        <w:rPr>
          <w:rFonts w:ascii="Times New Roman" w:hAnsi="Times New Roman"/>
        </w:rPr>
        <w:t>Jha,</w:t>
      </w:r>
      <w:r>
        <w:rPr>
          <w:rFonts w:ascii="Times New Roman" w:hAnsi="Times New Roman"/>
          <w:spacing w:val="-15"/>
        </w:rPr>
        <w:t> </w:t>
      </w:r>
      <w:r>
        <w:rPr>
          <w:rFonts w:ascii="Times New Roman" w:hAnsi="Times New Roman"/>
        </w:rPr>
        <w:t>A.</w:t>
      </w:r>
      <w:r>
        <w:rPr>
          <w:rFonts w:ascii="Times New Roman" w:hAnsi="Times New Roman"/>
          <w:spacing w:val="-11"/>
        </w:rPr>
        <w:t> </w:t>
      </w:r>
      <w:r>
        <w:rPr>
          <w:rFonts w:ascii="Times New Roman" w:hAnsi="Times New Roman"/>
        </w:rPr>
        <w:t>K.</w:t>
      </w:r>
      <w:r>
        <w:rPr>
          <w:rFonts w:ascii="Times New Roman" w:hAnsi="Times New Roman"/>
          <w:spacing w:val="-11"/>
        </w:rPr>
        <w:t> </w:t>
      </w:r>
      <w:r>
        <w:rPr>
          <w:rFonts w:ascii="Times New Roman" w:hAnsi="Times New Roman"/>
        </w:rPr>
        <w:t>(2010).</w:t>
      </w:r>
      <w:r>
        <w:rPr>
          <w:rFonts w:ascii="Times New Roman" w:hAnsi="Times New Roman"/>
          <w:spacing w:val="-10"/>
        </w:rPr>
        <w:t> </w:t>
      </w:r>
      <w:r>
        <w:rPr>
          <w:rFonts w:ascii="Times New Roman" w:hAnsi="Times New Roman"/>
        </w:rPr>
        <w:t>Research</w:t>
      </w:r>
      <w:r>
        <w:rPr>
          <w:rFonts w:ascii="Times New Roman" w:hAnsi="Times New Roman"/>
          <w:spacing w:val="-11"/>
        </w:rPr>
        <w:t> </w:t>
      </w:r>
      <w:r>
        <w:rPr>
          <w:rFonts w:ascii="Times New Roman" w:hAnsi="Times New Roman"/>
        </w:rPr>
        <w:t>commentary—The digital</w:t>
      </w:r>
      <w:r>
        <w:rPr>
          <w:rFonts w:ascii="Times New Roman" w:hAnsi="Times New Roman"/>
          <w:spacing w:val="-14"/>
        </w:rPr>
        <w:t> </w:t>
      </w:r>
      <w:r>
        <w:rPr>
          <w:rFonts w:ascii="Times New Roman" w:hAnsi="Times New Roman"/>
        </w:rPr>
        <w:t>transformation</w:t>
      </w:r>
      <w:r>
        <w:rPr>
          <w:rFonts w:ascii="Times New Roman" w:hAnsi="Times New Roman"/>
          <w:spacing w:val="-14"/>
        </w:rPr>
        <w:t> </w:t>
      </w:r>
      <w:r>
        <w:rPr>
          <w:rFonts w:ascii="Times New Roman" w:hAnsi="Times New Roman"/>
        </w:rPr>
        <w:t>of</w:t>
      </w:r>
      <w:r>
        <w:rPr>
          <w:rFonts w:ascii="Times New Roman" w:hAnsi="Times New Roman"/>
          <w:spacing w:val="-10"/>
        </w:rPr>
        <w:t> </w:t>
      </w:r>
      <w:r>
        <w:rPr>
          <w:rFonts w:ascii="Times New Roman" w:hAnsi="Times New Roman"/>
        </w:rPr>
        <w:t>healthcare:</w:t>
      </w:r>
      <w:r>
        <w:rPr>
          <w:rFonts w:ascii="Times New Roman" w:hAnsi="Times New Roman"/>
          <w:spacing w:val="-14"/>
        </w:rPr>
        <w:t> </w:t>
      </w:r>
      <w:r>
        <w:rPr>
          <w:rFonts w:ascii="Times New Roman" w:hAnsi="Times New Roman"/>
        </w:rPr>
        <w:t>Current</w:t>
      </w:r>
      <w:r>
        <w:rPr>
          <w:rFonts w:ascii="Times New Roman" w:hAnsi="Times New Roman"/>
          <w:spacing w:val="-14"/>
        </w:rPr>
        <w:t> </w:t>
      </w:r>
      <w:r>
        <w:rPr>
          <w:rFonts w:ascii="Times New Roman" w:hAnsi="Times New Roman"/>
        </w:rPr>
        <w:t>status</w:t>
      </w:r>
      <w:r>
        <w:rPr>
          <w:rFonts w:ascii="Times New Roman" w:hAnsi="Times New Roman"/>
          <w:spacing w:val="-11"/>
        </w:rPr>
        <w:t> </w:t>
      </w:r>
      <w:r>
        <w:rPr>
          <w:rFonts w:ascii="Times New Roman" w:hAnsi="Times New Roman"/>
        </w:rPr>
        <w:t>and</w:t>
      </w:r>
      <w:r>
        <w:rPr>
          <w:rFonts w:ascii="Times New Roman" w:hAnsi="Times New Roman"/>
          <w:spacing w:val="-14"/>
        </w:rPr>
        <w:t> </w:t>
      </w:r>
      <w:r>
        <w:rPr>
          <w:rFonts w:ascii="Times New Roman" w:hAnsi="Times New Roman"/>
        </w:rPr>
        <w:t>the</w:t>
      </w:r>
      <w:r>
        <w:rPr>
          <w:rFonts w:ascii="Times New Roman" w:hAnsi="Times New Roman"/>
          <w:spacing w:val="-12"/>
        </w:rPr>
        <w:t> </w:t>
      </w:r>
      <w:r>
        <w:rPr>
          <w:rFonts w:ascii="Times New Roman" w:hAnsi="Times New Roman"/>
        </w:rPr>
        <w:t>road</w:t>
      </w:r>
      <w:r>
        <w:rPr>
          <w:rFonts w:ascii="Times New Roman" w:hAnsi="Times New Roman"/>
          <w:spacing w:val="-12"/>
        </w:rPr>
        <w:t> </w:t>
      </w:r>
      <w:r>
        <w:rPr>
          <w:rFonts w:ascii="Times New Roman" w:hAnsi="Times New Roman"/>
        </w:rPr>
        <w:t>ahead.</w:t>
      </w:r>
      <w:r>
        <w:rPr>
          <w:rFonts w:ascii="Times New Roman" w:hAnsi="Times New Roman"/>
          <w:spacing w:val="-12"/>
        </w:rPr>
        <w:t> </w:t>
      </w:r>
      <w:r>
        <w:rPr>
          <w:rFonts w:ascii="Times New Roman" w:hAnsi="Times New Roman"/>
        </w:rPr>
        <w:t>Information systems research, 21(4), 796-809.</w:t>
      </w:r>
    </w:p>
    <w:p>
      <w:pPr>
        <w:pStyle w:val="BodyText"/>
        <w:spacing w:line="470" w:lineRule="auto" w:before="105"/>
        <w:ind w:left="481" w:right="404" w:hanging="480"/>
        <w:rPr>
          <w:rFonts w:ascii="Times New Roman"/>
        </w:rPr>
      </w:pPr>
      <w:r>
        <w:rPr>
          <w:rFonts w:ascii="Times New Roman"/>
        </w:rPr>
        <w:drawing>
          <wp:anchor distT="0" distB="0" distL="0" distR="0" allowOverlap="1" layoutInCell="1" locked="0" behindDoc="1" simplePos="0" relativeHeight="485836288">
            <wp:simplePos x="0" y="0"/>
            <wp:positionH relativeFrom="page">
              <wp:posOffset>3312414</wp:posOffset>
            </wp:positionH>
            <wp:positionV relativeFrom="paragraph">
              <wp:posOffset>461726</wp:posOffset>
            </wp:positionV>
            <wp:extent cx="929640" cy="978408"/>
            <wp:effectExtent l="0" t="0" r="0" b="0"/>
            <wp:wrapNone/>
            <wp:docPr id="266" name="Image 266"/>
            <wp:cNvGraphicFramePr>
              <a:graphicFrameLocks/>
            </wp:cNvGraphicFramePr>
            <a:graphic>
              <a:graphicData uri="http://schemas.openxmlformats.org/drawingml/2006/picture">
                <pic:pic>
                  <pic:nvPicPr>
                    <pic:cNvPr id="266" name="Image 266"/>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Ahrne,</w:t>
      </w:r>
      <w:r>
        <w:rPr>
          <w:rFonts w:ascii="Times New Roman"/>
          <w:spacing w:val="80"/>
          <w:w w:val="150"/>
        </w:rPr>
        <w:t> </w:t>
      </w:r>
      <w:r>
        <w:rPr>
          <w:rFonts w:ascii="Times New Roman"/>
        </w:rPr>
        <w:t>G.,</w:t>
      </w:r>
      <w:r>
        <w:rPr>
          <w:rFonts w:ascii="Times New Roman"/>
          <w:spacing w:val="80"/>
          <w:w w:val="150"/>
        </w:rPr>
        <w:t> </w:t>
      </w:r>
      <w:r>
        <w:rPr>
          <w:rFonts w:ascii="Times New Roman"/>
        </w:rPr>
        <w:t>Aspers,</w:t>
      </w:r>
      <w:r>
        <w:rPr>
          <w:rFonts w:ascii="Times New Roman"/>
          <w:spacing w:val="80"/>
          <w:w w:val="150"/>
        </w:rPr>
        <w:t> </w:t>
      </w:r>
      <w:r>
        <w:rPr>
          <w:rFonts w:ascii="Times New Roman"/>
        </w:rPr>
        <w:t>P.,</w:t>
      </w:r>
      <w:r>
        <w:rPr>
          <w:rFonts w:ascii="Times New Roman"/>
          <w:spacing w:val="80"/>
          <w:w w:val="150"/>
        </w:rPr>
        <w:t> </w:t>
      </w:r>
      <w:r>
        <w:rPr>
          <w:rFonts w:ascii="Times New Roman"/>
        </w:rPr>
        <w:t>&amp;</w:t>
      </w:r>
      <w:r>
        <w:rPr>
          <w:rFonts w:ascii="Times New Roman"/>
          <w:spacing w:val="80"/>
          <w:w w:val="150"/>
        </w:rPr>
        <w:t> </w:t>
      </w:r>
      <w:r>
        <w:rPr>
          <w:rFonts w:ascii="Times New Roman"/>
        </w:rPr>
        <w:t>Brunsson,</w:t>
      </w:r>
      <w:r>
        <w:rPr>
          <w:rFonts w:ascii="Times New Roman"/>
          <w:spacing w:val="80"/>
          <w:w w:val="150"/>
        </w:rPr>
        <w:t> </w:t>
      </w:r>
      <w:r>
        <w:rPr>
          <w:rFonts w:ascii="Times New Roman"/>
        </w:rPr>
        <w:t>N.</w:t>
      </w:r>
      <w:r>
        <w:rPr>
          <w:rFonts w:ascii="Times New Roman"/>
          <w:spacing w:val="80"/>
          <w:w w:val="150"/>
        </w:rPr>
        <w:t> </w:t>
      </w:r>
      <w:r>
        <w:rPr>
          <w:rFonts w:ascii="Times New Roman"/>
        </w:rPr>
        <w:t>(2015).</w:t>
      </w:r>
      <w:r>
        <w:rPr>
          <w:rFonts w:ascii="Times New Roman"/>
          <w:spacing w:val="80"/>
          <w:w w:val="150"/>
        </w:rPr>
        <w:t> </w:t>
      </w:r>
      <w:r>
        <w:rPr>
          <w:rFonts w:ascii="Times New Roman"/>
        </w:rPr>
        <w:t>The</w:t>
      </w:r>
      <w:r>
        <w:rPr>
          <w:rFonts w:ascii="Times New Roman"/>
          <w:spacing w:val="80"/>
          <w:w w:val="150"/>
        </w:rPr>
        <w:t> </w:t>
      </w:r>
      <w:r>
        <w:rPr>
          <w:rFonts w:ascii="Times New Roman"/>
        </w:rPr>
        <w:t>organization</w:t>
      </w:r>
      <w:r>
        <w:rPr>
          <w:rFonts w:ascii="Times New Roman"/>
          <w:spacing w:val="80"/>
          <w:w w:val="150"/>
        </w:rPr>
        <w:t> </w:t>
      </w:r>
      <w:r>
        <w:rPr>
          <w:rFonts w:ascii="Times New Roman"/>
        </w:rPr>
        <w:t>of</w:t>
      </w:r>
      <w:r>
        <w:rPr>
          <w:rFonts w:ascii="Times New Roman"/>
          <w:spacing w:val="80"/>
        </w:rPr>
        <w:t> </w:t>
      </w:r>
      <w:r>
        <w:rPr>
          <w:rFonts w:ascii="Times New Roman"/>
        </w:rPr>
        <w:t>markets. *Organization Studies*, *36*(1), 7-27.</w:t>
      </w:r>
    </w:p>
    <w:p>
      <w:pPr>
        <w:pStyle w:val="BodyText"/>
        <w:spacing w:line="470" w:lineRule="auto" w:before="107"/>
        <w:ind w:left="481" w:right="402" w:hanging="480"/>
        <w:rPr>
          <w:rFonts w:ascii="Times New Roman"/>
        </w:rPr>
      </w:pPr>
      <w:r>
        <w:rPr>
          <w:rFonts w:ascii="Times New Roman"/>
        </w:rPr>
        <w:t>Ancona,</w:t>
      </w:r>
      <w:r>
        <w:rPr>
          <w:rFonts w:ascii="Times New Roman"/>
          <w:spacing w:val="40"/>
        </w:rPr>
        <w:t> </w:t>
      </w:r>
      <w:r>
        <w:rPr>
          <w:rFonts w:ascii="Times New Roman"/>
        </w:rPr>
        <w:t>D.</w:t>
      </w:r>
      <w:r>
        <w:rPr>
          <w:rFonts w:ascii="Times New Roman"/>
          <w:spacing w:val="40"/>
        </w:rPr>
        <w:t> </w:t>
      </w:r>
      <w:r>
        <w:rPr>
          <w:rFonts w:ascii="Times New Roman"/>
        </w:rPr>
        <w:t>G.</w:t>
      </w:r>
      <w:r>
        <w:rPr>
          <w:rFonts w:ascii="Times New Roman"/>
          <w:spacing w:val="40"/>
        </w:rPr>
        <w:t> </w:t>
      </w:r>
      <w:r>
        <w:rPr>
          <w:rFonts w:ascii="Times New Roman"/>
        </w:rPr>
        <w:t>(1990).</w:t>
      </w:r>
      <w:r>
        <w:rPr>
          <w:rFonts w:ascii="Times New Roman"/>
          <w:spacing w:val="40"/>
        </w:rPr>
        <w:t> </w:t>
      </w:r>
      <w:r>
        <w:rPr>
          <w:rFonts w:ascii="Times New Roman"/>
        </w:rPr>
        <w:t>Outward</w:t>
      </w:r>
      <w:r>
        <w:rPr>
          <w:rFonts w:ascii="Times New Roman"/>
          <w:spacing w:val="40"/>
        </w:rPr>
        <w:t> </w:t>
      </w:r>
      <w:r>
        <w:rPr>
          <w:rFonts w:ascii="Times New Roman"/>
        </w:rPr>
        <w:t>bound:</w:t>
      </w:r>
      <w:r>
        <w:rPr>
          <w:rFonts w:ascii="Times New Roman"/>
          <w:spacing w:val="40"/>
        </w:rPr>
        <w:t> </w:t>
      </w:r>
      <w:r>
        <w:rPr>
          <w:rFonts w:ascii="Times New Roman"/>
        </w:rPr>
        <w:t>strategic</w:t>
      </w:r>
      <w:r>
        <w:rPr>
          <w:rFonts w:ascii="Times New Roman"/>
          <w:spacing w:val="40"/>
        </w:rPr>
        <w:t> </w:t>
      </w:r>
      <w:r>
        <w:rPr>
          <w:rFonts w:ascii="Times New Roman"/>
        </w:rPr>
        <w:t>for</w:t>
      </w:r>
      <w:r>
        <w:rPr>
          <w:rFonts w:ascii="Times New Roman"/>
          <w:spacing w:val="40"/>
        </w:rPr>
        <w:t> </w:t>
      </w:r>
      <w:r>
        <w:rPr>
          <w:rFonts w:ascii="Times New Roman"/>
        </w:rPr>
        <w:t>team</w:t>
      </w:r>
      <w:r>
        <w:rPr>
          <w:rFonts w:ascii="Times New Roman"/>
          <w:spacing w:val="40"/>
        </w:rPr>
        <w:t> </w:t>
      </w:r>
      <w:r>
        <w:rPr>
          <w:rFonts w:ascii="Times New Roman"/>
        </w:rPr>
        <w:t>survival</w:t>
      </w:r>
      <w:r>
        <w:rPr>
          <w:rFonts w:ascii="Times New Roman"/>
          <w:spacing w:val="40"/>
        </w:rPr>
        <w:t> </w:t>
      </w:r>
      <w:r>
        <w:rPr>
          <w:rFonts w:ascii="Times New Roman"/>
        </w:rPr>
        <w:t>in</w:t>
      </w:r>
      <w:r>
        <w:rPr>
          <w:rFonts w:ascii="Times New Roman"/>
          <w:spacing w:val="40"/>
        </w:rPr>
        <w:t> </w:t>
      </w:r>
      <w:r>
        <w:rPr>
          <w:rFonts w:ascii="Times New Roman"/>
        </w:rPr>
        <w:t>an organization. Academy of Management journal, 33(2), 334-365.</w:t>
      </w:r>
    </w:p>
    <w:p>
      <w:pPr>
        <w:pStyle w:val="BodyText"/>
        <w:spacing w:line="470" w:lineRule="auto" w:before="106"/>
        <w:ind w:left="481" w:right="403" w:hanging="480"/>
        <w:rPr>
          <w:rFonts w:ascii="Times New Roman"/>
        </w:rPr>
      </w:pPr>
      <w:r>
        <w:rPr>
          <w:rFonts w:ascii="Times New Roman"/>
        </w:rPr>
        <w:t>Ancona,</w:t>
      </w:r>
      <w:r>
        <w:rPr>
          <w:rFonts w:ascii="Times New Roman"/>
          <w:spacing w:val="-1"/>
        </w:rPr>
        <w:t> </w:t>
      </w:r>
      <w:r>
        <w:rPr>
          <w:rFonts w:ascii="Times New Roman"/>
        </w:rPr>
        <w:t>D.</w:t>
      </w:r>
      <w:r>
        <w:rPr>
          <w:rFonts w:ascii="Times New Roman"/>
          <w:spacing w:val="-1"/>
        </w:rPr>
        <w:t> </w:t>
      </w:r>
      <w:r>
        <w:rPr>
          <w:rFonts w:ascii="Times New Roman"/>
        </w:rPr>
        <w:t>G.,</w:t>
      </w:r>
      <w:r>
        <w:rPr>
          <w:rFonts w:ascii="Times New Roman"/>
          <w:spacing w:val="-1"/>
        </w:rPr>
        <w:t> </w:t>
      </w:r>
      <w:r>
        <w:rPr>
          <w:rFonts w:ascii="Times New Roman"/>
        </w:rPr>
        <w:t>&amp; Caldwell,</w:t>
      </w:r>
      <w:r>
        <w:rPr>
          <w:rFonts w:ascii="Times New Roman"/>
          <w:spacing w:val="-1"/>
        </w:rPr>
        <w:t> </w:t>
      </w:r>
      <w:r>
        <w:rPr>
          <w:rFonts w:ascii="Times New Roman"/>
        </w:rPr>
        <w:t>D.</w:t>
      </w:r>
      <w:r>
        <w:rPr>
          <w:rFonts w:ascii="Times New Roman"/>
          <w:spacing w:val="-1"/>
        </w:rPr>
        <w:t> </w:t>
      </w:r>
      <w:r>
        <w:rPr>
          <w:rFonts w:ascii="Times New Roman"/>
        </w:rPr>
        <w:t>F.</w:t>
      </w:r>
      <w:r>
        <w:rPr>
          <w:rFonts w:ascii="Times New Roman"/>
          <w:spacing w:val="-1"/>
        </w:rPr>
        <w:t> </w:t>
      </w:r>
      <w:r>
        <w:rPr>
          <w:rFonts w:ascii="Times New Roman"/>
        </w:rPr>
        <w:t>(1992).</w:t>
      </w:r>
      <w:r>
        <w:rPr>
          <w:rFonts w:ascii="Times New Roman"/>
          <w:spacing w:val="-2"/>
        </w:rPr>
        <w:t> </w:t>
      </w:r>
      <w:r>
        <w:rPr>
          <w:rFonts w:ascii="Times New Roman"/>
        </w:rPr>
        <w:t>Bridging</w:t>
      </w:r>
      <w:r>
        <w:rPr>
          <w:rFonts w:ascii="Times New Roman"/>
          <w:spacing w:val="-1"/>
        </w:rPr>
        <w:t> </w:t>
      </w:r>
      <w:r>
        <w:rPr>
          <w:rFonts w:ascii="Times New Roman"/>
        </w:rPr>
        <w:t>the</w:t>
      </w:r>
      <w:r>
        <w:rPr>
          <w:rFonts w:ascii="Times New Roman"/>
          <w:spacing w:val="-1"/>
        </w:rPr>
        <w:t> </w:t>
      </w:r>
      <w:r>
        <w:rPr>
          <w:rFonts w:ascii="Times New Roman"/>
        </w:rPr>
        <w:t>boundary:</w:t>
      </w:r>
      <w:r>
        <w:rPr>
          <w:rFonts w:ascii="Times New Roman"/>
          <w:spacing w:val="-1"/>
        </w:rPr>
        <w:t> </w:t>
      </w:r>
      <w:r>
        <w:rPr>
          <w:rFonts w:ascii="Times New Roman"/>
        </w:rPr>
        <w:t>External activity</w:t>
      </w:r>
      <w:r>
        <w:rPr>
          <w:rFonts w:ascii="Times New Roman"/>
          <w:spacing w:val="-1"/>
        </w:rPr>
        <w:t> </w:t>
      </w:r>
      <w:r>
        <w:rPr>
          <w:rFonts w:ascii="Times New Roman"/>
        </w:rPr>
        <w:t>and performance in organizational teams. Administrative science quarterly, 634-665.</w:t>
      </w:r>
    </w:p>
    <w:p>
      <w:pPr>
        <w:pStyle w:val="BodyText"/>
        <w:spacing w:line="470" w:lineRule="auto" w:before="106"/>
        <w:ind w:left="481" w:right="402" w:hanging="480"/>
        <w:rPr>
          <w:rFonts w:ascii="Times New Roman"/>
        </w:rPr>
      </w:pPr>
      <w:r>
        <w:rPr>
          <w:rFonts w:ascii="Times New Roman"/>
        </w:rPr>
        <w:t>Ariwibowo,</w:t>
      </w:r>
      <w:r>
        <w:rPr>
          <w:rFonts w:ascii="Times New Roman"/>
          <w:spacing w:val="-15"/>
        </w:rPr>
        <w:t> </w:t>
      </w:r>
      <w:r>
        <w:rPr>
          <w:rFonts w:ascii="Times New Roman"/>
        </w:rPr>
        <w:t>A.</w:t>
      </w:r>
      <w:r>
        <w:rPr>
          <w:rFonts w:ascii="Times New Roman"/>
          <w:spacing w:val="-15"/>
        </w:rPr>
        <w:t> </w:t>
      </w:r>
      <w:r>
        <w:rPr>
          <w:rFonts w:ascii="Times New Roman"/>
        </w:rPr>
        <w:t>F.,</w:t>
      </w:r>
      <w:r>
        <w:rPr>
          <w:rFonts w:ascii="Times New Roman"/>
          <w:spacing w:val="-15"/>
        </w:rPr>
        <w:t> </w:t>
      </w:r>
      <w:r>
        <w:rPr>
          <w:rFonts w:ascii="Times New Roman"/>
        </w:rPr>
        <w:t>Afiff,</w:t>
      </w:r>
      <w:r>
        <w:rPr>
          <w:rFonts w:ascii="Times New Roman"/>
          <w:spacing w:val="-15"/>
        </w:rPr>
        <w:t> </w:t>
      </w:r>
      <w:r>
        <w:rPr>
          <w:rFonts w:ascii="Times New Roman"/>
        </w:rPr>
        <w:t>A.</w:t>
      </w:r>
      <w:r>
        <w:rPr>
          <w:rFonts w:ascii="Times New Roman"/>
          <w:spacing w:val="-15"/>
        </w:rPr>
        <w:t> </w:t>
      </w:r>
      <w:r>
        <w:rPr>
          <w:rFonts w:ascii="Times New Roman"/>
        </w:rPr>
        <w:t>Z.,</w:t>
      </w:r>
      <w:r>
        <w:rPr>
          <w:rFonts w:ascii="Times New Roman"/>
          <w:spacing w:val="-15"/>
        </w:rPr>
        <w:t> </w:t>
      </w:r>
      <w:r>
        <w:rPr>
          <w:rFonts w:ascii="Times New Roman"/>
        </w:rPr>
        <w:t>Rachmawati,</w:t>
      </w:r>
      <w:r>
        <w:rPr>
          <w:rFonts w:ascii="Times New Roman"/>
          <w:spacing w:val="-15"/>
        </w:rPr>
        <w:t> </w:t>
      </w:r>
      <w:r>
        <w:rPr>
          <w:rFonts w:ascii="Times New Roman"/>
        </w:rPr>
        <w:t>R.,</w:t>
      </w:r>
      <w:r>
        <w:rPr>
          <w:rFonts w:ascii="Times New Roman"/>
          <w:spacing w:val="-15"/>
        </w:rPr>
        <w:t> </w:t>
      </w:r>
      <w:r>
        <w:rPr>
          <w:rFonts w:ascii="Times New Roman"/>
        </w:rPr>
        <w:t>&amp;</w:t>
      </w:r>
      <w:r>
        <w:rPr>
          <w:rFonts w:ascii="Times New Roman"/>
          <w:spacing w:val="-15"/>
        </w:rPr>
        <w:t> </w:t>
      </w:r>
      <w:r>
        <w:rPr>
          <w:rFonts w:ascii="Times New Roman"/>
        </w:rPr>
        <w:t>Kusumastuti,</w:t>
      </w:r>
      <w:r>
        <w:rPr>
          <w:rFonts w:ascii="Times New Roman"/>
          <w:spacing w:val="-15"/>
        </w:rPr>
        <w:t> </w:t>
      </w:r>
      <w:r>
        <w:rPr>
          <w:rFonts w:ascii="Times New Roman"/>
        </w:rPr>
        <w:t>R.</w:t>
      </w:r>
      <w:r>
        <w:rPr>
          <w:rFonts w:ascii="Times New Roman"/>
          <w:spacing w:val="-15"/>
        </w:rPr>
        <w:t> </w:t>
      </w:r>
      <w:r>
        <w:rPr>
          <w:rFonts w:ascii="Times New Roman"/>
        </w:rPr>
        <w:t>D.</w:t>
      </w:r>
      <w:r>
        <w:rPr>
          <w:rFonts w:ascii="Times New Roman"/>
          <w:spacing w:val="-15"/>
        </w:rPr>
        <w:t> </w:t>
      </w:r>
      <w:r>
        <w:rPr>
          <w:rFonts w:ascii="Times New Roman"/>
        </w:rPr>
        <w:t>(2024).</w:t>
      </w:r>
      <w:r>
        <w:rPr>
          <w:rFonts w:ascii="Times New Roman"/>
          <w:spacing w:val="-15"/>
        </w:rPr>
        <w:t> </w:t>
      </w:r>
      <w:r>
        <w:rPr>
          <w:rFonts w:ascii="Times New Roman"/>
        </w:rPr>
        <w:t>Boundary spanning activities and resource orchestration as microfoundations of dynamic capability: a systematic literature review. *Journal of Management History*.</w:t>
      </w:r>
    </w:p>
    <w:p>
      <w:pPr>
        <w:pStyle w:val="BodyText"/>
        <w:spacing w:before="106"/>
        <w:ind w:left="2"/>
        <w:rPr>
          <w:rFonts w:ascii="Times New Roman"/>
        </w:rPr>
      </w:pPr>
      <w:r>
        <w:rPr>
          <w:rFonts w:ascii="Times New Roman"/>
        </w:rPr>
        <w:t>Armbrust,</w:t>
      </w:r>
      <w:r>
        <w:rPr>
          <w:rFonts w:ascii="Times New Roman"/>
          <w:spacing w:val="-17"/>
        </w:rPr>
        <w:t> </w:t>
      </w:r>
      <w:r>
        <w:rPr>
          <w:rFonts w:ascii="Times New Roman"/>
        </w:rPr>
        <w:t>M.,</w:t>
      </w:r>
      <w:r>
        <w:rPr>
          <w:rFonts w:ascii="Times New Roman"/>
          <w:spacing w:val="-14"/>
        </w:rPr>
        <w:t> </w:t>
      </w:r>
      <w:r>
        <w:rPr>
          <w:rFonts w:ascii="Times New Roman"/>
        </w:rPr>
        <w:t>Fox,</w:t>
      </w:r>
      <w:r>
        <w:rPr>
          <w:rFonts w:ascii="Times New Roman"/>
          <w:spacing w:val="-24"/>
        </w:rPr>
        <w:t> </w:t>
      </w:r>
      <w:r>
        <w:rPr>
          <w:rFonts w:ascii="Times New Roman"/>
        </w:rPr>
        <w:t>A.,</w:t>
      </w:r>
      <w:r>
        <w:rPr>
          <w:rFonts w:ascii="Times New Roman"/>
          <w:spacing w:val="-14"/>
        </w:rPr>
        <w:t> </w:t>
      </w:r>
      <w:r>
        <w:rPr>
          <w:rFonts w:ascii="Times New Roman"/>
        </w:rPr>
        <w:t>Griffith,</w:t>
      </w:r>
      <w:r>
        <w:rPr>
          <w:rFonts w:ascii="Times New Roman"/>
          <w:spacing w:val="-13"/>
        </w:rPr>
        <w:t> </w:t>
      </w:r>
      <w:r>
        <w:rPr>
          <w:rFonts w:ascii="Times New Roman"/>
        </w:rPr>
        <w:t>R.,</w:t>
      </w:r>
      <w:r>
        <w:rPr>
          <w:rFonts w:ascii="Times New Roman"/>
          <w:spacing w:val="-13"/>
        </w:rPr>
        <w:t> </w:t>
      </w:r>
      <w:r>
        <w:rPr>
          <w:rFonts w:ascii="Times New Roman"/>
        </w:rPr>
        <w:t>Joseph,</w:t>
      </w:r>
      <w:r>
        <w:rPr>
          <w:rFonts w:ascii="Times New Roman"/>
          <w:spacing w:val="-25"/>
        </w:rPr>
        <w:t> </w:t>
      </w:r>
      <w:r>
        <w:rPr>
          <w:rFonts w:ascii="Times New Roman"/>
        </w:rPr>
        <w:t>A.</w:t>
      </w:r>
      <w:r>
        <w:rPr>
          <w:rFonts w:ascii="Times New Roman"/>
          <w:spacing w:val="-14"/>
        </w:rPr>
        <w:t> </w:t>
      </w:r>
      <w:r>
        <w:rPr>
          <w:rFonts w:ascii="Times New Roman"/>
        </w:rPr>
        <w:t>D.,</w:t>
      </w:r>
      <w:r>
        <w:rPr>
          <w:rFonts w:ascii="Times New Roman"/>
          <w:spacing w:val="-14"/>
        </w:rPr>
        <w:t> </w:t>
      </w:r>
      <w:r>
        <w:rPr>
          <w:rFonts w:ascii="Times New Roman"/>
        </w:rPr>
        <w:t>Katz,</w:t>
      </w:r>
      <w:r>
        <w:rPr>
          <w:rFonts w:ascii="Times New Roman"/>
          <w:spacing w:val="-14"/>
        </w:rPr>
        <w:t> </w:t>
      </w:r>
      <w:r>
        <w:rPr>
          <w:rFonts w:ascii="Times New Roman"/>
        </w:rPr>
        <w:t>R.,</w:t>
      </w:r>
      <w:r>
        <w:rPr>
          <w:rFonts w:ascii="Times New Roman"/>
          <w:spacing w:val="-13"/>
        </w:rPr>
        <w:t> </w:t>
      </w:r>
      <w:r>
        <w:rPr>
          <w:rFonts w:ascii="Times New Roman"/>
        </w:rPr>
        <w:t>Konwinski,</w:t>
      </w:r>
      <w:r>
        <w:rPr>
          <w:rFonts w:ascii="Times New Roman"/>
          <w:spacing w:val="-24"/>
        </w:rPr>
        <w:t> </w:t>
      </w:r>
      <w:r>
        <w:rPr>
          <w:rFonts w:ascii="Times New Roman"/>
        </w:rPr>
        <w:t>A.,</w:t>
      </w:r>
      <w:r>
        <w:rPr>
          <w:rFonts w:ascii="Times New Roman"/>
          <w:spacing w:val="-14"/>
        </w:rPr>
        <w:t> </w:t>
      </w:r>
      <w:r>
        <w:rPr>
          <w:rFonts w:ascii="Times New Roman"/>
        </w:rPr>
        <w:t>...</w:t>
      </w:r>
      <w:r>
        <w:rPr>
          <w:rFonts w:ascii="Times New Roman"/>
          <w:spacing w:val="-13"/>
        </w:rPr>
        <w:t> </w:t>
      </w:r>
      <w:r>
        <w:rPr>
          <w:rFonts w:ascii="Times New Roman"/>
        </w:rPr>
        <w:t>&amp;</w:t>
      </w:r>
      <w:r>
        <w:rPr>
          <w:rFonts w:ascii="Times New Roman"/>
          <w:spacing w:val="-13"/>
        </w:rPr>
        <w:t> </w:t>
      </w:r>
      <w:r>
        <w:rPr>
          <w:rFonts w:ascii="Times New Roman"/>
          <w:spacing w:val="-2"/>
        </w:rPr>
        <w:t>Zaharia,</w:t>
      </w:r>
    </w:p>
    <w:p>
      <w:pPr>
        <w:pStyle w:val="BodyText"/>
        <w:spacing w:line="470" w:lineRule="auto" w:before="264"/>
        <w:ind w:left="481" w:right="399"/>
        <w:rPr>
          <w:rFonts w:ascii="Times New Roman"/>
        </w:rPr>
      </w:pPr>
      <w:r>
        <w:rPr>
          <w:rFonts w:ascii="Times New Roman"/>
        </w:rPr>
        <w:t>M. (2010).</w:t>
      </w:r>
      <w:r>
        <w:rPr>
          <w:rFonts w:ascii="Times New Roman"/>
          <w:spacing w:val="-6"/>
        </w:rPr>
        <w:t> </w:t>
      </w:r>
      <w:r>
        <w:rPr>
          <w:rFonts w:ascii="Times New Roman"/>
        </w:rPr>
        <w:t>A</w:t>
      </w:r>
      <w:r>
        <w:rPr>
          <w:rFonts w:ascii="Times New Roman"/>
          <w:spacing w:val="-3"/>
        </w:rPr>
        <w:t> </w:t>
      </w:r>
      <w:r>
        <w:rPr>
          <w:rFonts w:ascii="Times New Roman"/>
        </w:rPr>
        <w:t>view of cloud computing. Communications of the</w:t>
      </w:r>
      <w:r>
        <w:rPr>
          <w:rFonts w:ascii="Times New Roman"/>
          <w:spacing w:val="-6"/>
        </w:rPr>
        <w:t> </w:t>
      </w:r>
      <w:r>
        <w:rPr>
          <w:rFonts w:ascii="Times New Roman"/>
        </w:rPr>
        <w:t>ACM, 53(4), 50- </w:t>
      </w:r>
      <w:r>
        <w:rPr>
          <w:rFonts w:ascii="Times New Roman"/>
          <w:spacing w:val="-4"/>
        </w:rPr>
        <w:t>58.</w:t>
      </w:r>
    </w:p>
    <w:p>
      <w:pPr>
        <w:pStyle w:val="BodyText"/>
        <w:spacing w:line="470" w:lineRule="auto" w:before="106"/>
        <w:ind w:left="481" w:right="340" w:hanging="480"/>
        <w:rPr>
          <w:rFonts w:ascii="Times New Roman"/>
        </w:rPr>
      </w:pPr>
      <w:r>
        <w:rPr>
          <w:rFonts w:ascii="Times New Roman"/>
        </w:rPr>
        <w:t>Augier, M., &amp; Teece, D. J. (2009). Dynamic capabilities and the role of managers in business</w:t>
      </w:r>
      <w:r>
        <w:rPr>
          <w:rFonts w:ascii="Times New Roman"/>
          <w:spacing w:val="-16"/>
        </w:rPr>
        <w:t> </w:t>
      </w:r>
      <w:r>
        <w:rPr>
          <w:rFonts w:ascii="Times New Roman"/>
        </w:rPr>
        <w:t>strategy</w:t>
      </w:r>
      <w:r>
        <w:rPr>
          <w:rFonts w:ascii="Times New Roman"/>
          <w:spacing w:val="-15"/>
        </w:rPr>
        <w:t> </w:t>
      </w:r>
      <w:r>
        <w:rPr>
          <w:rFonts w:ascii="Times New Roman"/>
        </w:rPr>
        <w:t>and</w:t>
      </w:r>
      <w:r>
        <w:rPr>
          <w:rFonts w:ascii="Times New Roman"/>
          <w:spacing w:val="-14"/>
        </w:rPr>
        <w:t> </w:t>
      </w:r>
      <w:r>
        <w:rPr>
          <w:rFonts w:ascii="Times New Roman"/>
        </w:rPr>
        <w:t>economic</w:t>
      </w:r>
      <w:r>
        <w:rPr>
          <w:rFonts w:ascii="Times New Roman"/>
          <w:spacing w:val="-14"/>
        </w:rPr>
        <w:t> </w:t>
      </w:r>
      <w:r>
        <w:rPr>
          <w:rFonts w:ascii="Times New Roman"/>
        </w:rPr>
        <w:t>performance.</w:t>
      </w:r>
      <w:r>
        <w:rPr>
          <w:rFonts w:ascii="Times New Roman"/>
          <w:spacing w:val="-12"/>
        </w:rPr>
        <w:t> </w:t>
      </w:r>
      <w:r>
        <w:rPr>
          <w:rFonts w:ascii="Times New Roman"/>
        </w:rPr>
        <w:t>Organization</w:t>
      </w:r>
      <w:r>
        <w:rPr>
          <w:rFonts w:ascii="Times New Roman"/>
          <w:spacing w:val="-14"/>
        </w:rPr>
        <w:t> </w:t>
      </w:r>
      <w:r>
        <w:rPr>
          <w:rFonts w:ascii="Times New Roman"/>
        </w:rPr>
        <w:t>science,</w:t>
      </w:r>
      <w:r>
        <w:rPr>
          <w:rFonts w:ascii="Times New Roman"/>
          <w:spacing w:val="-14"/>
        </w:rPr>
        <w:t> </w:t>
      </w:r>
      <w:r>
        <w:rPr>
          <w:rFonts w:ascii="Times New Roman"/>
        </w:rPr>
        <w:t>20(2),</w:t>
      </w:r>
      <w:r>
        <w:rPr>
          <w:rFonts w:ascii="Times New Roman"/>
          <w:spacing w:val="-13"/>
        </w:rPr>
        <w:t> </w:t>
      </w:r>
      <w:r>
        <w:rPr>
          <w:rFonts w:ascii="Times New Roman"/>
        </w:rPr>
        <w:t>410-</w:t>
      </w:r>
      <w:r>
        <w:rPr>
          <w:rFonts w:ascii="Times New Roman"/>
          <w:spacing w:val="-4"/>
        </w:rPr>
        <w:t>421.</w:t>
      </w:r>
    </w:p>
    <w:p>
      <w:pPr>
        <w:pStyle w:val="BodyText"/>
        <w:spacing w:after="0" w:line="470" w:lineRule="auto"/>
        <w:rPr>
          <w:rFonts w:ascii="Times New Roman"/>
        </w:rPr>
        <w:sectPr>
          <w:pgSz w:w="11910" w:h="16840"/>
          <w:pgMar w:header="0" w:footer="1197" w:top="1780" w:bottom="1380" w:left="1700" w:right="1417"/>
        </w:sectPr>
      </w:pPr>
    </w:p>
    <w:p>
      <w:pPr>
        <w:pStyle w:val="BodyText"/>
        <w:spacing w:line="470" w:lineRule="auto" w:before="74"/>
        <w:ind w:left="481" w:right="400" w:hanging="480"/>
        <w:rPr>
          <w:rFonts w:ascii="Times New Roman"/>
        </w:rPr>
      </w:pPr>
      <w:r>
        <w:rPr>
          <w:rFonts w:ascii="Times New Roman"/>
        </w:rPr>
        <w:t>Aulkemeier, F., Iacob, M. E., &amp; van Hillegersberg, J. (2019). Platform-based collaboration in digital ecosystems. Electronic Markets, 29(4), 597-608.</w:t>
      </w:r>
    </w:p>
    <w:p>
      <w:pPr>
        <w:pStyle w:val="BodyText"/>
        <w:spacing w:line="470" w:lineRule="auto" w:before="107"/>
        <w:ind w:left="481" w:right="404" w:hanging="480"/>
        <w:rPr>
          <w:rFonts w:ascii="Times New Roman" w:hAnsi="Times New Roman"/>
        </w:rPr>
      </w:pPr>
      <w:r>
        <w:rPr>
          <w:rFonts w:ascii="Times New Roman" w:hAnsi="Times New Roman"/>
        </w:rPr>
        <w:t>Barney, J. (1991). Firm resources and sustained competitive advantage. *Journal of Management*, 17(1), 99–120.</w:t>
      </w:r>
    </w:p>
    <w:p>
      <w:pPr>
        <w:pStyle w:val="BodyText"/>
        <w:spacing w:line="470" w:lineRule="auto" w:before="106"/>
        <w:ind w:left="481" w:right="401" w:hanging="480"/>
        <w:rPr>
          <w:rFonts w:ascii="Times New Roman" w:hAnsi="Times New Roman"/>
        </w:rPr>
      </w:pPr>
      <w:r>
        <w:rPr>
          <w:rFonts w:ascii="Times New Roman" w:hAnsi="Times New Roman"/>
        </w:rPr>
        <w:t>Benlian,</w:t>
      </w:r>
      <w:r>
        <w:rPr>
          <w:rFonts w:ascii="Times New Roman" w:hAnsi="Times New Roman"/>
          <w:spacing w:val="-2"/>
        </w:rPr>
        <w:t> </w:t>
      </w:r>
      <w:r>
        <w:rPr>
          <w:rFonts w:ascii="Times New Roman" w:hAnsi="Times New Roman"/>
        </w:rPr>
        <w:t>A., Hess, T., &amp; Buxmann, P. (2011). Drivers of SaaS-adoption–an empirical study</w:t>
      </w:r>
      <w:r>
        <w:rPr>
          <w:rFonts w:ascii="Times New Roman" w:hAnsi="Times New Roman"/>
          <w:spacing w:val="-8"/>
        </w:rPr>
        <w:t> </w:t>
      </w:r>
      <w:r>
        <w:rPr>
          <w:rFonts w:ascii="Times New Roman" w:hAnsi="Times New Roman"/>
        </w:rPr>
        <w:t>of</w:t>
      </w:r>
      <w:r>
        <w:rPr>
          <w:rFonts w:ascii="Times New Roman" w:hAnsi="Times New Roman"/>
          <w:spacing w:val="-10"/>
        </w:rPr>
        <w:t> </w:t>
      </w:r>
      <w:r>
        <w:rPr>
          <w:rFonts w:ascii="Times New Roman" w:hAnsi="Times New Roman"/>
        </w:rPr>
        <w:t>different</w:t>
      </w:r>
      <w:r>
        <w:rPr>
          <w:rFonts w:ascii="Times New Roman" w:hAnsi="Times New Roman"/>
          <w:spacing w:val="-8"/>
        </w:rPr>
        <w:t> </w:t>
      </w:r>
      <w:r>
        <w:rPr>
          <w:rFonts w:ascii="Times New Roman" w:hAnsi="Times New Roman"/>
        </w:rPr>
        <w:t>application</w:t>
      </w:r>
      <w:r>
        <w:rPr>
          <w:rFonts w:ascii="Times New Roman" w:hAnsi="Times New Roman"/>
          <w:spacing w:val="-9"/>
        </w:rPr>
        <w:t> </w:t>
      </w:r>
      <w:r>
        <w:rPr>
          <w:rFonts w:ascii="Times New Roman" w:hAnsi="Times New Roman"/>
        </w:rPr>
        <w:t>types.</w:t>
      </w:r>
      <w:r>
        <w:rPr>
          <w:rFonts w:ascii="Times New Roman" w:hAnsi="Times New Roman"/>
          <w:spacing w:val="-9"/>
        </w:rPr>
        <w:t> </w:t>
      </w:r>
      <w:r>
        <w:rPr>
          <w:rFonts w:ascii="Times New Roman" w:hAnsi="Times New Roman"/>
        </w:rPr>
        <w:t>Business</w:t>
      </w:r>
      <w:r>
        <w:rPr>
          <w:rFonts w:ascii="Times New Roman" w:hAnsi="Times New Roman"/>
          <w:spacing w:val="-9"/>
        </w:rPr>
        <w:t> </w:t>
      </w:r>
      <w:r>
        <w:rPr>
          <w:rFonts w:ascii="Times New Roman" w:hAnsi="Times New Roman"/>
        </w:rPr>
        <w:t>&amp;</w:t>
      </w:r>
      <w:r>
        <w:rPr>
          <w:rFonts w:ascii="Times New Roman" w:hAnsi="Times New Roman"/>
          <w:spacing w:val="-6"/>
        </w:rPr>
        <w:t> </w:t>
      </w:r>
      <w:r>
        <w:rPr>
          <w:rFonts w:ascii="Times New Roman" w:hAnsi="Times New Roman"/>
        </w:rPr>
        <w:t>Information</w:t>
      </w:r>
      <w:r>
        <w:rPr>
          <w:rFonts w:ascii="Times New Roman" w:hAnsi="Times New Roman"/>
          <w:spacing w:val="-8"/>
        </w:rPr>
        <w:t> </w:t>
      </w:r>
      <w:r>
        <w:rPr>
          <w:rFonts w:ascii="Times New Roman" w:hAnsi="Times New Roman"/>
        </w:rPr>
        <w:t>Systems</w:t>
      </w:r>
      <w:r>
        <w:rPr>
          <w:rFonts w:ascii="Times New Roman" w:hAnsi="Times New Roman"/>
          <w:spacing w:val="-8"/>
        </w:rPr>
        <w:t> </w:t>
      </w:r>
      <w:r>
        <w:rPr>
          <w:rFonts w:ascii="Times New Roman" w:hAnsi="Times New Roman"/>
        </w:rPr>
        <w:t>Engineering, 1(5), 357-369.</w:t>
      </w:r>
    </w:p>
    <w:p>
      <w:pPr>
        <w:pStyle w:val="BodyText"/>
        <w:spacing w:line="470" w:lineRule="auto" w:before="106"/>
        <w:ind w:left="481" w:right="407" w:hanging="480"/>
        <w:rPr>
          <w:rFonts w:ascii="Times New Roman"/>
        </w:rPr>
      </w:pPr>
      <w:r>
        <w:rPr>
          <w:rFonts w:ascii="Times New Roman"/>
        </w:rPr>
        <w:t>Bergenholtz, C. (2011). Knowledge Brokering: Spanning Technological and Network Boundaries. European Journal of Innovation Management, 14, 74-92.</w:t>
      </w:r>
    </w:p>
    <w:p>
      <w:pPr>
        <w:pStyle w:val="BodyText"/>
        <w:spacing w:line="470" w:lineRule="auto" w:before="106"/>
        <w:ind w:left="481" w:right="400" w:hanging="480"/>
        <w:rPr>
          <w:rFonts w:ascii="Times New Roman"/>
        </w:rPr>
      </w:pPr>
      <w:r>
        <w:rPr>
          <w:rFonts w:ascii="Times New Roman"/>
        </w:rPr>
        <w:drawing>
          <wp:anchor distT="0" distB="0" distL="0" distR="0" allowOverlap="1" layoutInCell="1" locked="0" behindDoc="1" simplePos="0" relativeHeight="485836800">
            <wp:simplePos x="0" y="0"/>
            <wp:positionH relativeFrom="page">
              <wp:posOffset>3312414</wp:posOffset>
            </wp:positionH>
            <wp:positionV relativeFrom="paragraph">
              <wp:posOffset>370569</wp:posOffset>
            </wp:positionV>
            <wp:extent cx="929640" cy="978408"/>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Bharadwaj, A., El Sawy, O.</w:t>
      </w:r>
      <w:r>
        <w:rPr>
          <w:rFonts w:ascii="Times New Roman"/>
          <w:spacing w:val="-2"/>
        </w:rPr>
        <w:t> </w:t>
      </w:r>
      <w:r>
        <w:rPr>
          <w:rFonts w:ascii="Times New Roman"/>
        </w:rPr>
        <w:t>A., Pavlou, P. A., &amp; Venkatraman, N. V. (2013). Digital business strategy: toward a next generation of insights. MIS quarterly, 471-482.</w:t>
      </w:r>
    </w:p>
    <w:p>
      <w:pPr>
        <w:pStyle w:val="BodyText"/>
        <w:spacing w:line="470" w:lineRule="auto" w:before="106"/>
        <w:ind w:left="481" w:right="397" w:hanging="480"/>
        <w:rPr>
          <w:rFonts w:ascii="Times New Roman"/>
        </w:rPr>
      </w:pPr>
      <w:r>
        <w:rPr>
          <w:rFonts w:ascii="Times New Roman"/>
        </w:rPr>
        <w:t>Burbach, M. E., Eaton, W. M., &amp; Delozier, J. L. (2023). Boundary spanning in the context of stakeholder engagement in collaborative water management. Socio- Ecological Practice Research, 5(1), 79-92.</w:t>
      </w:r>
    </w:p>
    <w:p>
      <w:pPr>
        <w:pStyle w:val="BodyText"/>
        <w:spacing w:line="470" w:lineRule="auto" w:before="106"/>
        <w:ind w:left="481" w:right="406" w:hanging="480"/>
        <w:rPr>
          <w:rFonts w:ascii="Times New Roman"/>
        </w:rPr>
      </w:pPr>
      <w:r>
        <w:rPr>
          <w:rFonts w:ascii="Times New Roman"/>
        </w:rPr>
        <w:t>Carlile,</w:t>
      </w:r>
      <w:r>
        <w:rPr>
          <w:rFonts w:ascii="Times New Roman"/>
          <w:spacing w:val="-15"/>
        </w:rPr>
        <w:t> </w:t>
      </w:r>
      <w:r>
        <w:rPr>
          <w:rFonts w:ascii="Times New Roman"/>
        </w:rPr>
        <w:t>P.</w:t>
      </w:r>
      <w:r>
        <w:rPr>
          <w:rFonts w:ascii="Times New Roman"/>
          <w:spacing w:val="-15"/>
        </w:rPr>
        <w:t> </w:t>
      </w:r>
      <w:r>
        <w:rPr>
          <w:rFonts w:ascii="Times New Roman"/>
        </w:rPr>
        <w:t>R.</w:t>
      </w:r>
      <w:r>
        <w:rPr>
          <w:rFonts w:ascii="Times New Roman"/>
          <w:spacing w:val="-14"/>
        </w:rPr>
        <w:t> </w:t>
      </w:r>
      <w:r>
        <w:rPr>
          <w:rFonts w:ascii="Times New Roman"/>
        </w:rPr>
        <w:t>(2002).</w:t>
      </w:r>
      <w:r>
        <w:rPr>
          <w:rFonts w:ascii="Times New Roman"/>
          <w:spacing w:val="-15"/>
        </w:rPr>
        <w:t> </w:t>
      </w:r>
      <w:r>
        <w:rPr>
          <w:rFonts w:ascii="Times New Roman"/>
        </w:rPr>
        <w:t>A</w:t>
      </w:r>
      <w:r>
        <w:rPr>
          <w:rFonts w:ascii="Times New Roman"/>
          <w:spacing w:val="-15"/>
        </w:rPr>
        <w:t> </w:t>
      </w:r>
      <w:r>
        <w:rPr>
          <w:rFonts w:ascii="Times New Roman"/>
        </w:rPr>
        <w:t>pragmatic</w:t>
      </w:r>
      <w:r>
        <w:rPr>
          <w:rFonts w:ascii="Times New Roman"/>
          <w:spacing w:val="-10"/>
        </w:rPr>
        <w:t> </w:t>
      </w:r>
      <w:r>
        <w:rPr>
          <w:rFonts w:ascii="Times New Roman"/>
        </w:rPr>
        <w:t>view</w:t>
      </w:r>
      <w:r>
        <w:rPr>
          <w:rFonts w:ascii="Times New Roman"/>
          <w:spacing w:val="-11"/>
        </w:rPr>
        <w:t> </w:t>
      </w:r>
      <w:r>
        <w:rPr>
          <w:rFonts w:ascii="Times New Roman"/>
        </w:rPr>
        <w:t>of</w:t>
      </w:r>
      <w:r>
        <w:rPr>
          <w:rFonts w:ascii="Times New Roman"/>
          <w:spacing w:val="-11"/>
        </w:rPr>
        <w:t> </w:t>
      </w:r>
      <w:r>
        <w:rPr>
          <w:rFonts w:ascii="Times New Roman"/>
        </w:rPr>
        <w:t>knowledge</w:t>
      </w:r>
      <w:r>
        <w:rPr>
          <w:rFonts w:ascii="Times New Roman"/>
          <w:spacing w:val="-11"/>
        </w:rPr>
        <w:t> </w:t>
      </w:r>
      <w:r>
        <w:rPr>
          <w:rFonts w:ascii="Times New Roman"/>
        </w:rPr>
        <w:t>and</w:t>
      </w:r>
      <w:r>
        <w:rPr>
          <w:rFonts w:ascii="Times New Roman"/>
          <w:spacing w:val="-10"/>
        </w:rPr>
        <w:t> </w:t>
      </w:r>
      <w:r>
        <w:rPr>
          <w:rFonts w:ascii="Times New Roman"/>
        </w:rPr>
        <w:t>boundaries:</w:t>
      </w:r>
      <w:r>
        <w:rPr>
          <w:rFonts w:ascii="Times New Roman"/>
          <w:spacing w:val="-10"/>
        </w:rPr>
        <w:t> </w:t>
      </w:r>
      <w:r>
        <w:rPr>
          <w:rFonts w:ascii="Times New Roman"/>
        </w:rPr>
        <w:t>Boundary</w:t>
      </w:r>
      <w:r>
        <w:rPr>
          <w:rFonts w:ascii="Times New Roman"/>
          <w:spacing w:val="-11"/>
        </w:rPr>
        <w:t> </w:t>
      </w:r>
      <w:r>
        <w:rPr>
          <w:rFonts w:ascii="Times New Roman"/>
        </w:rPr>
        <w:t>objects in new product development. Organization science, 13(4), 442-455.</w:t>
      </w:r>
    </w:p>
    <w:p>
      <w:pPr>
        <w:pStyle w:val="BodyText"/>
        <w:spacing w:line="470" w:lineRule="auto" w:before="106"/>
        <w:ind w:left="481" w:right="401" w:hanging="480"/>
        <w:rPr>
          <w:rFonts w:ascii="Times New Roman" w:hAnsi="Times New Roman"/>
        </w:rPr>
      </w:pPr>
      <w:r>
        <w:rPr>
          <w:rFonts w:ascii="Times New Roman" w:hAnsi="Times New Roman"/>
        </w:rPr>
        <w:t>Carlile, P. R. (2004). Transferring, translating, and transforming: An integrative framework for managing knowledge across boundaries. *Organization Science*, 15(5), 555–568.</w:t>
      </w:r>
    </w:p>
    <w:p>
      <w:pPr>
        <w:pStyle w:val="BodyText"/>
        <w:spacing w:line="470" w:lineRule="auto" w:before="106"/>
        <w:ind w:left="481" w:right="406" w:hanging="480"/>
        <w:rPr>
          <w:rFonts w:ascii="Times New Roman"/>
        </w:rPr>
      </w:pPr>
      <w:r>
        <w:rPr>
          <w:rFonts w:ascii="Times New Roman"/>
        </w:rPr>
        <w:t>Carlile,</w:t>
      </w:r>
      <w:r>
        <w:rPr>
          <w:rFonts w:ascii="Times New Roman"/>
          <w:spacing w:val="-7"/>
        </w:rPr>
        <w:t> </w:t>
      </w:r>
      <w:r>
        <w:rPr>
          <w:rFonts w:ascii="Times New Roman"/>
        </w:rPr>
        <w:t>P.</w:t>
      </w:r>
      <w:r>
        <w:rPr>
          <w:rFonts w:ascii="Times New Roman"/>
          <w:spacing w:val="-7"/>
        </w:rPr>
        <w:t> </w:t>
      </w:r>
      <w:r>
        <w:rPr>
          <w:rFonts w:ascii="Times New Roman"/>
        </w:rPr>
        <w:t>R.,</w:t>
      </w:r>
      <w:r>
        <w:rPr>
          <w:rFonts w:ascii="Times New Roman"/>
          <w:spacing w:val="-7"/>
        </w:rPr>
        <w:t> </w:t>
      </w:r>
      <w:r>
        <w:rPr>
          <w:rFonts w:ascii="Times New Roman"/>
        </w:rPr>
        <w:t>&amp;</w:t>
      </w:r>
      <w:r>
        <w:rPr>
          <w:rFonts w:ascii="Times New Roman"/>
          <w:spacing w:val="-6"/>
        </w:rPr>
        <w:t> </w:t>
      </w:r>
      <w:r>
        <w:rPr>
          <w:rFonts w:ascii="Times New Roman"/>
        </w:rPr>
        <w:t>Dionne,</w:t>
      </w:r>
      <w:r>
        <w:rPr>
          <w:rFonts w:ascii="Times New Roman"/>
          <w:spacing w:val="-7"/>
        </w:rPr>
        <w:t> </w:t>
      </w:r>
      <w:r>
        <w:rPr>
          <w:rFonts w:ascii="Times New Roman"/>
        </w:rPr>
        <w:t>K.</w:t>
      </w:r>
      <w:r>
        <w:rPr>
          <w:rFonts w:ascii="Times New Roman"/>
          <w:spacing w:val="-7"/>
        </w:rPr>
        <w:t> </w:t>
      </w:r>
      <w:r>
        <w:rPr>
          <w:rFonts w:ascii="Times New Roman"/>
        </w:rPr>
        <w:t>E.</w:t>
      </w:r>
      <w:r>
        <w:rPr>
          <w:rFonts w:ascii="Times New Roman"/>
          <w:spacing w:val="-7"/>
        </w:rPr>
        <w:t> </w:t>
      </w:r>
      <w:r>
        <w:rPr>
          <w:rFonts w:ascii="Times New Roman"/>
        </w:rPr>
        <w:t>(2024).</w:t>
      </w:r>
      <w:r>
        <w:rPr>
          <w:rFonts w:ascii="Times New Roman"/>
          <w:spacing w:val="-5"/>
        </w:rPr>
        <w:t> </w:t>
      </w:r>
      <w:r>
        <w:rPr>
          <w:rFonts w:ascii="Times New Roman"/>
        </w:rPr>
        <w:t>Events</w:t>
      </w:r>
      <w:r>
        <w:rPr>
          <w:rFonts w:ascii="Times New Roman"/>
          <w:spacing w:val="-6"/>
        </w:rPr>
        <w:t> </w:t>
      </w:r>
      <w:r>
        <w:rPr>
          <w:rFonts w:ascii="Times New Roman"/>
        </w:rPr>
        <w:t>to</w:t>
      </w:r>
      <w:r>
        <w:rPr>
          <w:rFonts w:ascii="Times New Roman"/>
          <w:spacing w:val="-6"/>
        </w:rPr>
        <w:t> </w:t>
      </w:r>
      <w:r>
        <w:rPr>
          <w:rFonts w:ascii="Times New Roman"/>
        </w:rPr>
        <w:t>Span</w:t>
      </w:r>
      <w:r>
        <w:rPr>
          <w:rFonts w:ascii="Times New Roman"/>
          <w:spacing w:val="-7"/>
        </w:rPr>
        <w:t> </w:t>
      </w:r>
      <w:r>
        <w:rPr>
          <w:rFonts w:ascii="Times New Roman"/>
        </w:rPr>
        <w:t>Knowledge</w:t>
      </w:r>
      <w:r>
        <w:rPr>
          <w:rFonts w:ascii="Times New Roman"/>
          <w:spacing w:val="-8"/>
        </w:rPr>
        <w:t> </w:t>
      </w:r>
      <w:r>
        <w:rPr>
          <w:rFonts w:ascii="Times New Roman"/>
        </w:rPr>
        <w:t>Boundaries</w:t>
      </w:r>
      <w:r>
        <w:rPr>
          <w:rFonts w:ascii="Times New Roman"/>
          <w:spacing w:val="-7"/>
        </w:rPr>
        <w:t> </w:t>
      </w:r>
      <w:r>
        <w:rPr>
          <w:rFonts w:ascii="Times New Roman"/>
        </w:rPr>
        <w:t>for</w:t>
      </w:r>
      <w:r>
        <w:rPr>
          <w:rFonts w:ascii="Times New Roman"/>
          <w:spacing w:val="-8"/>
        </w:rPr>
        <w:t> </w:t>
      </w:r>
      <w:r>
        <w:rPr>
          <w:rFonts w:ascii="Times New Roman"/>
        </w:rPr>
        <w:t>Open </w:t>
      </w:r>
      <w:r>
        <w:rPr>
          <w:rFonts w:ascii="Times New Roman"/>
          <w:spacing w:val="-2"/>
        </w:rPr>
        <w:t>Innovation.</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402" w:hanging="480"/>
        <w:rPr>
          <w:rFonts w:ascii="Times New Roman"/>
        </w:rPr>
      </w:pPr>
      <w:r>
        <w:rPr>
          <w:rFonts w:ascii="Times New Roman"/>
        </w:rPr>
        <w:t>Chattopadhyay, S. P., &amp;</w:t>
      </w:r>
      <w:r>
        <w:rPr>
          <w:rFonts w:ascii="Times New Roman"/>
          <w:spacing w:val="-2"/>
        </w:rPr>
        <w:t> </w:t>
      </w:r>
      <w:r>
        <w:rPr>
          <w:rFonts w:ascii="Times New Roman"/>
        </w:rPr>
        <w:t>Aundhe, M. D. (2021). Vendor boundary spanning in Indian Information Technology (IT) companies. Asia Pacific Journal of Management, 38(3), 1139-1177.</w:t>
      </w:r>
    </w:p>
    <w:p>
      <w:pPr>
        <w:pStyle w:val="BodyText"/>
        <w:spacing w:before="106"/>
        <w:ind w:left="2"/>
        <w:rPr>
          <w:rFonts w:ascii="Times New Roman"/>
        </w:rPr>
      </w:pPr>
      <w:r>
        <w:rPr>
          <w:rFonts w:ascii="Times New Roman"/>
        </w:rPr>
        <w:t>Christensen,</w:t>
      </w:r>
      <w:r>
        <w:rPr>
          <w:rFonts w:ascii="Times New Roman"/>
          <w:spacing w:val="9"/>
        </w:rPr>
        <w:t> </w:t>
      </w:r>
      <w:r>
        <w:rPr>
          <w:rFonts w:ascii="Times New Roman"/>
        </w:rPr>
        <w:t>C.,</w:t>
      </w:r>
      <w:r>
        <w:rPr>
          <w:rFonts w:ascii="Times New Roman"/>
          <w:spacing w:val="9"/>
        </w:rPr>
        <w:t> </w:t>
      </w:r>
      <w:r>
        <w:rPr>
          <w:rFonts w:ascii="Times New Roman"/>
        </w:rPr>
        <w:t>Raynor,</w:t>
      </w:r>
      <w:r>
        <w:rPr>
          <w:rFonts w:ascii="Times New Roman"/>
          <w:spacing w:val="8"/>
        </w:rPr>
        <w:t> </w:t>
      </w:r>
      <w:r>
        <w:rPr>
          <w:rFonts w:ascii="Times New Roman"/>
        </w:rPr>
        <w:t>M.</w:t>
      </w:r>
      <w:r>
        <w:rPr>
          <w:rFonts w:ascii="Times New Roman"/>
          <w:spacing w:val="10"/>
        </w:rPr>
        <w:t> </w:t>
      </w:r>
      <w:r>
        <w:rPr>
          <w:rFonts w:ascii="Times New Roman"/>
        </w:rPr>
        <w:t>E.,</w:t>
      </w:r>
      <w:r>
        <w:rPr>
          <w:rFonts w:ascii="Times New Roman"/>
          <w:spacing w:val="9"/>
        </w:rPr>
        <w:t> </w:t>
      </w:r>
      <w:r>
        <w:rPr>
          <w:rFonts w:ascii="Times New Roman"/>
        </w:rPr>
        <w:t>&amp;</w:t>
      </w:r>
      <w:r>
        <w:rPr>
          <w:rFonts w:ascii="Times New Roman"/>
          <w:spacing w:val="10"/>
        </w:rPr>
        <w:t> </w:t>
      </w:r>
      <w:r>
        <w:rPr>
          <w:rFonts w:ascii="Times New Roman"/>
        </w:rPr>
        <w:t>McDonald,</w:t>
      </w:r>
      <w:r>
        <w:rPr>
          <w:rFonts w:ascii="Times New Roman"/>
          <w:spacing w:val="11"/>
        </w:rPr>
        <w:t> </w:t>
      </w:r>
      <w:r>
        <w:rPr>
          <w:rFonts w:ascii="Times New Roman"/>
        </w:rPr>
        <w:t>R.</w:t>
      </w:r>
      <w:r>
        <w:rPr>
          <w:rFonts w:ascii="Times New Roman"/>
          <w:spacing w:val="7"/>
        </w:rPr>
        <w:t> </w:t>
      </w:r>
      <w:r>
        <w:rPr>
          <w:rFonts w:ascii="Times New Roman"/>
        </w:rPr>
        <w:t>(2013).</w:t>
      </w:r>
      <w:r>
        <w:rPr>
          <w:rFonts w:ascii="Times New Roman"/>
          <w:spacing w:val="1"/>
        </w:rPr>
        <w:t> </w:t>
      </w:r>
      <w:r>
        <w:rPr>
          <w:rFonts w:ascii="Times New Roman"/>
        </w:rPr>
        <w:t>*Disruptive</w:t>
      </w:r>
      <w:r>
        <w:rPr>
          <w:rFonts w:ascii="Times New Roman"/>
          <w:spacing w:val="9"/>
        </w:rPr>
        <w:t> </w:t>
      </w:r>
      <w:r>
        <w:rPr>
          <w:rFonts w:ascii="Times New Roman"/>
        </w:rPr>
        <w:t>innovation* </w:t>
      </w:r>
      <w:r>
        <w:rPr>
          <w:rFonts w:ascii="Times New Roman"/>
          <w:spacing w:val="-4"/>
        </w:rPr>
        <w:t>(pp.</w:t>
      </w:r>
    </w:p>
    <w:p>
      <w:pPr>
        <w:pStyle w:val="BodyText"/>
        <w:spacing w:before="264"/>
        <w:ind w:left="481"/>
        <w:jc w:val="left"/>
        <w:rPr>
          <w:rFonts w:ascii="Times New Roman"/>
        </w:rPr>
      </w:pPr>
      <w:r>
        <w:rPr>
          <w:rFonts w:ascii="Times New Roman"/>
        </w:rPr>
        <w:t>20151-20111).</w:t>
      </w:r>
      <w:r>
        <w:rPr>
          <w:rFonts w:ascii="Times New Roman"/>
          <w:spacing w:val="-8"/>
        </w:rPr>
        <w:t> </w:t>
      </w:r>
      <w:r>
        <w:rPr>
          <w:rFonts w:ascii="Times New Roman"/>
        </w:rPr>
        <w:t>Brighton,</w:t>
      </w:r>
      <w:r>
        <w:rPr>
          <w:rFonts w:ascii="Times New Roman"/>
          <w:spacing w:val="-3"/>
        </w:rPr>
        <w:t> </w:t>
      </w:r>
      <w:r>
        <w:rPr>
          <w:rFonts w:ascii="Times New Roman"/>
        </w:rPr>
        <w:t>MA,</w:t>
      </w:r>
      <w:r>
        <w:rPr>
          <w:rFonts w:ascii="Times New Roman"/>
          <w:spacing w:val="-5"/>
        </w:rPr>
        <w:t> </w:t>
      </w:r>
      <w:r>
        <w:rPr>
          <w:rFonts w:ascii="Times New Roman"/>
        </w:rPr>
        <w:t>USA:</w:t>
      </w:r>
      <w:r>
        <w:rPr>
          <w:rFonts w:ascii="Times New Roman"/>
          <w:spacing w:val="-5"/>
        </w:rPr>
        <w:t> </w:t>
      </w:r>
      <w:r>
        <w:rPr>
          <w:rFonts w:ascii="Times New Roman"/>
        </w:rPr>
        <w:t>Harvard</w:t>
      </w:r>
      <w:r>
        <w:rPr>
          <w:rFonts w:ascii="Times New Roman"/>
          <w:spacing w:val="-5"/>
        </w:rPr>
        <w:t> </w:t>
      </w:r>
      <w:r>
        <w:rPr>
          <w:rFonts w:ascii="Times New Roman"/>
        </w:rPr>
        <w:t>Business</w:t>
      </w:r>
      <w:r>
        <w:rPr>
          <w:rFonts w:ascii="Times New Roman"/>
          <w:spacing w:val="-6"/>
        </w:rPr>
        <w:t> </w:t>
      </w:r>
      <w:r>
        <w:rPr>
          <w:rFonts w:ascii="Times New Roman"/>
          <w:spacing w:val="-2"/>
        </w:rPr>
        <w:t>Review.</w:t>
      </w:r>
    </w:p>
    <w:p>
      <w:pPr>
        <w:pStyle w:val="BodyText"/>
        <w:spacing w:before="96"/>
        <w:ind w:left="0"/>
        <w:jc w:val="left"/>
        <w:rPr>
          <w:rFonts w:ascii="Times New Roman"/>
        </w:rPr>
      </w:pPr>
    </w:p>
    <w:p>
      <w:pPr>
        <w:pStyle w:val="BodyText"/>
        <w:spacing w:line="470" w:lineRule="auto"/>
        <w:ind w:left="481" w:right="402" w:hanging="480"/>
        <w:rPr>
          <w:rFonts w:ascii="Times New Roman"/>
        </w:rPr>
      </w:pPr>
      <w:r>
        <w:rPr>
          <w:rFonts w:ascii="Times New Roman"/>
          <w:spacing w:val="-2"/>
        </w:rPr>
        <w:t>Chou,</w:t>
      </w:r>
      <w:r>
        <w:rPr>
          <w:rFonts w:ascii="Times New Roman"/>
          <w:spacing w:val="-12"/>
        </w:rPr>
        <w:t> </w:t>
      </w:r>
      <w:r>
        <w:rPr>
          <w:rFonts w:ascii="Times New Roman"/>
          <w:spacing w:val="-2"/>
        </w:rPr>
        <w:t>T.</w:t>
      </w:r>
      <w:r>
        <w:rPr>
          <w:rFonts w:ascii="Times New Roman"/>
          <w:spacing w:val="-10"/>
        </w:rPr>
        <w:t> </w:t>
      </w:r>
      <w:r>
        <w:rPr>
          <w:rFonts w:ascii="Times New Roman"/>
          <w:spacing w:val="-2"/>
        </w:rPr>
        <w:t>C.,</w:t>
      </w:r>
      <w:r>
        <w:rPr>
          <w:rFonts w:ascii="Times New Roman"/>
          <w:spacing w:val="-12"/>
        </w:rPr>
        <w:t> </w:t>
      </w:r>
      <w:r>
        <w:rPr>
          <w:rFonts w:ascii="Times New Roman"/>
          <w:spacing w:val="-2"/>
        </w:rPr>
        <w:t>Wu,</w:t>
      </w:r>
      <w:r>
        <w:rPr>
          <w:rFonts w:ascii="Times New Roman"/>
          <w:spacing w:val="-10"/>
        </w:rPr>
        <w:t> </w:t>
      </w:r>
      <w:r>
        <w:rPr>
          <w:rFonts w:ascii="Times New Roman"/>
          <w:spacing w:val="-2"/>
        </w:rPr>
        <w:t>S.</w:t>
      </w:r>
      <w:r>
        <w:rPr>
          <w:rFonts w:ascii="Times New Roman"/>
          <w:spacing w:val="-10"/>
        </w:rPr>
        <w:t> </w:t>
      </w:r>
      <w:r>
        <w:rPr>
          <w:rFonts w:ascii="Times New Roman"/>
          <w:spacing w:val="-2"/>
        </w:rPr>
        <w:t>H.,</w:t>
      </w:r>
      <w:r>
        <w:rPr>
          <w:rFonts w:ascii="Times New Roman"/>
          <w:spacing w:val="-10"/>
        </w:rPr>
        <w:t> </w:t>
      </w:r>
      <w:r>
        <w:rPr>
          <w:rFonts w:ascii="Times New Roman"/>
          <w:spacing w:val="-2"/>
        </w:rPr>
        <w:t>Chen,</w:t>
      </w:r>
      <w:r>
        <w:rPr>
          <w:rFonts w:ascii="Times New Roman"/>
          <w:spacing w:val="-10"/>
        </w:rPr>
        <w:t> </w:t>
      </w:r>
      <w:r>
        <w:rPr>
          <w:rFonts w:ascii="Times New Roman"/>
          <w:spacing w:val="-2"/>
        </w:rPr>
        <w:t>J.</w:t>
      </w:r>
      <w:r>
        <w:rPr>
          <w:rFonts w:ascii="Times New Roman"/>
          <w:spacing w:val="-10"/>
        </w:rPr>
        <w:t> </w:t>
      </w:r>
      <w:r>
        <w:rPr>
          <w:rFonts w:ascii="Times New Roman"/>
          <w:spacing w:val="-2"/>
        </w:rPr>
        <w:t>R.,</w:t>
      </w:r>
      <w:r>
        <w:rPr>
          <w:rFonts w:ascii="Times New Roman"/>
          <w:spacing w:val="-10"/>
        </w:rPr>
        <w:t> </w:t>
      </w:r>
      <w:r>
        <w:rPr>
          <w:rFonts w:ascii="Times New Roman"/>
          <w:spacing w:val="-2"/>
        </w:rPr>
        <w:t>&amp;</w:t>
      </w:r>
      <w:r>
        <w:rPr>
          <w:rFonts w:ascii="Times New Roman"/>
          <w:spacing w:val="-9"/>
        </w:rPr>
        <w:t> </w:t>
      </w:r>
      <w:r>
        <w:rPr>
          <w:rFonts w:ascii="Times New Roman"/>
          <w:spacing w:val="-2"/>
        </w:rPr>
        <w:t>Huang,</w:t>
      </w:r>
      <w:r>
        <w:rPr>
          <w:rFonts w:ascii="Times New Roman"/>
          <w:spacing w:val="-7"/>
        </w:rPr>
        <w:t> </w:t>
      </w:r>
      <w:r>
        <w:rPr>
          <w:rFonts w:ascii="Times New Roman"/>
          <w:spacing w:val="-2"/>
        </w:rPr>
        <w:t>C.</w:t>
      </w:r>
      <w:r>
        <w:rPr>
          <w:rFonts w:ascii="Times New Roman"/>
          <w:spacing w:val="-10"/>
        </w:rPr>
        <w:t> </w:t>
      </w:r>
      <w:r>
        <w:rPr>
          <w:rFonts w:ascii="Times New Roman"/>
          <w:spacing w:val="-2"/>
        </w:rPr>
        <w:t>H.</w:t>
      </w:r>
      <w:r>
        <w:rPr>
          <w:rFonts w:ascii="Times New Roman"/>
          <w:spacing w:val="-10"/>
        </w:rPr>
        <w:t> </w:t>
      </w:r>
      <w:r>
        <w:rPr>
          <w:rFonts w:ascii="Times New Roman"/>
          <w:spacing w:val="-2"/>
        </w:rPr>
        <w:t>(2020).</w:t>
      </w:r>
      <w:r>
        <w:rPr>
          <w:rFonts w:ascii="Times New Roman"/>
          <w:spacing w:val="-11"/>
        </w:rPr>
        <w:t> </w:t>
      </w:r>
      <w:r>
        <w:rPr>
          <w:rFonts w:ascii="Times New Roman"/>
          <w:spacing w:val="-2"/>
        </w:rPr>
        <w:t>Exploring</w:t>
      </w:r>
      <w:r>
        <w:rPr>
          <w:rFonts w:ascii="Times New Roman"/>
          <w:spacing w:val="-10"/>
        </w:rPr>
        <w:t> </w:t>
      </w:r>
      <w:r>
        <w:rPr>
          <w:rFonts w:ascii="Times New Roman"/>
          <w:spacing w:val="-2"/>
        </w:rPr>
        <w:t>dominant</w:t>
      </w:r>
      <w:r>
        <w:rPr>
          <w:rFonts w:ascii="Times New Roman"/>
          <w:spacing w:val="-9"/>
        </w:rPr>
        <w:t> </w:t>
      </w:r>
      <w:r>
        <w:rPr>
          <w:rFonts w:ascii="Times New Roman"/>
          <w:spacing w:val="-2"/>
        </w:rPr>
        <w:t>business </w:t>
      </w:r>
      <w:r>
        <w:rPr>
          <w:rFonts w:ascii="Times New Roman"/>
        </w:rPr>
        <w:t>logic transformation practices: a routine enactment perspective. Technology Analysis &amp; Strategic Management, 32(10), 1142-1155.</w:t>
      </w:r>
    </w:p>
    <w:p>
      <w:pPr>
        <w:pStyle w:val="BodyText"/>
        <w:spacing w:line="470" w:lineRule="auto" w:before="106"/>
        <w:ind w:left="481" w:right="397" w:hanging="480"/>
        <w:rPr>
          <w:rFonts w:ascii="Times New Roman"/>
        </w:rPr>
      </w:pPr>
      <w:r>
        <w:rPr>
          <w:rFonts w:ascii="Times New Roman"/>
        </w:rPr>
        <w:drawing>
          <wp:anchor distT="0" distB="0" distL="0" distR="0" allowOverlap="1" layoutInCell="1" locked="0" behindDoc="1" simplePos="0" relativeHeight="485837312">
            <wp:simplePos x="0" y="0"/>
            <wp:positionH relativeFrom="page">
              <wp:posOffset>3312414</wp:posOffset>
            </wp:positionH>
            <wp:positionV relativeFrom="paragraph">
              <wp:posOffset>781929</wp:posOffset>
            </wp:positionV>
            <wp:extent cx="929640" cy="978408"/>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Demirkan, H., Cheng, H. K., &amp; Bandyopadhyay, S. (2010). Coordination strategies in an SaaS supply chain.</w:t>
      </w:r>
      <w:r>
        <w:rPr>
          <w:rFonts w:ascii="Times New Roman"/>
          <w:spacing w:val="-1"/>
        </w:rPr>
        <w:t> </w:t>
      </w:r>
      <w:r>
        <w:rPr>
          <w:rFonts w:ascii="Times New Roman"/>
        </w:rPr>
        <w:t>*Journal of Management Information Systems*,</w:t>
      </w:r>
      <w:r>
        <w:rPr>
          <w:rFonts w:ascii="Times New Roman"/>
          <w:spacing w:val="-1"/>
        </w:rPr>
        <w:t> </w:t>
      </w:r>
      <w:r>
        <w:rPr>
          <w:rFonts w:ascii="Times New Roman"/>
        </w:rPr>
        <w:t>*26*(4), </w:t>
      </w:r>
      <w:r>
        <w:rPr>
          <w:rFonts w:ascii="Times New Roman"/>
          <w:spacing w:val="-2"/>
        </w:rPr>
        <w:t>119-143.</w:t>
      </w:r>
    </w:p>
    <w:p>
      <w:pPr>
        <w:spacing w:line="470" w:lineRule="auto" w:before="105"/>
        <w:ind w:left="481" w:right="399" w:hanging="480"/>
        <w:jc w:val="both"/>
        <w:rPr>
          <w:rFonts w:ascii="Times New Roman"/>
          <w:sz w:val="24"/>
        </w:rPr>
      </w:pPr>
      <w:r>
        <w:rPr>
          <w:rFonts w:ascii="Times New Roman"/>
          <w:sz w:val="24"/>
        </w:rPr>
        <w:t>De Sordi, J. O. (2024). Overview of Qualitative Research. In </w:t>
      </w:r>
      <w:r>
        <w:rPr>
          <w:rFonts w:ascii="Times New Roman"/>
          <w:i/>
          <w:sz w:val="24"/>
        </w:rPr>
        <w:t>Qualitative Research Methods In Business: Techniques for Data Collection and Analysis</w:t>
      </w:r>
      <w:r>
        <w:rPr>
          <w:rFonts w:ascii="Times New Roman"/>
          <w:i/>
          <w:spacing w:val="-1"/>
          <w:sz w:val="24"/>
        </w:rPr>
        <w:t> </w:t>
      </w:r>
      <w:r>
        <w:rPr>
          <w:rFonts w:ascii="Times New Roman"/>
          <w:sz w:val="24"/>
        </w:rPr>
        <w:t>(pp. 3-21). Cham: Springer Nature Switzerland.</w:t>
      </w:r>
    </w:p>
    <w:p>
      <w:pPr>
        <w:pStyle w:val="BodyText"/>
        <w:spacing w:line="470" w:lineRule="auto" w:before="106"/>
        <w:ind w:left="481" w:right="340" w:hanging="480"/>
        <w:rPr>
          <w:rFonts w:ascii="Times New Roman"/>
        </w:rPr>
      </w:pPr>
      <w:r>
        <w:rPr>
          <w:rFonts w:ascii="Times New Roman"/>
        </w:rPr>
        <w:t>Doganova, L., &amp; Laurent, B. (2019). Carving out a domain for the market: boundary making</w:t>
      </w:r>
      <w:r>
        <w:rPr>
          <w:rFonts w:ascii="Times New Roman"/>
          <w:spacing w:val="-12"/>
        </w:rPr>
        <w:t> </w:t>
      </w:r>
      <w:r>
        <w:rPr>
          <w:rFonts w:ascii="Times New Roman"/>
        </w:rPr>
        <w:t>in</w:t>
      </w:r>
      <w:r>
        <w:rPr>
          <w:rFonts w:ascii="Times New Roman"/>
          <w:spacing w:val="-12"/>
        </w:rPr>
        <w:t> </w:t>
      </w:r>
      <w:r>
        <w:rPr>
          <w:rFonts w:ascii="Times New Roman"/>
        </w:rPr>
        <w:t>European</w:t>
      </w:r>
      <w:r>
        <w:rPr>
          <w:rFonts w:ascii="Times New Roman"/>
          <w:spacing w:val="-12"/>
        </w:rPr>
        <w:t> </w:t>
      </w:r>
      <w:r>
        <w:rPr>
          <w:rFonts w:ascii="Times New Roman"/>
        </w:rPr>
        <w:t>environmental</w:t>
      </w:r>
      <w:r>
        <w:rPr>
          <w:rFonts w:ascii="Times New Roman"/>
          <w:spacing w:val="-12"/>
        </w:rPr>
        <w:t> </w:t>
      </w:r>
      <w:r>
        <w:rPr>
          <w:rFonts w:ascii="Times New Roman"/>
        </w:rPr>
        <w:t>markets.</w:t>
      </w:r>
      <w:r>
        <w:rPr>
          <w:rFonts w:ascii="Times New Roman"/>
          <w:spacing w:val="-11"/>
        </w:rPr>
        <w:t> </w:t>
      </w:r>
      <w:r>
        <w:rPr>
          <w:rFonts w:ascii="Times New Roman"/>
        </w:rPr>
        <w:t>Economy</w:t>
      </w:r>
      <w:r>
        <w:rPr>
          <w:rFonts w:ascii="Times New Roman"/>
          <w:spacing w:val="-12"/>
        </w:rPr>
        <w:t> </w:t>
      </w:r>
      <w:r>
        <w:rPr>
          <w:rFonts w:ascii="Times New Roman"/>
        </w:rPr>
        <w:t>and</w:t>
      </w:r>
      <w:r>
        <w:rPr>
          <w:rFonts w:ascii="Times New Roman"/>
          <w:spacing w:val="-12"/>
        </w:rPr>
        <w:t> </w:t>
      </w:r>
      <w:r>
        <w:rPr>
          <w:rFonts w:ascii="Times New Roman"/>
        </w:rPr>
        <w:t>Society,</w:t>
      </w:r>
      <w:r>
        <w:rPr>
          <w:rFonts w:ascii="Times New Roman"/>
          <w:spacing w:val="-12"/>
        </w:rPr>
        <w:t> </w:t>
      </w:r>
      <w:r>
        <w:rPr>
          <w:rFonts w:ascii="Times New Roman"/>
        </w:rPr>
        <w:t>48(2),</w:t>
      </w:r>
      <w:r>
        <w:rPr>
          <w:rFonts w:ascii="Times New Roman"/>
          <w:spacing w:val="-10"/>
        </w:rPr>
        <w:t> </w:t>
      </w:r>
      <w:r>
        <w:rPr>
          <w:rFonts w:ascii="Times New Roman"/>
        </w:rPr>
        <w:t>221-</w:t>
      </w:r>
      <w:r>
        <w:rPr>
          <w:rFonts w:ascii="Times New Roman"/>
          <w:spacing w:val="-4"/>
        </w:rPr>
        <w:t>242.</w:t>
      </w:r>
    </w:p>
    <w:p>
      <w:pPr>
        <w:pStyle w:val="BodyText"/>
        <w:spacing w:line="470" w:lineRule="auto" w:before="106"/>
        <w:ind w:left="481" w:right="401" w:hanging="480"/>
        <w:rPr>
          <w:rFonts w:ascii="Times New Roman" w:hAnsi="Times New Roman"/>
        </w:rPr>
      </w:pPr>
      <w:r>
        <w:rPr>
          <w:rFonts w:ascii="Times New Roman" w:hAnsi="Times New Roman"/>
        </w:rPr>
        <w:t>Duneier,</w:t>
      </w:r>
      <w:r>
        <w:rPr>
          <w:rFonts w:ascii="Times New Roman" w:hAnsi="Times New Roman"/>
          <w:spacing w:val="-14"/>
        </w:rPr>
        <w:t> </w:t>
      </w:r>
      <w:r>
        <w:rPr>
          <w:rFonts w:ascii="Times New Roman" w:hAnsi="Times New Roman"/>
        </w:rPr>
        <w:t>M.,</w:t>
      </w:r>
      <w:r>
        <w:rPr>
          <w:rFonts w:ascii="Times New Roman" w:hAnsi="Times New Roman"/>
          <w:spacing w:val="-13"/>
        </w:rPr>
        <w:t> </w:t>
      </w:r>
      <w:r>
        <w:rPr>
          <w:rFonts w:ascii="Times New Roman" w:hAnsi="Times New Roman"/>
        </w:rPr>
        <w:t>&amp;</w:t>
      </w:r>
      <w:r>
        <w:rPr>
          <w:rFonts w:ascii="Times New Roman" w:hAnsi="Times New Roman"/>
          <w:spacing w:val="-13"/>
        </w:rPr>
        <w:t> </w:t>
      </w:r>
      <w:r>
        <w:rPr>
          <w:rFonts w:ascii="Times New Roman" w:hAnsi="Times New Roman"/>
        </w:rPr>
        <w:t>Molotch,</w:t>
      </w:r>
      <w:r>
        <w:rPr>
          <w:rFonts w:ascii="Times New Roman" w:hAnsi="Times New Roman"/>
          <w:spacing w:val="-12"/>
        </w:rPr>
        <w:t> </w:t>
      </w:r>
      <w:r>
        <w:rPr>
          <w:rFonts w:ascii="Times New Roman" w:hAnsi="Times New Roman"/>
        </w:rPr>
        <w:t>H.</w:t>
      </w:r>
      <w:r>
        <w:rPr>
          <w:rFonts w:ascii="Times New Roman" w:hAnsi="Times New Roman"/>
          <w:spacing w:val="-14"/>
        </w:rPr>
        <w:t> </w:t>
      </w:r>
      <w:r>
        <w:rPr>
          <w:rFonts w:ascii="Times New Roman" w:hAnsi="Times New Roman"/>
        </w:rPr>
        <w:t>(1999).</w:t>
      </w:r>
      <w:r>
        <w:rPr>
          <w:rFonts w:ascii="Times New Roman" w:hAnsi="Times New Roman"/>
          <w:spacing w:val="-15"/>
        </w:rPr>
        <w:t> </w:t>
      </w:r>
      <w:r>
        <w:rPr>
          <w:rFonts w:ascii="Times New Roman" w:hAnsi="Times New Roman"/>
        </w:rPr>
        <w:t>Talking</w:t>
      </w:r>
      <w:r>
        <w:rPr>
          <w:rFonts w:ascii="Times New Roman" w:hAnsi="Times New Roman"/>
          <w:spacing w:val="-14"/>
        </w:rPr>
        <w:t> </w:t>
      </w:r>
      <w:r>
        <w:rPr>
          <w:rFonts w:ascii="Times New Roman" w:hAnsi="Times New Roman"/>
        </w:rPr>
        <w:t>city</w:t>
      </w:r>
      <w:r>
        <w:rPr>
          <w:rFonts w:ascii="Times New Roman" w:hAnsi="Times New Roman"/>
          <w:spacing w:val="-14"/>
        </w:rPr>
        <w:t> </w:t>
      </w:r>
      <w:r>
        <w:rPr>
          <w:rFonts w:ascii="Times New Roman" w:hAnsi="Times New Roman"/>
        </w:rPr>
        <w:t>trouble:</w:t>
      </w:r>
      <w:r>
        <w:rPr>
          <w:rFonts w:ascii="Times New Roman" w:hAnsi="Times New Roman"/>
          <w:spacing w:val="-14"/>
        </w:rPr>
        <w:t> </w:t>
      </w:r>
      <w:r>
        <w:rPr>
          <w:rFonts w:ascii="Times New Roman" w:hAnsi="Times New Roman"/>
        </w:rPr>
        <w:t>Interactional</w:t>
      </w:r>
      <w:r>
        <w:rPr>
          <w:rFonts w:ascii="Times New Roman" w:hAnsi="Times New Roman"/>
          <w:spacing w:val="-13"/>
        </w:rPr>
        <w:t> </w:t>
      </w:r>
      <w:r>
        <w:rPr>
          <w:rFonts w:ascii="Times New Roman" w:hAnsi="Times New Roman"/>
        </w:rPr>
        <w:t>vandalism,</w:t>
      </w:r>
      <w:r>
        <w:rPr>
          <w:rFonts w:ascii="Times New Roman" w:hAnsi="Times New Roman"/>
          <w:spacing w:val="-13"/>
        </w:rPr>
        <w:t> </w:t>
      </w:r>
      <w:r>
        <w:rPr>
          <w:rFonts w:ascii="Times New Roman" w:hAnsi="Times New Roman"/>
        </w:rPr>
        <w:t>social inequality, and the “urban interaction problem”. *American Journal of Sociology*, *104*(5), 1263-1295.</w:t>
      </w:r>
    </w:p>
    <w:p>
      <w:pPr>
        <w:pStyle w:val="BodyText"/>
        <w:spacing w:line="470" w:lineRule="auto" w:before="106"/>
        <w:ind w:left="481" w:right="401" w:hanging="480"/>
        <w:rPr>
          <w:rFonts w:ascii="Times New Roman"/>
        </w:rPr>
      </w:pPr>
      <w:r>
        <w:rPr>
          <w:rFonts w:ascii="Times New Roman"/>
        </w:rPr>
        <w:t>Edmondson, A. C., &amp; Harvey, J. F. (2018). Cross-boundary teaming for innovation: Integrating research on teams and knowledge in organizations. Human Resource Management Review, 28(4), 347-360.</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407" w:hanging="480"/>
        <w:rPr>
          <w:rFonts w:ascii="Times New Roman"/>
        </w:rPr>
      </w:pPr>
      <w:r>
        <w:rPr>
          <w:rFonts w:ascii="Times New Roman"/>
        </w:rPr>
        <w:t>Eisenhardt, K. M. (1989). Building theories from case study research. *Academy of Management Review*, 14(4), 532-550.</w:t>
      </w:r>
    </w:p>
    <w:p>
      <w:pPr>
        <w:pStyle w:val="BodyText"/>
        <w:spacing w:line="470" w:lineRule="auto" w:before="107"/>
        <w:ind w:left="481" w:right="400" w:hanging="480"/>
        <w:rPr>
          <w:rFonts w:ascii="Times New Roman"/>
        </w:rPr>
      </w:pPr>
      <w:r>
        <w:rPr>
          <w:rFonts w:ascii="Times New Roman"/>
        </w:rPr>
        <w:t>Eisenhardt,</w:t>
      </w:r>
      <w:r>
        <w:rPr>
          <w:rFonts w:ascii="Times New Roman"/>
          <w:spacing w:val="-15"/>
        </w:rPr>
        <w:t> </w:t>
      </w:r>
      <w:r>
        <w:rPr>
          <w:rFonts w:ascii="Times New Roman"/>
        </w:rPr>
        <w:t>K.</w:t>
      </w:r>
      <w:r>
        <w:rPr>
          <w:rFonts w:ascii="Times New Roman"/>
          <w:spacing w:val="-15"/>
        </w:rPr>
        <w:t> </w:t>
      </w:r>
      <w:r>
        <w:rPr>
          <w:rFonts w:ascii="Times New Roman"/>
        </w:rPr>
        <w:t>M.,</w:t>
      </w:r>
      <w:r>
        <w:rPr>
          <w:rFonts w:ascii="Times New Roman"/>
          <w:spacing w:val="-15"/>
        </w:rPr>
        <w:t> </w:t>
      </w:r>
      <w:r>
        <w:rPr>
          <w:rFonts w:ascii="Times New Roman"/>
        </w:rPr>
        <w:t>&amp;</w:t>
      </w:r>
      <w:r>
        <w:rPr>
          <w:rFonts w:ascii="Times New Roman"/>
          <w:spacing w:val="-15"/>
        </w:rPr>
        <w:t> </w:t>
      </w:r>
      <w:r>
        <w:rPr>
          <w:rFonts w:ascii="Times New Roman"/>
        </w:rPr>
        <w:t>Graebner,</w:t>
      </w:r>
      <w:r>
        <w:rPr>
          <w:rFonts w:ascii="Times New Roman"/>
          <w:spacing w:val="-15"/>
        </w:rPr>
        <w:t> </w:t>
      </w:r>
      <w:r>
        <w:rPr>
          <w:rFonts w:ascii="Times New Roman"/>
        </w:rPr>
        <w:t>M.</w:t>
      </w:r>
      <w:r>
        <w:rPr>
          <w:rFonts w:ascii="Times New Roman"/>
          <w:spacing w:val="-15"/>
        </w:rPr>
        <w:t> </w:t>
      </w:r>
      <w:r>
        <w:rPr>
          <w:rFonts w:ascii="Times New Roman"/>
        </w:rPr>
        <w:t>E.</w:t>
      </w:r>
      <w:r>
        <w:rPr>
          <w:rFonts w:ascii="Times New Roman"/>
          <w:spacing w:val="-15"/>
        </w:rPr>
        <w:t> </w:t>
      </w:r>
      <w:r>
        <w:rPr>
          <w:rFonts w:ascii="Times New Roman"/>
        </w:rPr>
        <w:t>(2007).</w:t>
      </w:r>
      <w:r>
        <w:rPr>
          <w:rFonts w:ascii="Times New Roman"/>
          <w:spacing w:val="-15"/>
        </w:rPr>
        <w:t> </w:t>
      </w:r>
      <w:r>
        <w:rPr>
          <w:rFonts w:ascii="Times New Roman"/>
        </w:rPr>
        <w:t>Theory</w:t>
      </w:r>
      <w:r>
        <w:rPr>
          <w:rFonts w:ascii="Times New Roman"/>
          <w:spacing w:val="-15"/>
        </w:rPr>
        <w:t> </w:t>
      </w:r>
      <w:r>
        <w:rPr>
          <w:rFonts w:ascii="Times New Roman"/>
        </w:rPr>
        <w:t>building</w:t>
      </w:r>
      <w:r>
        <w:rPr>
          <w:rFonts w:ascii="Times New Roman"/>
          <w:spacing w:val="-15"/>
        </w:rPr>
        <w:t> </w:t>
      </w:r>
      <w:r>
        <w:rPr>
          <w:rFonts w:ascii="Times New Roman"/>
        </w:rPr>
        <w:t>from</w:t>
      </w:r>
      <w:r>
        <w:rPr>
          <w:rFonts w:ascii="Times New Roman"/>
          <w:spacing w:val="-15"/>
        </w:rPr>
        <w:t> </w:t>
      </w:r>
      <w:r>
        <w:rPr>
          <w:rFonts w:ascii="Times New Roman"/>
        </w:rPr>
        <w:t>cases:</w:t>
      </w:r>
      <w:r>
        <w:rPr>
          <w:rFonts w:ascii="Times New Roman"/>
          <w:spacing w:val="-15"/>
        </w:rPr>
        <w:t> </w:t>
      </w:r>
      <w:r>
        <w:rPr>
          <w:rFonts w:ascii="Times New Roman"/>
        </w:rPr>
        <w:t>Opportunities and challenges. *Academy of Management Journal*, 50(1), 25-32.</w:t>
      </w:r>
    </w:p>
    <w:p>
      <w:pPr>
        <w:pStyle w:val="BodyText"/>
        <w:spacing w:line="470" w:lineRule="auto" w:before="106"/>
        <w:ind w:left="481" w:right="392" w:hanging="480"/>
        <w:rPr>
          <w:rFonts w:ascii="Times New Roman" w:hAnsi="Times New Roman"/>
        </w:rPr>
      </w:pPr>
      <w:r>
        <w:rPr>
          <w:rFonts w:ascii="Times New Roman" w:hAnsi="Times New Roman"/>
        </w:rPr>
        <w:t>Espadas,</w:t>
      </w:r>
      <w:r>
        <w:rPr>
          <w:rFonts w:ascii="Times New Roman" w:hAnsi="Times New Roman"/>
          <w:spacing w:val="-3"/>
        </w:rPr>
        <w:t> </w:t>
      </w:r>
      <w:r>
        <w:rPr>
          <w:rFonts w:ascii="Times New Roman" w:hAnsi="Times New Roman"/>
        </w:rPr>
        <w:t>J.,</w:t>
      </w:r>
      <w:r>
        <w:rPr>
          <w:rFonts w:ascii="Times New Roman" w:hAnsi="Times New Roman"/>
          <w:spacing w:val="-3"/>
        </w:rPr>
        <w:t> </w:t>
      </w:r>
      <w:r>
        <w:rPr>
          <w:rFonts w:ascii="Times New Roman" w:hAnsi="Times New Roman"/>
        </w:rPr>
        <w:t>Molina,</w:t>
      </w:r>
      <w:r>
        <w:rPr>
          <w:rFonts w:ascii="Times New Roman" w:hAnsi="Times New Roman"/>
          <w:spacing w:val="-15"/>
        </w:rPr>
        <w:t> </w:t>
      </w:r>
      <w:r>
        <w:rPr>
          <w:rFonts w:ascii="Times New Roman" w:hAnsi="Times New Roman"/>
        </w:rPr>
        <w:t>A.,</w:t>
      </w:r>
      <w:r>
        <w:rPr>
          <w:rFonts w:ascii="Times New Roman" w:hAnsi="Times New Roman"/>
          <w:spacing w:val="-2"/>
        </w:rPr>
        <w:t> </w:t>
      </w:r>
      <w:r>
        <w:rPr>
          <w:rFonts w:ascii="Times New Roman" w:hAnsi="Times New Roman"/>
        </w:rPr>
        <w:t>Jiménez,</w:t>
      </w:r>
      <w:r>
        <w:rPr>
          <w:rFonts w:ascii="Times New Roman" w:hAnsi="Times New Roman"/>
          <w:spacing w:val="-3"/>
        </w:rPr>
        <w:t> </w:t>
      </w:r>
      <w:r>
        <w:rPr>
          <w:rFonts w:ascii="Times New Roman" w:hAnsi="Times New Roman"/>
        </w:rPr>
        <w:t>G.,</w:t>
      </w:r>
      <w:r>
        <w:rPr>
          <w:rFonts w:ascii="Times New Roman" w:hAnsi="Times New Roman"/>
          <w:spacing w:val="-2"/>
        </w:rPr>
        <w:t> </w:t>
      </w:r>
      <w:r>
        <w:rPr>
          <w:rFonts w:ascii="Times New Roman" w:hAnsi="Times New Roman"/>
        </w:rPr>
        <w:t>Molina,</w:t>
      </w:r>
      <w:r>
        <w:rPr>
          <w:rFonts w:ascii="Times New Roman" w:hAnsi="Times New Roman"/>
          <w:spacing w:val="-3"/>
        </w:rPr>
        <w:t> </w:t>
      </w:r>
      <w:r>
        <w:rPr>
          <w:rFonts w:ascii="Times New Roman" w:hAnsi="Times New Roman"/>
        </w:rPr>
        <w:t>M.,</w:t>
      </w:r>
      <w:r>
        <w:rPr>
          <w:rFonts w:ascii="Times New Roman" w:hAnsi="Times New Roman"/>
          <w:spacing w:val="-1"/>
        </w:rPr>
        <w:t> </w:t>
      </w:r>
      <w:r>
        <w:rPr>
          <w:rFonts w:ascii="Times New Roman" w:hAnsi="Times New Roman"/>
        </w:rPr>
        <w:t>Ramírez,</w:t>
      </w:r>
      <w:r>
        <w:rPr>
          <w:rFonts w:ascii="Times New Roman" w:hAnsi="Times New Roman"/>
          <w:spacing w:val="-3"/>
        </w:rPr>
        <w:t> </w:t>
      </w:r>
      <w:r>
        <w:rPr>
          <w:rFonts w:ascii="Times New Roman" w:hAnsi="Times New Roman"/>
        </w:rPr>
        <w:t>R.,</w:t>
      </w:r>
      <w:r>
        <w:rPr>
          <w:rFonts w:ascii="Times New Roman" w:hAnsi="Times New Roman"/>
          <w:spacing w:val="-3"/>
        </w:rPr>
        <w:t> </w:t>
      </w:r>
      <w:r>
        <w:rPr>
          <w:rFonts w:ascii="Times New Roman" w:hAnsi="Times New Roman"/>
        </w:rPr>
        <w:t>&amp;</w:t>
      </w:r>
      <w:r>
        <w:rPr>
          <w:rFonts w:ascii="Times New Roman" w:hAnsi="Times New Roman"/>
          <w:spacing w:val="-3"/>
        </w:rPr>
        <w:t> </w:t>
      </w:r>
      <w:r>
        <w:rPr>
          <w:rFonts w:ascii="Times New Roman" w:hAnsi="Times New Roman"/>
        </w:rPr>
        <w:t>Concha,</w:t>
      </w:r>
      <w:r>
        <w:rPr>
          <w:rFonts w:ascii="Times New Roman" w:hAnsi="Times New Roman"/>
          <w:spacing w:val="-1"/>
        </w:rPr>
        <w:t> </w:t>
      </w:r>
      <w:r>
        <w:rPr>
          <w:rFonts w:ascii="Times New Roman" w:hAnsi="Times New Roman"/>
        </w:rPr>
        <w:t>D.</w:t>
      </w:r>
      <w:r>
        <w:rPr>
          <w:rFonts w:ascii="Times New Roman" w:hAnsi="Times New Roman"/>
          <w:spacing w:val="-3"/>
        </w:rPr>
        <w:t> </w:t>
      </w:r>
      <w:r>
        <w:rPr>
          <w:rFonts w:ascii="Times New Roman" w:hAnsi="Times New Roman"/>
        </w:rPr>
        <w:t>(2013).</w:t>
      </w:r>
      <w:r>
        <w:rPr>
          <w:rFonts w:ascii="Times New Roman" w:hAnsi="Times New Roman"/>
          <w:spacing w:val="-15"/>
        </w:rPr>
        <w:t> </w:t>
      </w:r>
      <w:r>
        <w:rPr>
          <w:rFonts w:ascii="Times New Roman" w:hAnsi="Times New Roman"/>
        </w:rPr>
        <w:t>A tenant-based resource allocation model for scaling Software-as-a-Service applications over cloud computing infrastructures. Future Generation Computer Systems, 29(1), 273-286.</w:t>
      </w:r>
    </w:p>
    <w:p>
      <w:pPr>
        <w:pStyle w:val="BodyText"/>
        <w:spacing w:line="470" w:lineRule="auto" w:before="105"/>
        <w:ind w:left="481" w:right="402" w:hanging="480"/>
        <w:rPr>
          <w:rFonts w:ascii="Times New Roman"/>
        </w:rPr>
      </w:pPr>
      <w:r>
        <w:rPr>
          <w:rFonts w:ascii="Times New Roman"/>
        </w:rPr>
        <w:drawing>
          <wp:anchor distT="0" distB="0" distL="0" distR="0" allowOverlap="1" layoutInCell="1" locked="0" behindDoc="1" simplePos="0" relativeHeight="485837824">
            <wp:simplePos x="0" y="0"/>
            <wp:positionH relativeFrom="page">
              <wp:posOffset>3312414</wp:posOffset>
            </wp:positionH>
            <wp:positionV relativeFrom="paragraph">
              <wp:posOffset>781359</wp:posOffset>
            </wp:positionV>
            <wp:extent cx="929640" cy="978408"/>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Fixson, S. K., Khachatryan, D., &amp; Lee,</w:t>
      </w:r>
      <w:r>
        <w:rPr>
          <w:rFonts w:ascii="Times New Roman"/>
          <w:spacing w:val="-1"/>
        </w:rPr>
        <w:t> </w:t>
      </w:r>
      <w:r>
        <w:rPr>
          <w:rFonts w:ascii="Times New Roman"/>
        </w:rPr>
        <w:t>W. (2017).</w:t>
      </w:r>
      <w:r>
        <w:rPr>
          <w:rFonts w:ascii="Times New Roman"/>
          <w:spacing w:val="-1"/>
        </w:rPr>
        <w:t> </w:t>
      </w:r>
      <w:r>
        <w:rPr>
          <w:rFonts w:ascii="Times New Roman"/>
        </w:rPr>
        <w:t>Technological uncertainty and firm boundaries:</w:t>
      </w:r>
      <w:r>
        <w:rPr>
          <w:rFonts w:ascii="Times New Roman"/>
          <w:spacing w:val="-15"/>
        </w:rPr>
        <w:t> </w:t>
      </w:r>
      <w:r>
        <w:rPr>
          <w:rFonts w:ascii="Times New Roman"/>
        </w:rPr>
        <w:t>The</w:t>
      </w:r>
      <w:r>
        <w:rPr>
          <w:rFonts w:ascii="Times New Roman"/>
          <w:spacing w:val="-15"/>
        </w:rPr>
        <w:t> </w:t>
      </w:r>
      <w:r>
        <w:rPr>
          <w:rFonts w:ascii="Times New Roman"/>
        </w:rPr>
        <w:t>moderating</w:t>
      </w:r>
      <w:r>
        <w:rPr>
          <w:rFonts w:ascii="Times New Roman"/>
          <w:spacing w:val="-15"/>
        </w:rPr>
        <w:t> </w:t>
      </w:r>
      <w:r>
        <w:rPr>
          <w:rFonts w:ascii="Times New Roman"/>
        </w:rPr>
        <w:t>effect</w:t>
      </w:r>
      <w:r>
        <w:rPr>
          <w:rFonts w:ascii="Times New Roman"/>
          <w:spacing w:val="-15"/>
        </w:rPr>
        <w:t> </w:t>
      </w:r>
      <w:r>
        <w:rPr>
          <w:rFonts w:ascii="Times New Roman"/>
        </w:rPr>
        <w:t>of</w:t>
      </w:r>
      <w:r>
        <w:rPr>
          <w:rFonts w:ascii="Times New Roman"/>
          <w:spacing w:val="-15"/>
        </w:rPr>
        <w:t> </w:t>
      </w:r>
      <w:r>
        <w:rPr>
          <w:rFonts w:ascii="Times New Roman"/>
        </w:rPr>
        <w:t>knowledge</w:t>
      </w:r>
      <w:r>
        <w:rPr>
          <w:rFonts w:ascii="Times New Roman"/>
          <w:spacing w:val="-15"/>
        </w:rPr>
        <w:t> </w:t>
      </w:r>
      <w:r>
        <w:rPr>
          <w:rFonts w:ascii="Times New Roman"/>
        </w:rPr>
        <w:t>modularity.</w:t>
      </w:r>
      <w:r>
        <w:rPr>
          <w:rFonts w:ascii="Times New Roman"/>
          <w:spacing w:val="-15"/>
        </w:rPr>
        <w:t> </w:t>
      </w:r>
      <w:r>
        <w:rPr>
          <w:rFonts w:ascii="Times New Roman"/>
        </w:rPr>
        <w:t>IEEE</w:t>
      </w:r>
      <w:r>
        <w:rPr>
          <w:rFonts w:ascii="Times New Roman"/>
          <w:spacing w:val="-15"/>
        </w:rPr>
        <w:t> </w:t>
      </w:r>
      <w:r>
        <w:rPr>
          <w:rFonts w:ascii="Times New Roman"/>
        </w:rPr>
        <w:t>Transactions</w:t>
      </w:r>
      <w:r>
        <w:rPr>
          <w:rFonts w:ascii="Times New Roman"/>
          <w:spacing w:val="-15"/>
        </w:rPr>
        <w:t> </w:t>
      </w:r>
      <w:r>
        <w:rPr>
          <w:rFonts w:ascii="Times New Roman"/>
        </w:rPr>
        <w:t>on Engineering Management, 64(1), 16-28.</w:t>
      </w:r>
    </w:p>
    <w:p>
      <w:pPr>
        <w:pStyle w:val="BodyText"/>
        <w:spacing w:line="470" w:lineRule="auto" w:before="105"/>
        <w:ind w:left="481" w:right="401" w:hanging="480"/>
        <w:rPr>
          <w:rFonts w:ascii="Times New Roman"/>
        </w:rPr>
      </w:pPr>
      <w:r>
        <w:rPr>
          <w:rFonts w:ascii="Times New Roman"/>
        </w:rPr>
        <w:t>Flyvbjerg, B. (2006). Five misunderstandings about case-study research. *Qualitative Inquiry*, 12(2), 219-245.</w:t>
      </w:r>
    </w:p>
    <w:p>
      <w:pPr>
        <w:pStyle w:val="BodyText"/>
        <w:spacing w:line="470" w:lineRule="auto" w:before="107"/>
        <w:ind w:left="481" w:right="402" w:hanging="480"/>
        <w:rPr>
          <w:rFonts w:ascii="Times New Roman"/>
        </w:rPr>
      </w:pPr>
      <w:r>
        <w:rPr>
          <w:rFonts w:ascii="Times New Roman"/>
        </w:rPr>
        <w:t>Gawer,</w:t>
      </w:r>
      <w:r>
        <w:rPr>
          <w:rFonts w:ascii="Times New Roman"/>
          <w:spacing w:val="-8"/>
        </w:rPr>
        <w:t> </w:t>
      </w:r>
      <w:r>
        <w:rPr>
          <w:rFonts w:ascii="Times New Roman"/>
        </w:rPr>
        <w:t>A. (2014). Bridging differing perspectives on technological platforms: Toward an integrative framework. *Research policy*, *43*(7), 1239-1249.</w:t>
      </w:r>
    </w:p>
    <w:p>
      <w:pPr>
        <w:pStyle w:val="BodyText"/>
        <w:spacing w:line="470" w:lineRule="auto" w:before="106"/>
        <w:ind w:left="481" w:right="403" w:hanging="480"/>
        <w:rPr>
          <w:rFonts w:ascii="Times New Roman"/>
        </w:rPr>
      </w:pPr>
      <w:r>
        <w:rPr>
          <w:rFonts w:ascii="Times New Roman"/>
        </w:rPr>
        <w:t>Gawer, A.,</w:t>
      </w:r>
      <w:r>
        <w:rPr>
          <w:rFonts w:ascii="Times New Roman"/>
          <w:spacing w:val="40"/>
        </w:rPr>
        <w:t> </w:t>
      </w:r>
      <w:r>
        <w:rPr>
          <w:rFonts w:ascii="Times New Roman"/>
        </w:rPr>
        <w:t>&amp;</w:t>
      </w:r>
      <w:r>
        <w:rPr>
          <w:rFonts w:ascii="Times New Roman"/>
          <w:spacing w:val="40"/>
        </w:rPr>
        <w:t> </w:t>
      </w:r>
      <w:r>
        <w:rPr>
          <w:rFonts w:ascii="Times New Roman"/>
        </w:rPr>
        <w:t>Cusumano,</w:t>
      </w:r>
      <w:r>
        <w:rPr>
          <w:rFonts w:ascii="Times New Roman"/>
          <w:spacing w:val="40"/>
        </w:rPr>
        <w:t> </w:t>
      </w:r>
      <w:r>
        <w:rPr>
          <w:rFonts w:ascii="Times New Roman"/>
        </w:rPr>
        <w:t>M. A.</w:t>
      </w:r>
      <w:r>
        <w:rPr>
          <w:rFonts w:ascii="Times New Roman"/>
          <w:spacing w:val="40"/>
        </w:rPr>
        <w:t> </w:t>
      </w:r>
      <w:r>
        <w:rPr>
          <w:rFonts w:ascii="Times New Roman"/>
        </w:rPr>
        <w:t>(2014).</w:t>
      </w:r>
      <w:r>
        <w:rPr>
          <w:rFonts w:ascii="Times New Roman"/>
          <w:spacing w:val="40"/>
        </w:rPr>
        <w:t> </w:t>
      </w:r>
      <w:r>
        <w:rPr>
          <w:rFonts w:ascii="Times New Roman"/>
        </w:rPr>
        <w:t>Industry</w:t>
      </w:r>
      <w:r>
        <w:rPr>
          <w:rFonts w:ascii="Times New Roman"/>
          <w:spacing w:val="40"/>
        </w:rPr>
        <w:t> </w:t>
      </w:r>
      <w:r>
        <w:rPr>
          <w:rFonts w:ascii="Times New Roman"/>
        </w:rPr>
        <w:t>platforms</w:t>
      </w:r>
      <w:r>
        <w:rPr>
          <w:rFonts w:ascii="Times New Roman"/>
          <w:spacing w:val="40"/>
        </w:rPr>
        <w:t> </w:t>
      </w:r>
      <w:r>
        <w:rPr>
          <w:rFonts w:ascii="Times New Roman"/>
        </w:rPr>
        <w:t>and</w:t>
      </w:r>
      <w:r>
        <w:rPr>
          <w:rFonts w:ascii="Times New Roman"/>
          <w:spacing w:val="40"/>
        </w:rPr>
        <w:t> </w:t>
      </w:r>
      <w:r>
        <w:rPr>
          <w:rFonts w:ascii="Times New Roman"/>
        </w:rPr>
        <w:t>ecosystem innovation. *Journal of product innovation management*, *31*(3), 417-433.</w:t>
      </w:r>
    </w:p>
    <w:p>
      <w:pPr>
        <w:pStyle w:val="BodyText"/>
        <w:spacing w:line="470" w:lineRule="auto" w:before="106"/>
        <w:ind w:left="481" w:right="404" w:hanging="480"/>
        <w:rPr>
          <w:rFonts w:ascii="Times New Roman"/>
        </w:rPr>
      </w:pPr>
      <w:r>
        <w:rPr>
          <w:rFonts w:ascii="Times New Roman"/>
        </w:rPr>
        <w:t>Grant, R. M. (2001). Knowledge and organization. Managing industrial knowledge: Creation, transfer and utilization, 145-169.</w:t>
      </w:r>
    </w:p>
    <w:p>
      <w:pPr>
        <w:pStyle w:val="BodyText"/>
        <w:spacing w:line="470" w:lineRule="auto" w:before="107"/>
        <w:ind w:left="481" w:right="404" w:hanging="480"/>
        <w:rPr>
          <w:rFonts w:ascii="Times New Roman"/>
        </w:rPr>
      </w:pPr>
      <w:r>
        <w:rPr>
          <w:rFonts w:ascii="Times New Roman"/>
        </w:rPr>
        <w:t>Greenhalgh,</w:t>
      </w:r>
      <w:r>
        <w:rPr>
          <w:rFonts w:ascii="Times New Roman"/>
          <w:spacing w:val="-1"/>
        </w:rPr>
        <w:t> </w:t>
      </w:r>
      <w:r>
        <w:rPr>
          <w:rFonts w:ascii="Times New Roman"/>
        </w:rPr>
        <w:t>T.,</w:t>
      </w:r>
      <w:r>
        <w:rPr>
          <w:rFonts w:ascii="Times New Roman"/>
          <w:spacing w:val="-2"/>
        </w:rPr>
        <w:t> </w:t>
      </w:r>
      <w:r>
        <w:rPr>
          <w:rFonts w:ascii="Times New Roman"/>
        </w:rPr>
        <w:t>Wherton, J., Shaw, S., &amp; Morrison, C. (2020). Video consultations for covid-19. Bmj, 368.</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400" w:hanging="480"/>
        <w:rPr>
          <w:rFonts w:ascii="Times New Roman"/>
        </w:rPr>
      </w:pPr>
      <w:r>
        <w:rPr>
          <w:rFonts w:ascii="Times New Roman"/>
        </w:rPr>
        <w:t>Hansen, M. T. (1999). The search-transfer problem: The role of weak ties in sharing knowledge across organization subunits.</w:t>
      </w:r>
      <w:r>
        <w:rPr>
          <w:rFonts w:ascii="Times New Roman"/>
          <w:spacing w:val="-4"/>
        </w:rPr>
        <w:t> </w:t>
      </w:r>
      <w:r>
        <w:rPr>
          <w:rFonts w:ascii="Times New Roman"/>
        </w:rPr>
        <w:t>Administrative science quarterly,</w:t>
      </w:r>
      <w:r>
        <w:rPr>
          <w:rFonts w:ascii="Times New Roman"/>
          <w:spacing w:val="-5"/>
        </w:rPr>
        <w:t> </w:t>
      </w:r>
      <w:r>
        <w:rPr>
          <w:rFonts w:ascii="Times New Roman"/>
        </w:rPr>
        <w:t>44(1), </w:t>
      </w:r>
      <w:r>
        <w:rPr>
          <w:rFonts w:ascii="Times New Roman"/>
          <w:spacing w:val="-2"/>
        </w:rPr>
        <w:t>82-111.</w:t>
      </w:r>
    </w:p>
    <w:p>
      <w:pPr>
        <w:pStyle w:val="BodyText"/>
        <w:spacing w:line="470" w:lineRule="auto" w:before="106"/>
        <w:ind w:left="481" w:right="404" w:hanging="480"/>
        <w:rPr>
          <w:rFonts w:ascii="Times New Roman"/>
        </w:rPr>
      </w:pPr>
      <w:r>
        <w:rPr>
          <w:rFonts w:ascii="Times New Roman"/>
        </w:rPr>
        <w:t>Helfat, C. E., Finkelstein, S., Mitchell, W., Peteraf, M.</w:t>
      </w:r>
      <w:r>
        <w:rPr>
          <w:rFonts w:ascii="Times New Roman"/>
          <w:spacing w:val="-2"/>
        </w:rPr>
        <w:t> </w:t>
      </w:r>
      <w:r>
        <w:rPr>
          <w:rFonts w:ascii="Times New Roman"/>
        </w:rPr>
        <w:t>A., Singh, H., Teece, D. J., &amp; Winter, S. G. (2007). Dynamic capabilities: Understanding strategic change in organizations. Blackwell.</w:t>
      </w:r>
    </w:p>
    <w:p>
      <w:pPr>
        <w:pStyle w:val="BodyText"/>
        <w:spacing w:line="470" w:lineRule="auto" w:before="106"/>
        <w:ind w:left="481" w:right="403" w:hanging="480"/>
        <w:rPr>
          <w:rFonts w:ascii="Times New Roman"/>
        </w:rPr>
      </w:pPr>
      <w:r>
        <w:rPr>
          <w:rFonts w:ascii="Times New Roman"/>
        </w:rPr>
        <w:t>Henderson,</w:t>
      </w:r>
      <w:r>
        <w:rPr>
          <w:rFonts w:ascii="Times New Roman"/>
          <w:spacing w:val="-15"/>
        </w:rPr>
        <w:t> </w:t>
      </w:r>
      <w:r>
        <w:rPr>
          <w:rFonts w:ascii="Times New Roman"/>
        </w:rPr>
        <w:t>R.</w:t>
      </w:r>
      <w:r>
        <w:rPr>
          <w:rFonts w:ascii="Times New Roman"/>
          <w:spacing w:val="-10"/>
        </w:rPr>
        <w:t> </w:t>
      </w:r>
      <w:r>
        <w:rPr>
          <w:rFonts w:ascii="Times New Roman"/>
        </w:rPr>
        <w:t>M.,</w:t>
      </w:r>
      <w:r>
        <w:rPr>
          <w:rFonts w:ascii="Times New Roman"/>
          <w:spacing w:val="-9"/>
        </w:rPr>
        <w:t> </w:t>
      </w:r>
      <w:r>
        <w:rPr>
          <w:rFonts w:ascii="Times New Roman"/>
        </w:rPr>
        <w:t>&amp;</w:t>
      </w:r>
      <w:r>
        <w:rPr>
          <w:rFonts w:ascii="Times New Roman"/>
          <w:spacing w:val="-9"/>
        </w:rPr>
        <w:t> </w:t>
      </w:r>
      <w:r>
        <w:rPr>
          <w:rFonts w:ascii="Times New Roman"/>
        </w:rPr>
        <w:t>Clark,</w:t>
      </w:r>
      <w:r>
        <w:rPr>
          <w:rFonts w:ascii="Times New Roman"/>
          <w:spacing w:val="-9"/>
        </w:rPr>
        <w:t> </w:t>
      </w:r>
      <w:r>
        <w:rPr>
          <w:rFonts w:ascii="Times New Roman"/>
        </w:rPr>
        <w:t>K.</w:t>
      </w:r>
      <w:r>
        <w:rPr>
          <w:rFonts w:ascii="Times New Roman"/>
          <w:spacing w:val="-9"/>
        </w:rPr>
        <w:t> </w:t>
      </w:r>
      <w:r>
        <w:rPr>
          <w:rFonts w:ascii="Times New Roman"/>
        </w:rPr>
        <w:t>B.</w:t>
      </w:r>
      <w:r>
        <w:rPr>
          <w:rFonts w:ascii="Times New Roman"/>
          <w:spacing w:val="-9"/>
        </w:rPr>
        <w:t> </w:t>
      </w:r>
      <w:r>
        <w:rPr>
          <w:rFonts w:ascii="Times New Roman"/>
        </w:rPr>
        <w:t>(1990).</w:t>
      </w:r>
      <w:r>
        <w:rPr>
          <w:rFonts w:ascii="Times New Roman"/>
          <w:spacing w:val="-15"/>
        </w:rPr>
        <w:t> </w:t>
      </w:r>
      <w:r>
        <w:rPr>
          <w:rFonts w:ascii="Times New Roman"/>
        </w:rPr>
        <w:t>Architectural</w:t>
      </w:r>
      <w:r>
        <w:rPr>
          <w:rFonts w:ascii="Times New Roman"/>
          <w:spacing w:val="-9"/>
        </w:rPr>
        <w:t> </w:t>
      </w:r>
      <w:r>
        <w:rPr>
          <w:rFonts w:ascii="Times New Roman"/>
        </w:rPr>
        <w:t>innovation:</w:t>
      </w:r>
      <w:r>
        <w:rPr>
          <w:rFonts w:ascii="Times New Roman"/>
          <w:spacing w:val="-12"/>
        </w:rPr>
        <w:t> </w:t>
      </w:r>
      <w:r>
        <w:rPr>
          <w:rFonts w:ascii="Times New Roman"/>
        </w:rPr>
        <w:t>The</w:t>
      </w:r>
      <w:r>
        <w:rPr>
          <w:rFonts w:ascii="Times New Roman"/>
          <w:spacing w:val="-9"/>
        </w:rPr>
        <w:t> </w:t>
      </w:r>
      <w:r>
        <w:rPr>
          <w:rFonts w:ascii="Times New Roman"/>
        </w:rPr>
        <w:t>reconfiguration of</w:t>
      </w:r>
      <w:r>
        <w:rPr>
          <w:rFonts w:ascii="Times New Roman"/>
          <w:spacing w:val="42"/>
        </w:rPr>
        <w:t>  </w:t>
      </w:r>
      <w:r>
        <w:rPr>
          <w:rFonts w:ascii="Times New Roman"/>
        </w:rPr>
        <w:t>existing</w:t>
      </w:r>
      <w:r>
        <w:rPr>
          <w:rFonts w:ascii="Times New Roman"/>
          <w:spacing w:val="44"/>
        </w:rPr>
        <w:t>  </w:t>
      </w:r>
      <w:r>
        <w:rPr>
          <w:rFonts w:ascii="Times New Roman"/>
        </w:rPr>
        <w:t>product</w:t>
      </w:r>
      <w:r>
        <w:rPr>
          <w:rFonts w:ascii="Times New Roman"/>
          <w:spacing w:val="45"/>
        </w:rPr>
        <w:t>  </w:t>
      </w:r>
      <w:r>
        <w:rPr>
          <w:rFonts w:ascii="Times New Roman"/>
        </w:rPr>
        <w:t>technologies</w:t>
      </w:r>
      <w:r>
        <w:rPr>
          <w:rFonts w:ascii="Times New Roman"/>
          <w:spacing w:val="44"/>
        </w:rPr>
        <w:t>  </w:t>
      </w:r>
      <w:r>
        <w:rPr>
          <w:rFonts w:ascii="Times New Roman"/>
        </w:rPr>
        <w:t>and</w:t>
      </w:r>
      <w:r>
        <w:rPr>
          <w:rFonts w:ascii="Times New Roman"/>
          <w:spacing w:val="45"/>
        </w:rPr>
        <w:t>  </w:t>
      </w:r>
      <w:r>
        <w:rPr>
          <w:rFonts w:ascii="Times New Roman"/>
        </w:rPr>
        <w:t>the</w:t>
      </w:r>
      <w:r>
        <w:rPr>
          <w:rFonts w:ascii="Times New Roman"/>
          <w:spacing w:val="45"/>
        </w:rPr>
        <w:t>  </w:t>
      </w:r>
      <w:r>
        <w:rPr>
          <w:rFonts w:ascii="Times New Roman"/>
        </w:rPr>
        <w:t>failure</w:t>
      </w:r>
      <w:r>
        <w:rPr>
          <w:rFonts w:ascii="Times New Roman"/>
          <w:spacing w:val="43"/>
        </w:rPr>
        <w:t>  </w:t>
      </w:r>
      <w:r>
        <w:rPr>
          <w:rFonts w:ascii="Times New Roman"/>
        </w:rPr>
        <w:t>of</w:t>
      </w:r>
      <w:r>
        <w:rPr>
          <w:rFonts w:ascii="Times New Roman"/>
          <w:spacing w:val="45"/>
        </w:rPr>
        <w:t>  </w:t>
      </w:r>
      <w:r>
        <w:rPr>
          <w:rFonts w:ascii="Times New Roman"/>
        </w:rPr>
        <w:t>established</w:t>
      </w:r>
      <w:r>
        <w:rPr>
          <w:rFonts w:ascii="Times New Roman"/>
          <w:spacing w:val="45"/>
        </w:rPr>
        <w:t>  </w:t>
      </w:r>
      <w:r>
        <w:rPr>
          <w:rFonts w:ascii="Times New Roman"/>
          <w:spacing w:val="-2"/>
        </w:rPr>
        <w:t>firms.</w:t>
      </w:r>
    </w:p>
    <w:p>
      <w:pPr>
        <w:pStyle w:val="BodyText"/>
        <w:spacing w:line="274" w:lineRule="exact"/>
        <w:ind w:left="481"/>
        <w:rPr>
          <w:rFonts w:ascii="Times New Roman" w:hAnsi="Times New Roman"/>
        </w:rPr>
      </w:pPr>
      <w:r>
        <w:rPr>
          <w:rFonts w:ascii="Times New Roman" w:hAnsi="Times New Roman"/>
        </w:rPr>
        <w:t>*Administrative</w:t>
      </w:r>
      <w:r>
        <w:rPr>
          <w:rFonts w:ascii="Times New Roman" w:hAnsi="Times New Roman"/>
          <w:spacing w:val="-4"/>
        </w:rPr>
        <w:t> </w:t>
      </w:r>
      <w:r>
        <w:rPr>
          <w:rFonts w:ascii="Times New Roman" w:hAnsi="Times New Roman"/>
        </w:rPr>
        <w:t>Science</w:t>
      </w:r>
      <w:r>
        <w:rPr>
          <w:rFonts w:ascii="Times New Roman" w:hAnsi="Times New Roman"/>
          <w:spacing w:val="-1"/>
        </w:rPr>
        <w:t> </w:t>
      </w:r>
      <w:r>
        <w:rPr>
          <w:rFonts w:ascii="Times New Roman" w:hAnsi="Times New Roman"/>
        </w:rPr>
        <w:t>Quarterly*,</w:t>
      </w:r>
      <w:r>
        <w:rPr>
          <w:rFonts w:ascii="Times New Roman" w:hAnsi="Times New Roman"/>
          <w:spacing w:val="-2"/>
        </w:rPr>
        <w:t> </w:t>
      </w:r>
      <w:r>
        <w:rPr>
          <w:rFonts w:ascii="Times New Roman" w:hAnsi="Times New Roman"/>
        </w:rPr>
        <w:t>35(1),</w:t>
      </w:r>
      <w:r>
        <w:rPr>
          <w:rFonts w:ascii="Times New Roman" w:hAnsi="Times New Roman"/>
          <w:spacing w:val="-2"/>
        </w:rPr>
        <w:t> 9–30.</w:t>
      </w:r>
    </w:p>
    <w:p>
      <w:pPr>
        <w:pStyle w:val="BodyText"/>
        <w:spacing w:before="95"/>
        <w:ind w:left="0"/>
        <w:jc w:val="left"/>
        <w:rPr>
          <w:rFonts w:ascii="Times New Roman"/>
        </w:rPr>
      </w:pPr>
    </w:p>
    <w:p>
      <w:pPr>
        <w:pStyle w:val="BodyText"/>
        <w:spacing w:line="470" w:lineRule="auto" w:before="1"/>
        <w:ind w:left="481" w:right="403" w:hanging="480"/>
        <w:rPr>
          <w:rFonts w:ascii="Times New Roman"/>
        </w:rPr>
      </w:pPr>
      <w:r>
        <w:rPr>
          <w:rFonts w:ascii="Times New Roman"/>
        </w:rPr>
        <w:drawing>
          <wp:anchor distT="0" distB="0" distL="0" distR="0" allowOverlap="1" layoutInCell="1" locked="0" behindDoc="1" simplePos="0" relativeHeight="485838336">
            <wp:simplePos x="0" y="0"/>
            <wp:positionH relativeFrom="page">
              <wp:posOffset>3312414</wp:posOffset>
            </wp:positionH>
            <wp:positionV relativeFrom="paragraph">
              <wp:posOffset>372340</wp:posOffset>
            </wp:positionV>
            <wp:extent cx="929640" cy="978408"/>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Hitt, L. (1999). Information Technology and Firm Boundaries: Evidence from Panel Data. *Inf. Syst. Res.*, 10, 134-149.</w:t>
      </w:r>
    </w:p>
    <w:p>
      <w:pPr>
        <w:pStyle w:val="BodyText"/>
        <w:spacing w:line="470" w:lineRule="auto" w:before="106"/>
        <w:ind w:left="481" w:right="402" w:hanging="480"/>
        <w:rPr>
          <w:rFonts w:ascii="Times New Roman" w:hAnsi="Times New Roman"/>
        </w:rPr>
      </w:pPr>
      <w:r>
        <w:rPr>
          <w:rFonts w:ascii="Times New Roman" w:hAnsi="Times New Roman"/>
        </w:rPr>
        <w:t>Hitt, M. A., &amp; Ireland, R. D. (2002). The essence of strategic leadership: Managing human</w:t>
      </w:r>
      <w:r>
        <w:rPr>
          <w:rFonts w:ascii="Times New Roman" w:hAnsi="Times New Roman"/>
          <w:spacing w:val="-5"/>
        </w:rPr>
        <w:t> </w:t>
      </w:r>
      <w:r>
        <w:rPr>
          <w:rFonts w:ascii="Times New Roman" w:hAnsi="Times New Roman"/>
        </w:rPr>
        <w:t>and</w:t>
      </w:r>
      <w:r>
        <w:rPr>
          <w:rFonts w:ascii="Times New Roman" w:hAnsi="Times New Roman"/>
          <w:spacing w:val="-5"/>
        </w:rPr>
        <w:t> </w:t>
      </w:r>
      <w:r>
        <w:rPr>
          <w:rFonts w:ascii="Times New Roman" w:hAnsi="Times New Roman"/>
        </w:rPr>
        <w:t>social</w:t>
      </w:r>
      <w:r>
        <w:rPr>
          <w:rFonts w:ascii="Times New Roman" w:hAnsi="Times New Roman"/>
          <w:spacing w:val="-5"/>
        </w:rPr>
        <w:t> </w:t>
      </w:r>
      <w:r>
        <w:rPr>
          <w:rFonts w:ascii="Times New Roman" w:hAnsi="Times New Roman"/>
        </w:rPr>
        <w:t>capital.</w:t>
      </w:r>
      <w:r>
        <w:rPr>
          <w:rFonts w:ascii="Times New Roman" w:hAnsi="Times New Roman"/>
          <w:spacing w:val="-3"/>
        </w:rPr>
        <w:t> </w:t>
      </w:r>
      <w:r>
        <w:rPr>
          <w:rFonts w:ascii="Times New Roman" w:hAnsi="Times New Roman"/>
        </w:rPr>
        <w:t>*Journal</w:t>
      </w:r>
      <w:r>
        <w:rPr>
          <w:rFonts w:ascii="Times New Roman" w:hAnsi="Times New Roman"/>
          <w:spacing w:val="-5"/>
        </w:rPr>
        <w:t> </w:t>
      </w:r>
      <w:r>
        <w:rPr>
          <w:rFonts w:ascii="Times New Roman" w:hAnsi="Times New Roman"/>
        </w:rPr>
        <w:t>of</w:t>
      </w:r>
      <w:r>
        <w:rPr>
          <w:rFonts w:ascii="Times New Roman" w:hAnsi="Times New Roman"/>
          <w:spacing w:val="-5"/>
        </w:rPr>
        <w:t> </w:t>
      </w:r>
      <w:r>
        <w:rPr>
          <w:rFonts w:ascii="Times New Roman" w:hAnsi="Times New Roman"/>
        </w:rPr>
        <w:t>Leadership</w:t>
      </w:r>
      <w:r>
        <w:rPr>
          <w:rFonts w:ascii="Times New Roman" w:hAnsi="Times New Roman"/>
          <w:spacing w:val="-3"/>
        </w:rPr>
        <w:t> </w:t>
      </w:r>
      <w:r>
        <w:rPr>
          <w:rFonts w:ascii="Times New Roman" w:hAnsi="Times New Roman"/>
        </w:rPr>
        <w:t>&amp;</w:t>
      </w:r>
      <w:r>
        <w:rPr>
          <w:rFonts w:ascii="Times New Roman" w:hAnsi="Times New Roman"/>
          <w:spacing w:val="-5"/>
        </w:rPr>
        <w:t> </w:t>
      </w:r>
      <w:r>
        <w:rPr>
          <w:rFonts w:ascii="Times New Roman" w:hAnsi="Times New Roman"/>
        </w:rPr>
        <w:t>Organizational</w:t>
      </w:r>
      <w:r>
        <w:rPr>
          <w:rFonts w:ascii="Times New Roman" w:hAnsi="Times New Roman"/>
          <w:spacing w:val="-5"/>
        </w:rPr>
        <w:t> </w:t>
      </w:r>
      <w:r>
        <w:rPr>
          <w:rFonts w:ascii="Times New Roman" w:hAnsi="Times New Roman"/>
        </w:rPr>
        <w:t>Studies*,</w:t>
      </w:r>
      <w:r>
        <w:rPr>
          <w:rFonts w:ascii="Times New Roman" w:hAnsi="Times New Roman"/>
          <w:spacing w:val="-5"/>
        </w:rPr>
        <w:t> </w:t>
      </w:r>
      <w:r>
        <w:rPr>
          <w:rFonts w:ascii="Times New Roman" w:hAnsi="Times New Roman"/>
        </w:rPr>
        <w:t>9(1), </w:t>
      </w:r>
      <w:r>
        <w:rPr>
          <w:rFonts w:ascii="Times New Roman" w:hAnsi="Times New Roman"/>
          <w:spacing w:val="-2"/>
        </w:rPr>
        <w:t>3–14.</w:t>
      </w:r>
    </w:p>
    <w:p>
      <w:pPr>
        <w:pStyle w:val="BodyText"/>
        <w:spacing w:line="470" w:lineRule="auto" w:before="105"/>
        <w:ind w:left="481" w:right="401" w:hanging="480"/>
        <w:rPr>
          <w:rFonts w:ascii="Times New Roman"/>
        </w:rPr>
      </w:pPr>
      <w:r>
        <w:rPr>
          <w:rFonts w:ascii="Times New Roman"/>
        </w:rPr>
        <w:t>Hitt, M.</w:t>
      </w:r>
      <w:r>
        <w:rPr>
          <w:rFonts w:ascii="Times New Roman"/>
          <w:spacing w:val="-11"/>
        </w:rPr>
        <w:t> </w:t>
      </w:r>
      <w:r>
        <w:rPr>
          <w:rFonts w:ascii="Times New Roman"/>
        </w:rPr>
        <w:t>A., Hoskisson, R. E., Johnson, R.</w:t>
      </w:r>
      <w:r>
        <w:rPr>
          <w:rFonts w:ascii="Times New Roman"/>
          <w:spacing w:val="-11"/>
        </w:rPr>
        <w:t> </w:t>
      </w:r>
      <w:r>
        <w:rPr>
          <w:rFonts w:ascii="Times New Roman"/>
        </w:rPr>
        <w:t>A., &amp; Moesel, D. D. (1996).</w:t>
      </w:r>
      <w:r>
        <w:rPr>
          <w:rFonts w:ascii="Times New Roman"/>
          <w:spacing w:val="-1"/>
        </w:rPr>
        <w:t> </w:t>
      </w:r>
      <w:r>
        <w:rPr>
          <w:rFonts w:ascii="Times New Roman"/>
        </w:rPr>
        <w:t>The market for corporate</w:t>
      </w:r>
      <w:r>
        <w:rPr>
          <w:rFonts w:ascii="Times New Roman"/>
          <w:spacing w:val="80"/>
          <w:w w:val="150"/>
        </w:rPr>
        <w:t> </w:t>
      </w:r>
      <w:r>
        <w:rPr>
          <w:rFonts w:ascii="Times New Roman"/>
        </w:rPr>
        <w:t>control</w:t>
      </w:r>
      <w:r>
        <w:rPr>
          <w:rFonts w:ascii="Times New Roman"/>
          <w:spacing w:val="80"/>
          <w:w w:val="150"/>
        </w:rPr>
        <w:t> </w:t>
      </w:r>
      <w:r>
        <w:rPr>
          <w:rFonts w:ascii="Times New Roman"/>
        </w:rPr>
        <w:t>and</w:t>
      </w:r>
      <w:r>
        <w:rPr>
          <w:rFonts w:ascii="Times New Roman"/>
          <w:spacing w:val="80"/>
          <w:w w:val="150"/>
        </w:rPr>
        <w:t> </w:t>
      </w:r>
      <w:r>
        <w:rPr>
          <w:rFonts w:ascii="Times New Roman"/>
        </w:rPr>
        <w:t>firm</w:t>
      </w:r>
      <w:r>
        <w:rPr>
          <w:rFonts w:ascii="Times New Roman"/>
          <w:spacing w:val="80"/>
          <w:w w:val="150"/>
        </w:rPr>
        <w:t> </w:t>
      </w:r>
      <w:r>
        <w:rPr>
          <w:rFonts w:ascii="Times New Roman"/>
        </w:rPr>
        <w:t>innovation. *Academy</w:t>
      </w:r>
      <w:r>
        <w:rPr>
          <w:rFonts w:ascii="Times New Roman"/>
          <w:spacing w:val="80"/>
          <w:w w:val="150"/>
        </w:rPr>
        <w:t> </w:t>
      </w:r>
      <w:r>
        <w:rPr>
          <w:rFonts w:ascii="Times New Roman"/>
        </w:rPr>
        <w:t>of</w:t>
      </w:r>
      <w:r>
        <w:rPr>
          <w:rFonts w:ascii="Times New Roman"/>
          <w:spacing w:val="80"/>
          <w:w w:val="150"/>
        </w:rPr>
        <w:t> </w:t>
      </w:r>
      <w:r>
        <w:rPr>
          <w:rFonts w:ascii="Times New Roman"/>
        </w:rPr>
        <w:t>management</w:t>
      </w:r>
      <w:r>
        <w:rPr>
          <w:rFonts w:ascii="Times New Roman"/>
          <w:spacing w:val="80"/>
        </w:rPr>
        <w:t> </w:t>
      </w:r>
      <w:r>
        <w:rPr>
          <w:rFonts w:ascii="Times New Roman"/>
        </w:rPr>
        <w:t>journal*, *39*(5), 1084-1119.</w:t>
      </w:r>
    </w:p>
    <w:p>
      <w:pPr>
        <w:pStyle w:val="BodyText"/>
        <w:spacing w:line="470" w:lineRule="auto" w:before="106"/>
        <w:ind w:left="481" w:right="400" w:hanging="480"/>
        <w:rPr>
          <w:rFonts w:ascii="Times New Roman"/>
        </w:rPr>
      </w:pPr>
      <w:r>
        <w:rPr>
          <w:rFonts w:ascii="Times New Roman"/>
        </w:rPr>
        <w:t>Hong, J., &amp; Sternthal, B. (2010). The effects of consumer prior knowledge and processing strategies on judgments.</w:t>
      </w:r>
      <w:r>
        <w:rPr>
          <w:rFonts w:ascii="Times New Roman"/>
          <w:spacing w:val="-1"/>
        </w:rPr>
        <w:t> </w:t>
      </w:r>
      <w:r>
        <w:rPr>
          <w:rFonts w:ascii="Times New Roman"/>
        </w:rPr>
        <w:t>*Journal of marketing research*,</w:t>
      </w:r>
      <w:r>
        <w:rPr>
          <w:rFonts w:ascii="Times New Roman"/>
          <w:spacing w:val="-1"/>
        </w:rPr>
        <w:t> </w:t>
      </w:r>
      <w:r>
        <w:rPr>
          <w:rFonts w:ascii="Times New Roman"/>
        </w:rPr>
        <w:t>*47*(2), </w:t>
      </w:r>
      <w:r>
        <w:rPr>
          <w:rFonts w:ascii="Times New Roman"/>
          <w:spacing w:val="-2"/>
        </w:rPr>
        <w:t>301-311.</w:t>
      </w:r>
    </w:p>
    <w:p>
      <w:pPr>
        <w:spacing w:line="470" w:lineRule="auto" w:before="106"/>
        <w:ind w:left="481" w:right="398" w:hanging="480"/>
        <w:jc w:val="both"/>
        <w:rPr>
          <w:rFonts w:ascii="Times New Roman"/>
          <w:sz w:val="24"/>
        </w:rPr>
      </w:pPr>
      <w:r>
        <w:rPr>
          <w:rFonts w:ascii="Times New Roman"/>
          <w:sz w:val="24"/>
        </w:rPr>
        <w:t>Haki, U., &amp; Prahastiwi, E. D. (2024). Strategi Pengumpulan dan</w:t>
      </w:r>
      <w:r>
        <w:rPr>
          <w:rFonts w:ascii="Times New Roman"/>
          <w:spacing w:val="-2"/>
          <w:sz w:val="24"/>
        </w:rPr>
        <w:t> </w:t>
      </w:r>
      <w:r>
        <w:rPr>
          <w:rFonts w:ascii="Times New Roman"/>
          <w:sz w:val="24"/>
        </w:rPr>
        <w:t>Analisis Data dalam Penelitian Kualitatif Pendidikan.</w:t>
      </w:r>
      <w:r>
        <w:rPr>
          <w:rFonts w:ascii="Times New Roman"/>
          <w:spacing w:val="-4"/>
          <w:sz w:val="24"/>
        </w:rPr>
        <w:t> </w:t>
      </w:r>
      <w:r>
        <w:rPr>
          <w:rFonts w:ascii="Times New Roman"/>
          <w:i/>
          <w:sz w:val="24"/>
        </w:rPr>
        <w:t>Jurnal Inovasi dan Teknologi Pendidikan</w:t>
      </w:r>
      <w:r>
        <w:rPr>
          <w:rFonts w:ascii="Times New Roman"/>
          <w:sz w:val="24"/>
        </w:rPr>
        <w:t>,</w:t>
      </w:r>
      <w:r>
        <w:rPr>
          <w:rFonts w:ascii="Times New Roman"/>
          <w:spacing w:val="-5"/>
          <w:sz w:val="24"/>
        </w:rPr>
        <w:t> </w:t>
      </w:r>
      <w:r>
        <w:rPr>
          <w:rFonts w:ascii="Times New Roman"/>
          <w:i/>
          <w:sz w:val="24"/>
        </w:rPr>
        <w:t>3</w:t>
      </w:r>
      <w:r>
        <w:rPr>
          <w:rFonts w:ascii="Times New Roman"/>
          <w:sz w:val="24"/>
        </w:rPr>
        <w:t>(1), </w:t>
      </w:r>
      <w:r>
        <w:rPr>
          <w:rFonts w:ascii="Times New Roman"/>
          <w:spacing w:val="-2"/>
          <w:sz w:val="24"/>
        </w:rPr>
        <w:t>1-19.</w:t>
      </w:r>
    </w:p>
    <w:p>
      <w:pPr>
        <w:spacing w:after="0" w:line="470" w:lineRule="auto"/>
        <w:jc w:val="both"/>
        <w:rPr>
          <w:rFonts w:ascii="Times New Roman"/>
          <w:sz w:val="24"/>
        </w:rPr>
        <w:sectPr>
          <w:pgSz w:w="11910" w:h="16840"/>
          <w:pgMar w:header="0" w:footer="1197" w:top="1740" w:bottom="1380" w:left="1700" w:right="1417"/>
        </w:sectPr>
      </w:pPr>
    </w:p>
    <w:p>
      <w:pPr>
        <w:pStyle w:val="BodyText"/>
        <w:spacing w:line="470" w:lineRule="auto" w:before="74"/>
        <w:ind w:left="481" w:right="407" w:hanging="480"/>
        <w:rPr>
          <w:rFonts w:ascii="Times New Roman"/>
        </w:rPr>
      </w:pPr>
      <w:r>
        <w:rPr>
          <w:rFonts w:ascii="Times New Roman"/>
        </w:rPr>
        <w:t>Ireland, R. D., Hitt, M.</w:t>
      </w:r>
      <w:r>
        <w:rPr>
          <w:rFonts w:ascii="Times New Roman"/>
          <w:spacing w:val="-14"/>
        </w:rPr>
        <w:t> </w:t>
      </w:r>
      <w:r>
        <w:rPr>
          <w:rFonts w:ascii="Times New Roman"/>
        </w:rPr>
        <w:t>A., &amp;</w:t>
      </w:r>
      <w:r>
        <w:rPr>
          <w:rFonts w:ascii="Times New Roman"/>
          <w:spacing w:val="-2"/>
        </w:rPr>
        <w:t> </w:t>
      </w:r>
      <w:r>
        <w:rPr>
          <w:rFonts w:ascii="Times New Roman"/>
        </w:rPr>
        <w:t>Vaidyanath, D. (2002).</w:t>
      </w:r>
      <w:r>
        <w:rPr>
          <w:rFonts w:ascii="Times New Roman"/>
          <w:spacing w:val="-15"/>
        </w:rPr>
        <w:t> </w:t>
      </w:r>
      <w:r>
        <w:rPr>
          <w:rFonts w:ascii="Times New Roman"/>
        </w:rPr>
        <w:t>Alliance management as a source of competitive advantage. Journal of management, 28(3), 413-446.</w:t>
      </w:r>
    </w:p>
    <w:p>
      <w:pPr>
        <w:pStyle w:val="BodyText"/>
        <w:spacing w:line="470" w:lineRule="auto" w:before="107"/>
        <w:ind w:left="481" w:right="404" w:hanging="480"/>
        <w:rPr>
          <w:rFonts w:ascii="Times New Roman" w:hAnsi="Times New Roman"/>
        </w:rPr>
      </w:pPr>
      <w:r>
        <w:rPr>
          <w:rFonts w:ascii="Times New Roman" w:hAnsi="Times New Roman"/>
        </w:rPr>
        <w:t>Jemison,</w:t>
      </w:r>
      <w:r>
        <w:rPr>
          <w:rFonts w:ascii="Times New Roman" w:hAnsi="Times New Roman"/>
          <w:spacing w:val="-12"/>
        </w:rPr>
        <w:t> </w:t>
      </w:r>
      <w:r>
        <w:rPr>
          <w:rFonts w:ascii="Times New Roman" w:hAnsi="Times New Roman"/>
        </w:rPr>
        <w:t>D.</w:t>
      </w:r>
      <w:r>
        <w:rPr>
          <w:rFonts w:ascii="Times New Roman" w:hAnsi="Times New Roman"/>
          <w:spacing w:val="-13"/>
        </w:rPr>
        <w:t> </w:t>
      </w:r>
      <w:r>
        <w:rPr>
          <w:rFonts w:ascii="Times New Roman" w:hAnsi="Times New Roman"/>
        </w:rPr>
        <w:t>B.</w:t>
      </w:r>
      <w:r>
        <w:rPr>
          <w:rFonts w:ascii="Times New Roman" w:hAnsi="Times New Roman"/>
          <w:spacing w:val="-12"/>
        </w:rPr>
        <w:t> </w:t>
      </w:r>
      <w:r>
        <w:rPr>
          <w:rFonts w:ascii="Times New Roman" w:hAnsi="Times New Roman"/>
        </w:rPr>
        <w:t>(1984).</w:t>
      </w:r>
      <w:r>
        <w:rPr>
          <w:rFonts w:ascii="Times New Roman" w:hAnsi="Times New Roman"/>
          <w:spacing w:val="-15"/>
        </w:rPr>
        <w:t> </w:t>
      </w:r>
      <w:r>
        <w:rPr>
          <w:rFonts w:ascii="Times New Roman" w:hAnsi="Times New Roman"/>
        </w:rPr>
        <w:t>The</w:t>
      </w:r>
      <w:r>
        <w:rPr>
          <w:rFonts w:ascii="Times New Roman" w:hAnsi="Times New Roman"/>
          <w:spacing w:val="-13"/>
        </w:rPr>
        <w:t> </w:t>
      </w:r>
      <w:r>
        <w:rPr>
          <w:rFonts w:ascii="Times New Roman" w:hAnsi="Times New Roman"/>
        </w:rPr>
        <w:t>importance</w:t>
      </w:r>
      <w:r>
        <w:rPr>
          <w:rFonts w:ascii="Times New Roman" w:hAnsi="Times New Roman"/>
          <w:spacing w:val="-13"/>
        </w:rPr>
        <w:t> </w:t>
      </w:r>
      <w:r>
        <w:rPr>
          <w:rFonts w:ascii="Times New Roman" w:hAnsi="Times New Roman"/>
        </w:rPr>
        <w:t>of</w:t>
      </w:r>
      <w:r>
        <w:rPr>
          <w:rFonts w:ascii="Times New Roman" w:hAnsi="Times New Roman"/>
          <w:spacing w:val="-11"/>
        </w:rPr>
        <w:t> </w:t>
      </w:r>
      <w:r>
        <w:rPr>
          <w:rFonts w:ascii="Times New Roman" w:hAnsi="Times New Roman"/>
        </w:rPr>
        <w:t>boundary</w:t>
      </w:r>
      <w:r>
        <w:rPr>
          <w:rFonts w:ascii="Times New Roman" w:hAnsi="Times New Roman"/>
          <w:spacing w:val="-12"/>
        </w:rPr>
        <w:t> </w:t>
      </w:r>
      <w:r>
        <w:rPr>
          <w:rFonts w:ascii="Times New Roman" w:hAnsi="Times New Roman"/>
        </w:rPr>
        <w:t>spanning</w:t>
      </w:r>
      <w:r>
        <w:rPr>
          <w:rFonts w:ascii="Times New Roman" w:hAnsi="Times New Roman"/>
          <w:spacing w:val="-12"/>
        </w:rPr>
        <w:t> </w:t>
      </w:r>
      <w:r>
        <w:rPr>
          <w:rFonts w:ascii="Times New Roman" w:hAnsi="Times New Roman"/>
        </w:rPr>
        <w:t>roles</w:t>
      </w:r>
      <w:r>
        <w:rPr>
          <w:rFonts w:ascii="Times New Roman" w:hAnsi="Times New Roman"/>
          <w:spacing w:val="-10"/>
        </w:rPr>
        <w:t> </w:t>
      </w:r>
      <w:r>
        <w:rPr>
          <w:rFonts w:ascii="Times New Roman" w:hAnsi="Times New Roman"/>
        </w:rPr>
        <w:t>in</w:t>
      </w:r>
      <w:r>
        <w:rPr>
          <w:rFonts w:ascii="Times New Roman" w:hAnsi="Times New Roman"/>
          <w:spacing w:val="-12"/>
        </w:rPr>
        <w:t> </w:t>
      </w:r>
      <w:r>
        <w:rPr>
          <w:rFonts w:ascii="Times New Roman" w:hAnsi="Times New Roman"/>
        </w:rPr>
        <w:t>strategic</w:t>
      </w:r>
      <w:r>
        <w:rPr>
          <w:rFonts w:ascii="Times New Roman" w:hAnsi="Times New Roman"/>
          <w:spacing w:val="-13"/>
        </w:rPr>
        <w:t> </w:t>
      </w:r>
      <w:r>
        <w:rPr>
          <w:rFonts w:ascii="Times New Roman" w:hAnsi="Times New Roman"/>
        </w:rPr>
        <w:t>decision‐ making [I]. *Journal of Management Studies*, *21*(2), 131-152.</w:t>
      </w:r>
    </w:p>
    <w:p>
      <w:pPr>
        <w:pStyle w:val="BodyText"/>
        <w:spacing w:line="470" w:lineRule="auto" w:before="106"/>
        <w:ind w:left="481" w:right="403" w:hanging="480"/>
        <w:rPr>
          <w:rFonts w:ascii="Times New Roman" w:hAnsi="Times New Roman"/>
        </w:rPr>
      </w:pPr>
      <w:r>
        <w:rPr>
          <w:rFonts w:ascii="Times New Roman" w:hAnsi="Times New Roman"/>
        </w:rPr>
        <w:t>Jutterström, M. (2023). The Organization of Market Boundaries. Journal of Organizational Sociology, 1(3), 287-317.</w:t>
      </w:r>
    </w:p>
    <w:p>
      <w:pPr>
        <w:pStyle w:val="BodyText"/>
        <w:spacing w:line="470" w:lineRule="auto" w:before="107"/>
        <w:ind w:left="481" w:right="404" w:hanging="480"/>
        <w:rPr>
          <w:rFonts w:ascii="Times New Roman" w:hAnsi="Times New Roman"/>
        </w:rPr>
      </w:pPr>
      <w:r>
        <w:rPr>
          <w:rFonts w:ascii="Times New Roman" w:hAnsi="Times New Roman"/>
        </w:rPr>
        <w:t>Kane, G. C., Palmer, D., Phillips,</w:t>
      </w:r>
      <w:r>
        <w:rPr>
          <w:rFonts w:ascii="Times New Roman" w:hAnsi="Times New Roman"/>
          <w:spacing w:val="-11"/>
        </w:rPr>
        <w:t> </w:t>
      </w:r>
      <w:r>
        <w:rPr>
          <w:rFonts w:ascii="Times New Roman" w:hAnsi="Times New Roman"/>
        </w:rPr>
        <w:t>A. N., &amp; Kiron, D. (2015). Strategy, not technology, drives digital transformation. *MIT Sloan Management Review*, 14(1), 1–25.</w:t>
      </w:r>
    </w:p>
    <w:p>
      <w:pPr>
        <w:pStyle w:val="BodyText"/>
        <w:spacing w:line="470" w:lineRule="auto" w:before="106"/>
        <w:ind w:left="481" w:right="401" w:hanging="480"/>
        <w:rPr>
          <w:rFonts w:ascii="Times New Roman" w:hAnsi="Times New Roman"/>
        </w:rPr>
      </w:pPr>
      <w:r>
        <w:rPr>
          <w:rFonts w:ascii="Times New Roman" w:hAnsi="Times New Roman"/>
        </w:rPr>
        <w:drawing>
          <wp:anchor distT="0" distB="0" distL="0" distR="0" allowOverlap="1" layoutInCell="1" locked="0" behindDoc="1" simplePos="0" relativeHeight="485838848">
            <wp:simplePos x="0" y="0"/>
            <wp:positionH relativeFrom="page">
              <wp:posOffset>3312414</wp:posOffset>
            </wp:positionH>
            <wp:positionV relativeFrom="paragraph">
              <wp:posOffset>713414</wp:posOffset>
            </wp:positionV>
            <wp:extent cx="929640" cy="978408"/>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hAnsi="Times New Roman"/>
        </w:rPr>
        <w:t>Karanović, J., Berends, H., &amp; Engel, Y. (2021). Regulated dependence: Platform workers’ responses to new forms of organizing.</w:t>
      </w:r>
      <w:r>
        <w:rPr>
          <w:rFonts w:ascii="Times New Roman" w:hAnsi="Times New Roman"/>
          <w:spacing w:val="-2"/>
        </w:rPr>
        <w:t> </w:t>
      </w:r>
      <w:r>
        <w:rPr>
          <w:rFonts w:ascii="Times New Roman" w:hAnsi="Times New Roman"/>
        </w:rPr>
        <w:t>*Journal of Management Studies*, *58*(4), 1070-1106.</w:t>
      </w:r>
    </w:p>
    <w:p>
      <w:pPr>
        <w:pStyle w:val="BodyText"/>
        <w:spacing w:line="470" w:lineRule="auto" w:before="105"/>
        <w:ind w:left="481" w:right="403" w:hanging="480"/>
        <w:rPr>
          <w:rFonts w:ascii="Times New Roman"/>
        </w:rPr>
      </w:pPr>
      <w:r>
        <w:rPr>
          <w:rFonts w:ascii="Times New Roman"/>
        </w:rPr>
        <w:t>Kim,</w:t>
      </w:r>
      <w:r>
        <w:rPr>
          <w:rFonts w:ascii="Times New Roman"/>
          <w:spacing w:val="-15"/>
        </w:rPr>
        <w:t> </w:t>
      </w:r>
      <w:r>
        <w:rPr>
          <w:rFonts w:ascii="Times New Roman"/>
        </w:rPr>
        <w:t>W.</w:t>
      </w:r>
      <w:r>
        <w:rPr>
          <w:rFonts w:ascii="Times New Roman"/>
          <w:spacing w:val="-15"/>
        </w:rPr>
        <w:t> </w:t>
      </w:r>
      <w:r>
        <w:rPr>
          <w:rFonts w:ascii="Times New Roman"/>
        </w:rPr>
        <w:t>C.</w:t>
      </w:r>
      <w:r>
        <w:rPr>
          <w:rFonts w:ascii="Times New Roman"/>
          <w:spacing w:val="-15"/>
        </w:rPr>
        <w:t> </w:t>
      </w:r>
      <w:r>
        <w:rPr>
          <w:rFonts w:ascii="Times New Roman"/>
        </w:rPr>
        <w:t>(2005).</w:t>
      </w:r>
      <w:r>
        <w:rPr>
          <w:rFonts w:ascii="Times New Roman"/>
          <w:spacing w:val="-15"/>
        </w:rPr>
        <w:t> </w:t>
      </w:r>
      <w:r>
        <w:rPr>
          <w:rFonts w:ascii="Times New Roman"/>
        </w:rPr>
        <w:t>Blue</w:t>
      </w:r>
      <w:r>
        <w:rPr>
          <w:rFonts w:ascii="Times New Roman"/>
          <w:spacing w:val="-15"/>
        </w:rPr>
        <w:t> </w:t>
      </w:r>
      <w:r>
        <w:rPr>
          <w:rFonts w:ascii="Times New Roman"/>
        </w:rPr>
        <w:t>ocean</w:t>
      </w:r>
      <w:r>
        <w:rPr>
          <w:rFonts w:ascii="Times New Roman"/>
          <w:spacing w:val="-15"/>
        </w:rPr>
        <w:t> </w:t>
      </w:r>
      <w:r>
        <w:rPr>
          <w:rFonts w:ascii="Times New Roman"/>
        </w:rPr>
        <w:t>strategy:</w:t>
      </w:r>
      <w:r>
        <w:rPr>
          <w:rFonts w:ascii="Times New Roman"/>
          <w:spacing w:val="-15"/>
        </w:rPr>
        <w:t> </w:t>
      </w:r>
      <w:r>
        <w:rPr>
          <w:rFonts w:ascii="Times New Roman"/>
        </w:rPr>
        <w:t>from</w:t>
      </w:r>
      <w:r>
        <w:rPr>
          <w:rFonts w:ascii="Times New Roman"/>
          <w:spacing w:val="-15"/>
        </w:rPr>
        <w:t> </w:t>
      </w:r>
      <w:r>
        <w:rPr>
          <w:rFonts w:ascii="Times New Roman"/>
        </w:rPr>
        <w:t>theory</w:t>
      </w:r>
      <w:r>
        <w:rPr>
          <w:rFonts w:ascii="Times New Roman"/>
          <w:spacing w:val="-15"/>
        </w:rPr>
        <w:t> </w:t>
      </w:r>
      <w:r>
        <w:rPr>
          <w:rFonts w:ascii="Times New Roman"/>
        </w:rPr>
        <w:t>to</w:t>
      </w:r>
      <w:r>
        <w:rPr>
          <w:rFonts w:ascii="Times New Roman"/>
          <w:spacing w:val="-15"/>
        </w:rPr>
        <w:t> </w:t>
      </w:r>
      <w:r>
        <w:rPr>
          <w:rFonts w:ascii="Times New Roman"/>
        </w:rPr>
        <w:t>practice.</w:t>
      </w:r>
      <w:r>
        <w:rPr>
          <w:rFonts w:ascii="Times New Roman"/>
          <w:spacing w:val="-15"/>
        </w:rPr>
        <w:t> </w:t>
      </w:r>
      <w:r>
        <w:rPr>
          <w:rFonts w:ascii="Times New Roman"/>
        </w:rPr>
        <w:t>California</w:t>
      </w:r>
      <w:r>
        <w:rPr>
          <w:rFonts w:ascii="Times New Roman"/>
          <w:spacing w:val="-15"/>
        </w:rPr>
        <w:t> </w:t>
      </w:r>
      <w:r>
        <w:rPr>
          <w:rFonts w:ascii="Times New Roman"/>
        </w:rPr>
        <w:t>management review, 47(3), 105-121.</w:t>
      </w:r>
    </w:p>
    <w:p>
      <w:pPr>
        <w:pStyle w:val="BodyText"/>
        <w:spacing w:line="470" w:lineRule="auto" w:before="107"/>
        <w:ind w:left="481" w:right="397" w:hanging="480"/>
        <w:rPr>
          <w:rFonts w:ascii="Times New Roman"/>
        </w:rPr>
      </w:pPr>
      <w:r>
        <w:rPr>
          <w:rFonts w:ascii="Times New Roman"/>
        </w:rPr>
        <w:t>Kodama, M. (2009). Boundaries innovation and knowledge integration in the Japanese firm. *Long range planning*, *42*(4), 463-494.</w:t>
      </w:r>
    </w:p>
    <w:p>
      <w:pPr>
        <w:pStyle w:val="BodyText"/>
        <w:spacing w:line="470" w:lineRule="auto" w:before="106"/>
        <w:ind w:left="481" w:right="403" w:hanging="480"/>
        <w:rPr>
          <w:rFonts w:ascii="Times New Roman" w:hAnsi="Times New Roman"/>
        </w:rPr>
      </w:pPr>
      <w:r>
        <w:rPr>
          <w:rFonts w:ascii="Times New Roman" w:hAnsi="Times New Roman"/>
        </w:rPr>
        <w:t>König, C., Caldwell, N. D., &amp; Ghadge, A. (2019). Service provider boundaries in competitive markets: the case of the logistics industry. *International Journal of Production Research*, *57*(18), 5624-5639.</w:t>
      </w:r>
    </w:p>
    <w:p>
      <w:pPr>
        <w:pStyle w:val="BodyText"/>
        <w:spacing w:line="470" w:lineRule="auto" w:before="106"/>
        <w:ind w:left="481" w:right="402" w:hanging="480"/>
        <w:rPr>
          <w:rFonts w:ascii="Times New Roman" w:hAnsi="Times New Roman"/>
        </w:rPr>
      </w:pPr>
      <w:r>
        <w:rPr>
          <w:rFonts w:ascii="Times New Roman" w:hAnsi="Times New Roman"/>
        </w:rPr>
        <w:t>Kravčenko,</w:t>
      </w:r>
      <w:r>
        <w:rPr>
          <w:rFonts w:ascii="Times New Roman" w:hAnsi="Times New Roman"/>
          <w:spacing w:val="-5"/>
        </w:rPr>
        <w:t> </w:t>
      </w:r>
      <w:r>
        <w:rPr>
          <w:rFonts w:ascii="Times New Roman" w:hAnsi="Times New Roman"/>
        </w:rPr>
        <w:t>D.</w:t>
      </w:r>
      <w:r>
        <w:rPr>
          <w:rFonts w:ascii="Times New Roman" w:hAnsi="Times New Roman"/>
          <w:spacing w:val="-4"/>
        </w:rPr>
        <w:t> </w:t>
      </w:r>
      <w:r>
        <w:rPr>
          <w:rFonts w:ascii="Times New Roman" w:hAnsi="Times New Roman"/>
        </w:rPr>
        <w:t>(2023).</w:t>
      </w:r>
      <w:r>
        <w:rPr>
          <w:rFonts w:ascii="Times New Roman" w:hAnsi="Times New Roman"/>
          <w:spacing w:val="-9"/>
        </w:rPr>
        <w:t> </w:t>
      </w:r>
      <w:r>
        <w:rPr>
          <w:rFonts w:ascii="Times New Roman" w:hAnsi="Times New Roman"/>
        </w:rPr>
        <w:t>Towards</w:t>
      </w:r>
      <w:r>
        <w:rPr>
          <w:rFonts w:ascii="Times New Roman" w:hAnsi="Times New Roman"/>
          <w:spacing w:val="-6"/>
        </w:rPr>
        <w:t> </w:t>
      </w:r>
      <w:r>
        <w:rPr>
          <w:rFonts w:ascii="Times New Roman" w:hAnsi="Times New Roman"/>
        </w:rPr>
        <w:t>processual</w:t>
      </w:r>
      <w:r>
        <w:rPr>
          <w:rFonts w:ascii="Times New Roman" w:hAnsi="Times New Roman"/>
          <w:spacing w:val="-5"/>
        </w:rPr>
        <w:t> </w:t>
      </w:r>
      <w:r>
        <w:rPr>
          <w:rFonts w:ascii="Times New Roman" w:hAnsi="Times New Roman"/>
        </w:rPr>
        <w:t>understanding</w:t>
      </w:r>
      <w:r>
        <w:rPr>
          <w:rFonts w:ascii="Times New Roman" w:hAnsi="Times New Roman"/>
          <w:spacing w:val="-5"/>
        </w:rPr>
        <w:t> </w:t>
      </w:r>
      <w:r>
        <w:rPr>
          <w:rFonts w:ascii="Times New Roman" w:hAnsi="Times New Roman"/>
        </w:rPr>
        <w:t>of</w:t>
      </w:r>
      <w:r>
        <w:rPr>
          <w:rFonts w:ascii="Times New Roman" w:hAnsi="Times New Roman"/>
          <w:spacing w:val="-5"/>
        </w:rPr>
        <w:t> </w:t>
      </w:r>
      <w:r>
        <w:rPr>
          <w:rFonts w:ascii="Times New Roman" w:hAnsi="Times New Roman"/>
        </w:rPr>
        <w:t>knowledge</w:t>
      </w:r>
      <w:r>
        <w:rPr>
          <w:rFonts w:ascii="Times New Roman" w:hAnsi="Times New Roman"/>
          <w:spacing w:val="-6"/>
        </w:rPr>
        <w:t> </w:t>
      </w:r>
      <w:r>
        <w:rPr>
          <w:rFonts w:ascii="Times New Roman" w:hAnsi="Times New Roman"/>
        </w:rPr>
        <w:t>boundaries:</w:t>
      </w:r>
      <w:r>
        <w:rPr>
          <w:rFonts w:ascii="Times New Roman" w:hAnsi="Times New Roman"/>
          <w:spacing w:val="-5"/>
        </w:rPr>
        <w:t> </w:t>
      </w:r>
      <w:r>
        <w:rPr>
          <w:rFonts w:ascii="Times New Roman" w:hAnsi="Times New Roman"/>
        </w:rPr>
        <w:t>an ethnographic examination of how professionals (mis-) align, compete, and collaborate. *Journal of Workplace Learning*, *35*(3), 265-287.</w:t>
      </w:r>
    </w:p>
    <w:p>
      <w:pPr>
        <w:pStyle w:val="BodyText"/>
        <w:spacing w:line="470" w:lineRule="auto" w:before="105"/>
        <w:ind w:left="481" w:right="405" w:hanging="480"/>
        <w:rPr>
          <w:rFonts w:ascii="Times New Roman"/>
        </w:rPr>
      </w:pPr>
      <w:r>
        <w:rPr>
          <w:rFonts w:ascii="Times New Roman"/>
        </w:rPr>
        <w:t>Lane,</w:t>
      </w:r>
      <w:r>
        <w:rPr>
          <w:rFonts w:ascii="Times New Roman"/>
          <w:spacing w:val="-10"/>
        </w:rPr>
        <w:t> </w:t>
      </w:r>
      <w:r>
        <w:rPr>
          <w:rFonts w:ascii="Times New Roman"/>
        </w:rPr>
        <w:t>P.</w:t>
      </w:r>
      <w:r>
        <w:rPr>
          <w:rFonts w:ascii="Times New Roman"/>
          <w:spacing w:val="-10"/>
        </w:rPr>
        <w:t> </w:t>
      </w:r>
      <w:r>
        <w:rPr>
          <w:rFonts w:ascii="Times New Roman"/>
        </w:rPr>
        <w:t>J.,</w:t>
      </w:r>
      <w:r>
        <w:rPr>
          <w:rFonts w:ascii="Times New Roman"/>
          <w:spacing w:val="-10"/>
        </w:rPr>
        <w:t> </w:t>
      </w:r>
      <w:r>
        <w:rPr>
          <w:rFonts w:ascii="Times New Roman"/>
        </w:rPr>
        <w:t>&amp;</w:t>
      </w:r>
      <w:r>
        <w:rPr>
          <w:rFonts w:ascii="Times New Roman"/>
          <w:spacing w:val="-9"/>
        </w:rPr>
        <w:t> </w:t>
      </w:r>
      <w:r>
        <w:rPr>
          <w:rFonts w:ascii="Times New Roman"/>
        </w:rPr>
        <w:t>Lubatkin,</w:t>
      </w:r>
      <w:r>
        <w:rPr>
          <w:rFonts w:ascii="Times New Roman"/>
          <w:spacing w:val="-14"/>
        </w:rPr>
        <w:t> </w:t>
      </w:r>
      <w:r>
        <w:rPr>
          <w:rFonts w:ascii="Times New Roman"/>
        </w:rPr>
        <w:t>M.</w:t>
      </w:r>
      <w:r>
        <w:rPr>
          <w:rFonts w:ascii="Times New Roman"/>
          <w:spacing w:val="-10"/>
        </w:rPr>
        <w:t> </w:t>
      </w:r>
      <w:r>
        <w:rPr>
          <w:rFonts w:ascii="Times New Roman"/>
        </w:rPr>
        <w:t>(1998).</w:t>
      </w:r>
      <w:r>
        <w:rPr>
          <w:rFonts w:ascii="Times New Roman"/>
          <w:spacing w:val="-10"/>
        </w:rPr>
        <w:t> </w:t>
      </w:r>
      <w:r>
        <w:rPr>
          <w:rFonts w:ascii="Times New Roman"/>
        </w:rPr>
        <w:t>Relative</w:t>
      </w:r>
      <w:r>
        <w:rPr>
          <w:rFonts w:ascii="Times New Roman"/>
          <w:spacing w:val="-10"/>
        </w:rPr>
        <w:t> </w:t>
      </w:r>
      <w:r>
        <w:rPr>
          <w:rFonts w:ascii="Times New Roman"/>
        </w:rPr>
        <w:t>absorptive</w:t>
      </w:r>
      <w:r>
        <w:rPr>
          <w:rFonts w:ascii="Times New Roman"/>
          <w:spacing w:val="-10"/>
        </w:rPr>
        <w:t> </w:t>
      </w:r>
      <w:r>
        <w:rPr>
          <w:rFonts w:ascii="Times New Roman"/>
        </w:rPr>
        <w:t>capacity</w:t>
      </w:r>
      <w:r>
        <w:rPr>
          <w:rFonts w:ascii="Times New Roman"/>
          <w:spacing w:val="-10"/>
        </w:rPr>
        <w:t> </w:t>
      </w:r>
      <w:r>
        <w:rPr>
          <w:rFonts w:ascii="Times New Roman"/>
        </w:rPr>
        <w:t>and</w:t>
      </w:r>
      <w:r>
        <w:rPr>
          <w:rFonts w:ascii="Times New Roman"/>
          <w:spacing w:val="-10"/>
        </w:rPr>
        <w:t> </w:t>
      </w:r>
      <w:r>
        <w:rPr>
          <w:rFonts w:ascii="Times New Roman"/>
        </w:rPr>
        <w:t>interorganizational learning. *Strategic management journal*, *19*(5), 461-477.</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397" w:hanging="480"/>
        <w:rPr>
          <w:rFonts w:ascii="Times New Roman"/>
        </w:rPr>
      </w:pPr>
      <w:r>
        <w:rPr>
          <w:rFonts w:ascii="Times New Roman"/>
        </w:rPr>
        <w:t>Lim, Y. W., &amp; French, J. A. (2024). Boundary Interweaving: The Boundary-Making Strategy for Multicultural Coexistence in Marketing Systems. *Journal of Macromarketing*, *44*(2), 553-574.</w:t>
      </w:r>
    </w:p>
    <w:p>
      <w:pPr>
        <w:pStyle w:val="BodyText"/>
        <w:spacing w:before="106"/>
        <w:ind w:left="2"/>
        <w:rPr>
          <w:rFonts w:ascii="Times New Roman"/>
        </w:rPr>
      </w:pPr>
      <w:r>
        <w:rPr>
          <w:rFonts w:ascii="Times New Roman"/>
        </w:rPr>
        <w:t>Lincoln,</w:t>
      </w:r>
      <w:r>
        <w:rPr>
          <w:rFonts w:ascii="Times New Roman"/>
          <w:spacing w:val="-17"/>
        </w:rPr>
        <w:t> </w:t>
      </w:r>
      <w:r>
        <w:rPr>
          <w:rFonts w:ascii="Times New Roman"/>
        </w:rPr>
        <w:t>Y.</w:t>
      </w:r>
      <w:r>
        <w:rPr>
          <w:rFonts w:ascii="Times New Roman"/>
          <w:spacing w:val="-6"/>
        </w:rPr>
        <w:t> </w:t>
      </w:r>
      <w:r>
        <w:rPr>
          <w:rFonts w:ascii="Times New Roman"/>
        </w:rPr>
        <w:t>S.,</w:t>
      </w:r>
      <w:r>
        <w:rPr>
          <w:rFonts w:ascii="Times New Roman"/>
          <w:spacing w:val="-5"/>
        </w:rPr>
        <w:t> </w:t>
      </w:r>
      <w:r>
        <w:rPr>
          <w:rFonts w:ascii="Times New Roman"/>
        </w:rPr>
        <w:t>&amp;</w:t>
      </w:r>
      <w:r>
        <w:rPr>
          <w:rFonts w:ascii="Times New Roman"/>
          <w:spacing w:val="-6"/>
        </w:rPr>
        <w:t> </w:t>
      </w:r>
      <w:r>
        <w:rPr>
          <w:rFonts w:ascii="Times New Roman"/>
        </w:rPr>
        <w:t>Guba,</w:t>
      </w:r>
      <w:r>
        <w:rPr>
          <w:rFonts w:ascii="Times New Roman"/>
          <w:spacing w:val="-3"/>
        </w:rPr>
        <w:t> </w:t>
      </w:r>
      <w:r>
        <w:rPr>
          <w:rFonts w:ascii="Times New Roman"/>
        </w:rPr>
        <w:t>E.</w:t>
      </w:r>
      <w:r>
        <w:rPr>
          <w:rFonts w:ascii="Times New Roman"/>
          <w:spacing w:val="-6"/>
        </w:rPr>
        <w:t> </w:t>
      </w:r>
      <w:r>
        <w:rPr>
          <w:rFonts w:ascii="Times New Roman"/>
        </w:rPr>
        <w:t>G.</w:t>
      </w:r>
      <w:r>
        <w:rPr>
          <w:rFonts w:ascii="Times New Roman"/>
          <w:spacing w:val="-5"/>
        </w:rPr>
        <w:t> </w:t>
      </w:r>
      <w:r>
        <w:rPr>
          <w:rFonts w:ascii="Times New Roman"/>
        </w:rPr>
        <w:t>(1985).</w:t>
      </w:r>
      <w:r>
        <w:rPr>
          <w:rFonts w:ascii="Times New Roman"/>
          <w:spacing w:val="-6"/>
        </w:rPr>
        <w:t> </w:t>
      </w:r>
      <w:r>
        <w:rPr>
          <w:rFonts w:ascii="Times New Roman"/>
        </w:rPr>
        <w:t>Naturalistic</w:t>
      </w:r>
      <w:r>
        <w:rPr>
          <w:rFonts w:ascii="Times New Roman"/>
          <w:spacing w:val="-6"/>
        </w:rPr>
        <w:t> </w:t>
      </w:r>
      <w:r>
        <w:rPr>
          <w:rFonts w:ascii="Times New Roman"/>
        </w:rPr>
        <w:t>inquiry.</w:t>
      </w:r>
      <w:r>
        <w:rPr>
          <w:rFonts w:ascii="Times New Roman"/>
          <w:spacing w:val="-5"/>
        </w:rPr>
        <w:t> </w:t>
      </w:r>
      <w:r>
        <w:rPr>
          <w:rFonts w:ascii="Times New Roman"/>
          <w:spacing w:val="-2"/>
        </w:rPr>
        <w:t>Sage.</w:t>
      </w:r>
    </w:p>
    <w:p>
      <w:pPr>
        <w:pStyle w:val="BodyText"/>
        <w:spacing w:before="96"/>
        <w:ind w:left="0"/>
        <w:jc w:val="left"/>
        <w:rPr>
          <w:rFonts w:ascii="Times New Roman"/>
        </w:rPr>
      </w:pPr>
    </w:p>
    <w:p>
      <w:pPr>
        <w:spacing w:before="0"/>
        <w:ind w:left="2" w:right="0" w:firstLine="0"/>
        <w:jc w:val="both"/>
        <w:rPr>
          <w:rFonts w:ascii="Times New Roman"/>
          <w:sz w:val="24"/>
        </w:rPr>
      </w:pPr>
      <w:r>
        <w:rPr>
          <w:rFonts w:ascii="Times New Roman"/>
          <w:sz w:val="24"/>
        </w:rPr>
        <w:t>Lee,</w:t>
      </w:r>
      <w:r>
        <w:rPr>
          <w:rFonts w:ascii="Times New Roman"/>
          <w:spacing w:val="11"/>
          <w:sz w:val="24"/>
        </w:rPr>
        <w:t> </w:t>
      </w:r>
      <w:r>
        <w:rPr>
          <w:rFonts w:ascii="Times New Roman"/>
          <w:sz w:val="24"/>
        </w:rPr>
        <w:t>Y.</w:t>
      </w:r>
      <w:r>
        <w:rPr>
          <w:rFonts w:ascii="Times New Roman"/>
          <w:spacing w:val="24"/>
          <w:sz w:val="24"/>
        </w:rPr>
        <w:t> </w:t>
      </w:r>
      <w:r>
        <w:rPr>
          <w:rFonts w:ascii="Times New Roman"/>
          <w:sz w:val="24"/>
        </w:rPr>
        <w:t>S.</w:t>
      </w:r>
      <w:r>
        <w:rPr>
          <w:rFonts w:ascii="Times New Roman"/>
          <w:spacing w:val="24"/>
          <w:sz w:val="24"/>
        </w:rPr>
        <w:t> </w:t>
      </w:r>
      <w:r>
        <w:rPr>
          <w:rFonts w:ascii="Times New Roman"/>
          <w:sz w:val="24"/>
        </w:rPr>
        <w:t>(2024).</w:t>
      </w:r>
      <w:r>
        <w:rPr>
          <w:rFonts w:ascii="Times New Roman"/>
          <w:spacing w:val="24"/>
          <w:sz w:val="24"/>
        </w:rPr>
        <w:t> </w:t>
      </w:r>
      <w:r>
        <w:rPr>
          <w:rFonts w:ascii="Times New Roman"/>
          <w:sz w:val="24"/>
        </w:rPr>
        <w:t>Qualitative</w:t>
      </w:r>
      <w:r>
        <w:rPr>
          <w:rFonts w:ascii="Times New Roman"/>
          <w:spacing w:val="25"/>
          <w:sz w:val="24"/>
        </w:rPr>
        <w:t> </w:t>
      </w:r>
      <w:r>
        <w:rPr>
          <w:rFonts w:ascii="Times New Roman"/>
          <w:sz w:val="24"/>
        </w:rPr>
        <w:t>and</w:t>
      </w:r>
      <w:r>
        <w:rPr>
          <w:rFonts w:ascii="Times New Roman"/>
          <w:spacing w:val="24"/>
          <w:sz w:val="24"/>
        </w:rPr>
        <w:t> </w:t>
      </w:r>
      <w:r>
        <w:rPr>
          <w:rFonts w:ascii="Times New Roman"/>
          <w:sz w:val="24"/>
        </w:rPr>
        <w:t>mixed</w:t>
      </w:r>
      <w:r>
        <w:rPr>
          <w:rFonts w:ascii="Times New Roman"/>
          <w:spacing w:val="24"/>
          <w:sz w:val="24"/>
        </w:rPr>
        <w:t> </w:t>
      </w:r>
      <w:r>
        <w:rPr>
          <w:rFonts w:ascii="Times New Roman"/>
          <w:sz w:val="24"/>
        </w:rPr>
        <w:t>methods.</w:t>
      </w:r>
      <w:r>
        <w:rPr>
          <w:rFonts w:ascii="Times New Roman"/>
          <w:spacing w:val="25"/>
          <w:sz w:val="24"/>
        </w:rPr>
        <w:t> </w:t>
      </w:r>
      <w:r>
        <w:rPr>
          <w:rFonts w:ascii="Times New Roman"/>
          <w:sz w:val="24"/>
        </w:rPr>
        <w:t>In</w:t>
      </w:r>
      <w:r>
        <w:rPr>
          <w:rFonts w:ascii="Times New Roman"/>
          <w:spacing w:val="-1"/>
          <w:sz w:val="24"/>
        </w:rPr>
        <w:t> </w:t>
      </w:r>
      <w:r>
        <w:rPr>
          <w:rFonts w:ascii="Times New Roman"/>
          <w:i/>
          <w:sz w:val="24"/>
        </w:rPr>
        <w:t>Translational</w:t>
      </w:r>
      <w:r>
        <w:rPr>
          <w:rFonts w:ascii="Times New Roman"/>
          <w:i/>
          <w:spacing w:val="25"/>
          <w:sz w:val="24"/>
        </w:rPr>
        <w:t> </w:t>
      </w:r>
      <w:r>
        <w:rPr>
          <w:rFonts w:ascii="Times New Roman"/>
          <w:i/>
          <w:sz w:val="24"/>
        </w:rPr>
        <w:t>Orthopedics</w:t>
      </w:r>
      <w:r>
        <w:rPr>
          <w:rFonts w:ascii="Times New Roman"/>
          <w:i/>
          <w:spacing w:val="-3"/>
          <w:sz w:val="24"/>
        </w:rPr>
        <w:t> </w:t>
      </w:r>
      <w:r>
        <w:rPr>
          <w:rFonts w:ascii="Times New Roman"/>
          <w:spacing w:val="-4"/>
          <w:sz w:val="24"/>
        </w:rPr>
        <w:t>(pp.</w:t>
      </w:r>
    </w:p>
    <w:p>
      <w:pPr>
        <w:pStyle w:val="BodyText"/>
        <w:spacing w:before="264"/>
        <w:ind w:left="481"/>
        <w:jc w:val="left"/>
        <w:rPr>
          <w:rFonts w:ascii="Times New Roman"/>
        </w:rPr>
      </w:pPr>
      <w:r>
        <w:rPr>
          <w:rFonts w:ascii="Times New Roman"/>
        </w:rPr>
        <w:t>229-232).</w:t>
      </w:r>
      <w:r>
        <w:rPr>
          <w:rFonts w:ascii="Times New Roman"/>
          <w:spacing w:val="-16"/>
        </w:rPr>
        <w:t> </w:t>
      </w:r>
      <w:r>
        <w:rPr>
          <w:rFonts w:ascii="Times New Roman"/>
        </w:rPr>
        <w:t>Academic</w:t>
      </w:r>
      <w:r>
        <w:rPr>
          <w:rFonts w:ascii="Times New Roman"/>
          <w:spacing w:val="-2"/>
        </w:rPr>
        <w:t> Press.</w:t>
      </w:r>
    </w:p>
    <w:p>
      <w:pPr>
        <w:pStyle w:val="BodyText"/>
        <w:spacing w:before="96"/>
        <w:ind w:left="0"/>
        <w:jc w:val="left"/>
        <w:rPr>
          <w:rFonts w:ascii="Times New Roman"/>
        </w:rPr>
      </w:pPr>
    </w:p>
    <w:p>
      <w:pPr>
        <w:pStyle w:val="BodyText"/>
        <w:spacing w:line="470" w:lineRule="auto"/>
        <w:ind w:left="481" w:right="403" w:hanging="480"/>
        <w:rPr>
          <w:rFonts w:ascii="Times New Roman" w:hAnsi="Times New Roman"/>
        </w:rPr>
      </w:pPr>
      <w:r>
        <w:rPr>
          <w:rFonts w:ascii="Times New Roman" w:hAnsi="Times New Roman"/>
        </w:rPr>
        <w:t>Markus, M. L. (1983). Power, politics, and MIS implementation. *Communications of the ACM*, 26(6), 430–444.</w:t>
      </w:r>
    </w:p>
    <w:p>
      <w:pPr>
        <w:pStyle w:val="BodyText"/>
        <w:spacing w:line="470" w:lineRule="auto" w:before="107"/>
        <w:ind w:left="481" w:right="404" w:hanging="480"/>
        <w:rPr>
          <w:rFonts w:ascii="Times New Roman"/>
        </w:rPr>
      </w:pPr>
      <w:r>
        <w:rPr>
          <w:rFonts w:ascii="Times New Roman"/>
        </w:rPr>
        <w:drawing>
          <wp:anchor distT="0" distB="0" distL="0" distR="0" allowOverlap="1" layoutInCell="1" locked="0" behindDoc="1" simplePos="0" relativeHeight="485839360">
            <wp:simplePos x="0" y="0"/>
            <wp:positionH relativeFrom="page">
              <wp:posOffset>3312414</wp:posOffset>
            </wp:positionH>
            <wp:positionV relativeFrom="paragraph">
              <wp:posOffset>713960</wp:posOffset>
            </wp:positionV>
            <wp:extent cx="929640" cy="978408"/>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Marrone, J.</w:t>
      </w:r>
      <w:r>
        <w:rPr>
          <w:rFonts w:ascii="Times New Roman"/>
          <w:spacing w:val="-4"/>
        </w:rPr>
        <w:t> </w:t>
      </w:r>
      <w:r>
        <w:rPr>
          <w:rFonts w:ascii="Times New Roman"/>
        </w:rPr>
        <w:t>A. (2010). Team boundary spanning:</w:t>
      </w:r>
      <w:r>
        <w:rPr>
          <w:rFonts w:ascii="Times New Roman"/>
          <w:spacing w:val="-4"/>
        </w:rPr>
        <w:t> </w:t>
      </w:r>
      <w:r>
        <w:rPr>
          <w:rFonts w:ascii="Times New Roman"/>
        </w:rPr>
        <w:t>A</w:t>
      </w:r>
      <w:r>
        <w:rPr>
          <w:rFonts w:ascii="Times New Roman"/>
          <w:spacing w:val="-1"/>
        </w:rPr>
        <w:t> </w:t>
      </w:r>
      <w:r>
        <w:rPr>
          <w:rFonts w:ascii="Times New Roman"/>
        </w:rPr>
        <w:t>multilevel review of past research and proposals for the future. Journal of management, 36(4), 911-940.</w:t>
      </w:r>
    </w:p>
    <w:p>
      <w:pPr>
        <w:pStyle w:val="BodyText"/>
        <w:spacing w:line="470" w:lineRule="auto" w:before="106"/>
        <w:ind w:left="481" w:right="398" w:hanging="480"/>
        <w:rPr>
          <w:rFonts w:ascii="Times New Roman"/>
        </w:rPr>
      </w:pPr>
      <w:r>
        <w:rPr>
          <w:rFonts w:ascii="Times New Roman"/>
        </w:rPr>
        <w:t>Marrone, J. A., Tesluk, P. E., &amp; Carson, J. B. (2007). A multilevel investigation of antecedents</w:t>
      </w:r>
      <w:r>
        <w:rPr>
          <w:rFonts w:ascii="Times New Roman"/>
          <w:spacing w:val="80"/>
        </w:rPr>
        <w:t> </w:t>
      </w:r>
      <w:r>
        <w:rPr>
          <w:rFonts w:ascii="Times New Roman"/>
        </w:rPr>
        <w:t>and</w:t>
      </w:r>
      <w:r>
        <w:rPr>
          <w:rFonts w:ascii="Times New Roman"/>
          <w:spacing w:val="80"/>
        </w:rPr>
        <w:t> </w:t>
      </w:r>
      <w:r>
        <w:rPr>
          <w:rFonts w:ascii="Times New Roman"/>
        </w:rPr>
        <w:t>consequences</w:t>
      </w:r>
      <w:r>
        <w:rPr>
          <w:rFonts w:ascii="Times New Roman"/>
          <w:spacing w:val="80"/>
        </w:rPr>
        <w:t> </w:t>
      </w:r>
      <w:r>
        <w:rPr>
          <w:rFonts w:ascii="Times New Roman"/>
        </w:rPr>
        <w:t>of</w:t>
      </w:r>
      <w:r>
        <w:rPr>
          <w:rFonts w:ascii="Times New Roman"/>
          <w:spacing w:val="80"/>
        </w:rPr>
        <w:t> </w:t>
      </w:r>
      <w:r>
        <w:rPr>
          <w:rFonts w:ascii="Times New Roman"/>
        </w:rPr>
        <w:t>team</w:t>
      </w:r>
      <w:r>
        <w:rPr>
          <w:rFonts w:ascii="Times New Roman"/>
          <w:spacing w:val="80"/>
        </w:rPr>
        <w:t> </w:t>
      </w:r>
      <w:r>
        <w:rPr>
          <w:rFonts w:ascii="Times New Roman"/>
        </w:rPr>
        <w:t>member</w:t>
      </w:r>
      <w:r>
        <w:rPr>
          <w:rFonts w:ascii="Times New Roman"/>
          <w:spacing w:val="80"/>
        </w:rPr>
        <w:t> </w:t>
      </w:r>
      <w:r>
        <w:rPr>
          <w:rFonts w:ascii="Times New Roman"/>
        </w:rPr>
        <w:t>boundary-spanning</w:t>
      </w:r>
      <w:r>
        <w:rPr>
          <w:rFonts w:ascii="Times New Roman"/>
          <w:spacing w:val="80"/>
        </w:rPr>
        <w:t> </w:t>
      </w:r>
      <w:r>
        <w:rPr>
          <w:rFonts w:ascii="Times New Roman"/>
        </w:rPr>
        <w:t>behavior. Academy of Management Journal, 50(6), 1423-1439.</w:t>
      </w:r>
    </w:p>
    <w:p>
      <w:pPr>
        <w:pStyle w:val="BodyText"/>
        <w:spacing w:line="470" w:lineRule="auto" w:before="105"/>
        <w:ind w:left="481" w:right="400" w:hanging="480"/>
        <w:rPr>
          <w:rFonts w:ascii="Times New Roman" w:hAnsi="Times New Roman"/>
        </w:rPr>
      </w:pPr>
      <w:r>
        <w:rPr>
          <w:rFonts w:ascii="Times New Roman" w:hAnsi="Times New Roman"/>
        </w:rPr>
        <w:t>Marston, S., Li, Z., Bandyopadhyay, S., Zhang, J., &amp; Ghalsasi, A. (2011). Cloud computing—The</w:t>
      </w:r>
      <w:r>
        <w:rPr>
          <w:rFonts w:ascii="Times New Roman" w:hAnsi="Times New Roman"/>
          <w:spacing w:val="-8"/>
        </w:rPr>
        <w:t> </w:t>
      </w:r>
      <w:r>
        <w:rPr>
          <w:rFonts w:ascii="Times New Roman" w:hAnsi="Times New Roman"/>
        </w:rPr>
        <w:t>business</w:t>
      </w:r>
      <w:r>
        <w:rPr>
          <w:rFonts w:ascii="Times New Roman" w:hAnsi="Times New Roman"/>
          <w:spacing w:val="-6"/>
        </w:rPr>
        <w:t> </w:t>
      </w:r>
      <w:r>
        <w:rPr>
          <w:rFonts w:ascii="Times New Roman" w:hAnsi="Times New Roman"/>
        </w:rPr>
        <w:t>perspective.</w:t>
      </w:r>
      <w:r>
        <w:rPr>
          <w:rFonts w:ascii="Times New Roman" w:hAnsi="Times New Roman"/>
          <w:spacing w:val="-7"/>
        </w:rPr>
        <w:t> </w:t>
      </w:r>
      <w:r>
        <w:rPr>
          <w:rFonts w:ascii="Times New Roman" w:hAnsi="Times New Roman"/>
        </w:rPr>
        <w:t>Decision</w:t>
      </w:r>
      <w:r>
        <w:rPr>
          <w:rFonts w:ascii="Times New Roman" w:hAnsi="Times New Roman"/>
          <w:spacing w:val="-6"/>
        </w:rPr>
        <w:t> </w:t>
      </w:r>
      <w:r>
        <w:rPr>
          <w:rFonts w:ascii="Times New Roman" w:hAnsi="Times New Roman"/>
        </w:rPr>
        <w:t>Support</w:t>
      </w:r>
      <w:r>
        <w:rPr>
          <w:rFonts w:ascii="Times New Roman" w:hAnsi="Times New Roman"/>
          <w:spacing w:val="-7"/>
        </w:rPr>
        <w:t> </w:t>
      </w:r>
      <w:r>
        <w:rPr>
          <w:rFonts w:ascii="Times New Roman" w:hAnsi="Times New Roman"/>
        </w:rPr>
        <w:t>Systems,</w:t>
      </w:r>
      <w:r>
        <w:rPr>
          <w:rFonts w:ascii="Times New Roman" w:hAnsi="Times New Roman"/>
          <w:spacing w:val="-6"/>
        </w:rPr>
        <w:t> </w:t>
      </w:r>
      <w:r>
        <w:rPr>
          <w:rFonts w:ascii="Times New Roman" w:hAnsi="Times New Roman"/>
        </w:rPr>
        <w:t>51(1),</w:t>
      </w:r>
      <w:r>
        <w:rPr>
          <w:rFonts w:ascii="Times New Roman" w:hAnsi="Times New Roman"/>
          <w:spacing w:val="-6"/>
        </w:rPr>
        <w:t> </w:t>
      </w:r>
      <w:r>
        <w:rPr>
          <w:rFonts w:ascii="Times New Roman" w:hAnsi="Times New Roman"/>
        </w:rPr>
        <w:t>176-</w:t>
      </w:r>
      <w:r>
        <w:rPr>
          <w:rFonts w:ascii="Times New Roman" w:hAnsi="Times New Roman"/>
          <w:spacing w:val="-4"/>
        </w:rPr>
        <w:t>189.</w:t>
      </w:r>
    </w:p>
    <w:p>
      <w:pPr>
        <w:pStyle w:val="BodyText"/>
        <w:spacing w:line="470" w:lineRule="auto" w:before="107"/>
        <w:ind w:left="481" w:right="400" w:hanging="480"/>
        <w:rPr>
          <w:rFonts w:ascii="Times New Roman" w:hAnsi="Times New Roman"/>
        </w:rPr>
      </w:pPr>
      <w:r>
        <w:rPr>
          <w:rFonts w:ascii="Times New Roman" w:hAnsi="Times New Roman"/>
        </w:rPr>
        <w:t>Ndofor,</w:t>
      </w:r>
      <w:r>
        <w:rPr>
          <w:rFonts w:ascii="Times New Roman" w:hAnsi="Times New Roman"/>
          <w:spacing w:val="-13"/>
        </w:rPr>
        <w:t> </w:t>
      </w:r>
      <w:r>
        <w:rPr>
          <w:rFonts w:ascii="Times New Roman" w:hAnsi="Times New Roman"/>
        </w:rPr>
        <w:t>H.</w:t>
      </w:r>
      <w:r>
        <w:rPr>
          <w:rFonts w:ascii="Times New Roman" w:hAnsi="Times New Roman"/>
          <w:spacing w:val="-15"/>
        </w:rPr>
        <w:t> </w:t>
      </w:r>
      <w:r>
        <w:rPr>
          <w:rFonts w:ascii="Times New Roman" w:hAnsi="Times New Roman"/>
        </w:rPr>
        <w:t>A.,</w:t>
      </w:r>
      <w:r>
        <w:rPr>
          <w:rFonts w:ascii="Times New Roman" w:hAnsi="Times New Roman"/>
          <w:spacing w:val="-7"/>
        </w:rPr>
        <w:t> </w:t>
      </w:r>
      <w:r>
        <w:rPr>
          <w:rFonts w:ascii="Times New Roman" w:hAnsi="Times New Roman"/>
        </w:rPr>
        <w:t>Sirmon,</w:t>
      </w:r>
      <w:r>
        <w:rPr>
          <w:rFonts w:ascii="Times New Roman" w:hAnsi="Times New Roman"/>
          <w:spacing w:val="-7"/>
        </w:rPr>
        <w:t> </w:t>
      </w:r>
      <w:r>
        <w:rPr>
          <w:rFonts w:ascii="Times New Roman" w:hAnsi="Times New Roman"/>
        </w:rPr>
        <w:t>D.</w:t>
      </w:r>
      <w:r>
        <w:rPr>
          <w:rFonts w:ascii="Times New Roman" w:hAnsi="Times New Roman"/>
          <w:spacing w:val="-7"/>
        </w:rPr>
        <w:t> </w:t>
      </w:r>
      <w:r>
        <w:rPr>
          <w:rFonts w:ascii="Times New Roman" w:hAnsi="Times New Roman"/>
        </w:rPr>
        <w:t>G.,</w:t>
      </w:r>
      <w:r>
        <w:rPr>
          <w:rFonts w:ascii="Times New Roman" w:hAnsi="Times New Roman"/>
          <w:spacing w:val="-7"/>
        </w:rPr>
        <w:t> </w:t>
      </w:r>
      <w:r>
        <w:rPr>
          <w:rFonts w:ascii="Times New Roman" w:hAnsi="Times New Roman"/>
        </w:rPr>
        <w:t>&amp;</w:t>
      </w:r>
      <w:r>
        <w:rPr>
          <w:rFonts w:ascii="Times New Roman" w:hAnsi="Times New Roman"/>
          <w:spacing w:val="-6"/>
        </w:rPr>
        <w:t> </w:t>
      </w:r>
      <w:r>
        <w:rPr>
          <w:rFonts w:ascii="Times New Roman" w:hAnsi="Times New Roman"/>
        </w:rPr>
        <w:t>He,</w:t>
      </w:r>
      <w:r>
        <w:rPr>
          <w:rFonts w:ascii="Times New Roman" w:hAnsi="Times New Roman"/>
          <w:spacing w:val="-7"/>
        </w:rPr>
        <w:t> </w:t>
      </w:r>
      <w:r>
        <w:rPr>
          <w:rFonts w:ascii="Times New Roman" w:hAnsi="Times New Roman"/>
        </w:rPr>
        <w:t>X.</w:t>
      </w:r>
      <w:r>
        <w:rPr>
          <w:rFonts w:ascii="Times New Roman" w:hAnsi="Times New Roman"/>
          <w:spacing w:val="-10"/>
        </w:rPr>
        <w:t> </w:t>
      </w:r>
      <w:r>
        <w:rPr>
          <w:rFonts w:ascii="Times New Roman" w:hAnsi="Times New Roman"/>
        </w:rPr>
        <w:t>(2011).</w:t>
      </w:r>
      <w:r>
        <w:rPr>
          <w:rFonts w:ascii="Times New Roman" w:hAnsi="Times New Roman"/>
          <w:spacing w:val="-8"/>
        </w:rPr>
        <w:t> </w:t>
      </w:r>
      <w:r>
        <w:rPr>
          <w:rFonts w:ascii="Times New Roman" w:hAnsi="Times New Roman"/>
        </w:rPr>
        <w:t>Firm</w:t>
      </w:r>
      <w:r>
        <w:rPr>
          <w:rFonts w:ascii="Times New Roman" w:hAnsi="Times New Roman"/>
          <w:spacing w:val="-7"/>
        </w:rPr>
        <w:t> </w:t>
      </w:r>
      <w:r>
        <w:rPr>
          <w:rFonts w:ascii="Times New Roman" w:hAnsi="Times New Roman"/>
        </w:rPr>
        <w:t>resources,</w:t>
      </w:r>
      <w:r>
        <w:rPr>
          <w:rFonts w:ascii="Times New Roman" w:hAnsi="Times New Roman"/>
          <w:spacing w:val="-7"/>
        </w:rPr>
        <w:t> </w:t>
      </w:r>
      <w:r>
        <w:rPr>
          <w:rFonts w:ascii="Times New Roman" w:hAnsi="Times New Roman"/>
        </w:rPr>
        <w:t>competitive</w:t>
      </w:r>
      <w:r>
        <w:rPr>
          <w:rFonts w:ascii="Times New Roman" w:hAnsi="Times New Roman"/>
          <w:spacing w:val="-7"/>
        </w:rPr>
        <w:t> </w:t>
      </w:r>
      <w:r>
        <w:rPr>
          <w:rFonts w:ascii="Times New Roman" w:hAnsi="Times New Roman"/>
        </w:rPr>
        <w:t>actions</w:t>
      </w:r>
      <w:r>
        <w:rPr>
          <w:rFonts w:ascii="Times New Roman" w:hAnsi="Times New Roman"/>
          <w:spacing w:val="-7"/>
        </w:rPr>
        <w:t> </w:t>
      </w:r>
      <w:r>
        <w:rPr>
          <w:rFonts w:ascii="Times New Roman" w:hAnsi="Times New Roman"/>
        </w:rPr>
        <w:t>and performance: investigating a mediated model with evidence from the in‐vitro diagnostics industry. *Strategic Management Journal*, *32*(6), 640-657.</w:t>
      </w:r>
    </w:p>
    <w:p>
      <w:pPr>
        <w:pStyle w:val="BodyText"/>
        <w:spacing w:line="470" w:lineRule="auto" w:before="105"/>
        <w:ind w:left="481" w:right="404" w:hanging="480"/>
        <w:rPr>
          <w:rFonts w:ascii="Times New Roman"/>
        </w:rPr>
      </w:pPr>
      <w:r>
        <w:rPr>
          <w:rFonts w:ascii="Times New Roman"/>
        </w:rPr>
        <w:t>Nguyen, L., Bellucci, E., &amp; Nguyen, L. T. (2014). Electronic health records implementation: an evaluation of information system impact and contingency factors. International journal of medical informatics, 83(11), 779-796.</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399" w:hanging="480"/>
        <w:rPr>
          <w:rFonts w:ascii="Times New Roman" w:hAnsi="Times New Roman"/>
        </w:rPr>
      </w:pPr>
      <w:r>
        <w:rPr>
          <w:rFonts w:ascii="Times New Roman" w:hAnsi="Times New Roman"/>
        </w:rPr>
        <w:t>Oliveira,</w:t>
      </w:r>
      <w:r>
        <w:rPr>
          <w:rFonts w:ascii="Times New Roman" w:hAnsi="Times New Roman"/>
          <w:spacing w:val="-9"/>
        </w:rPr>
        <w:t> </w:t>
      </w:r>
      <w:r>
        <w:rPr>
          <w:rFonts w:ascii="Times New Roman" w:hAnsi="Times New Roman"/>
        </w:rPr>
        <w:t>T.,</w:t>
      </w:r>
      <w:r>
        <w:rPr>
          <w:rFonts w:ascii="Times New Roman" w:hAnsi="Times New Roman"/>
          <w:spacing w:val="-3"/>
        </w:rPr>
        <w:t> </w:t>
      </w:r>
      <w:r>
        <w:rPr>
          <w:rFonts w:ascii="Times New Roman" w:hAnsi="Times New Roman"/>
        </w:rPr>
        <w:t>Martins,</w:t>
      </w:r>
      <w:r>
        <w:rPr>
          <w:rFonts w:ascii="Times New Roman" w:hAnsi="Times New Roman"/>
          <w:spacing w:val="-3"/>
        </w:rPr>
        <w:t> </w:t>
      </w:r>
      <w:r>
        <w:rPr>
          <w:rFonts w:ascii="Times New Roman" w:hAnsi="Times New Roman"/>
        </w:rPr>
        <w:t>R.,</w:t>
      </w:r>
      <w:r>
        <w:rPr>
          <w:rFonts w:ascii="Times New Roman" w:hAnsi="Times New Roman"/>
          <w:spacing w:val="-3"/>
        </w:rPr>
        <w:t> </w:t>
      </w:r>
      <w:r>
        <w:rPr>
          <w:rFonts w:ascii="Times New Roman" w:hAnsi="Times New Roman"/>
        </w:rPr>
        <w:t>Sarker,</w:t>
      </w:r>
      <w:r>
        <w:rPr>
          <w:rFonts w:ascii="Times New Roman" w:hAnsi="Times New Roman"/>
          <w:spacing w:val="-3"/>
        </w:rPr>
        <w:t> </w:t>
      </w:r>
      <w:r>
        <w:rPr>
          <w:rFonts w:ascii="Times New Roman" w:hAnsi="Times New Roman"/>
        </w:rPr>
        <w:t>S.,</w:t>
      </w:r>
      <w:r>
        <w:rPr>
          <w:rFonts w:ascii="Times New Roman" w:hAnsi="Times New Roman"/>
          <w:spacing w:val="-8"/>
        </w:rPr>
        <w:t> </w:t>
      </w:r>
      <w:r>
        <w:rPr>
          <w:rFonts w:ascii="Times New Roman" w:hAnsi="Times New Roman"/>
        </w:rPr>
        <w:t>Thomas,</w:t>
      </w:r>
      <w:r>
        <w:rPr>
          <w:rFonts w:ascii="Times New Roman" w:hAnsi="Times New Roman"/>
          <w:spacing w:val="-3"/>
        </w:rPr>
        <w:t> </w:t>
      </w:r>
      <w:r>
        <w:rPr>
          <w:rFonts w:ascii="Times New Roman" w:hAnsi="Times New Roman"/>
        </w:rPr>
        <w:t>M.,</w:t>
      </w:r>
      <w:r>
        <w:rPr>
          <w:rFonts w:ascii="Times New Roman" w:hAnsi="Times New Roman"/>
          <w:spacing w:val="-1"/>
        </w:rPr>
        <w:t> </w:t>
      </w:r>
      <w:r>
        <w:rPr>
          <w:rFonts w:ascii="Times New Roman" w:hAnsi="Times New Roman"/>
        </w:rPr>
        <w:t>&amp;</w:t>
      </w:r>
      <w:r>
        <w:rPr>
          <w:rFonts w:ascii="Times New Roman" w:hAnsi="Times New Roman"/>
          <w:spacing w:val="-3"/>
        </w:rPr>
        <w:t> </w:t>
      </w:r>
      <w:r>
        <w:rPr>
          <w:rFonts w:ascii="Times New Roman" w:hAnsi="Times New Roman"/>
        </w:rPr>
        <w:t>Popovič,</w:t>
      </w:r>
      <w:r>
        <w:rPr>
          <w:rFonts w:ascii="Times New Roman" w:hAnsi="Times New Roman"/>
          <w:spacing w:val="-15"/>
        </w:rPr>
        <w:t> </w:t>
      </w:r>
      <w:r>
        <w:rPr>
          <w:rFonts w:ascii="Times New Roman" w:hAnsi="Times New Roman"/>
        </w:rPr>
        <w:t>A.</w:t>
      </w:r>
      <w:r>
        <w:rPr>
          <w:rFonts w:ascii="Times New Roman" w:hAnsi="Times New Roman"/>
          <w:spacing w:val="-4"/>
        </w:rPr>
        <w:t> </w:t>
      </w:r>
      <w:r>
        <w:rPr>
          <w:rFonts w:ascii="Times New Roman" w:hAnsi="Times New Roman"/>
        </w:rPr>
        <w:t>(2019).</w:t>
      </w:r>
      <w:r>
        <w:rPr>
          <w:rFonts w:ascii="Times New Roman" w:hAnsi="Times New Roman"/>
          <w:spacing w:val="-4"/>
        </w:rPr>
        <w:t> </w:t>
      </w:r>
      <w:r>
        <w:rPr>
          <w:rFonts w:ascii="Times New Roman" w:hAnsi="Times New Roman"/>
        </w:rPr>
        <w:t>Understanding SaaS adoption:</w:t>
      </w:r>
      <w:r>
        <w:rPr>
          <w:rFonts w:ascii="Times New Roman" w:hAnsi="Times New Roman"/>
          <w:spacing w:val="-3"/>
        </w:rPr>
        <w:t> </w:t>
      </w:r>
      <w:r>
        <w:rPr>
          <w:rFonts w:ascii="Times New Roman" w:hAnsi="Times New Roman"/>
        </w:rPr>
        <w:t>The</w:t>
      </w:r>
      <w:r>
        <w:rPr>
          <w:rFonts w:ascii="Times New Roman" w:hAnsi="Times New Roman"/>
          <w:spacing w:val="-1"/>
        </w:rPr>
        <w:t> </w:t>
      </w:r>
      <w:r>
        <w:rPr>
          <w:rFonts w:ascii="Times New Roman" w:hAnsi="Times New Roman"/>
        </w:rPr>
        <w:t>moderating impact of</w:t>
      </w:r>
      <w:r>
        <w:rPr>
          <w:rFonts w:ascii="Times New Roman" w:hAnsi="Times New Roman"/>
          <w:spacing w:val="-1"/>
        </w:rPr>
        <w:t> </w:t>
      </w:r>
      <w:r>
        <w:rPr>
          <w:rFonts w:ascii="Times New Roman" w:hAnsi="Times New Roman"/>
        </w:rPr>
        <w:t>the environment context. *International Journal of Information Management*, *49*, 1-12.</w:t>
      </w:r>
    </w:p>
    <w:p>
      <w:pPr>
        <w:pStyle w:val="BodyText"/>
        <w:spacing w:line="470" w:lineRule="auto" w:before="106"/>
        <w:ind w:left="481" w:right="400" w:hanging="480"/>
        <w:rPr>
          <w:rFonts w:ascii="Times New Roman"/>
        </w:rPr>
      </w:pPr>
      <w:r>
        <w:rPr>
          <w:rFonts w:ascii="Times New Roman"/>
        </w:rPr>
        <w:t>Oliveira,</w:t>
      </w:r>
      <w:r>
        <w:rPr>
          <w:rFonts w:ascii="Times New Roman"/>
          <w:spacing w:val="-13"/>
        </w:rPr>
        <w:t> </w:t>
      </w:r>
      <w:r>
        <w:rPr>
          <w:rFonts w:ascii="Times New Roman"/>
        </w:rPr>
        <w:t>T.,</w:t>
      </w:r>
      <w:r>
        <w:rPr>
          <w:rFonts w:ascii="Times New Roman"/>
          <w:spacing w:val="-10"/>
        </w:rPr>
        <w:t> </w:t>
      </w:r>
      <w:r>
        <w:rPr>
          <w:rFonts w:ascii="Times New Roman"/>
        </w:rPr>
        <w:t>Thomas,</w:t>
      </w:r>
      <w:r>
        <w:rPr>
          <w:rFonts w:ascii="Times New Roman"/>
          <w:spacing w:val="-5"/>
        </w:rPr>
        <w:t> </w:t>
      </w:r>
      <w:r>
        <w:rPr>
          <w:rFonts w:ascii="Times New Roman"/>
        </w:rPr>
        <w:t>M.,</w:t>
      </w:r>
      <w:r>
        <w:rPr>
          <w:rFonts w:ascii="Times New Roman"/>
          <w:spacing w:val="-5"/>
        </w:rPr>
        <w:t> </w:t>
      </w:r>
      <w:r>
        <w:rPr>
          <w:rFonts w:ascii="Times New Roman"/>
        </w:rPr>
        <w:t>&amp;</w:t>
      </w:r>
      <w:r>
        <w:rPr>
          <w:rFonts w:ascii="Times New Roman"/>
          <w:spacing w:val="-5"/>
        </w:rPr>
        <w:t> </w:t>
      </w:r>
      <w:r>
        <w:rPr>
          <w:rFonts w:ascii="Times New Roman"/>
        </w:rPr>
        <w:t>Espadanal,</w:t>
      </w:r>
      <w:r>
        <w:rPr>
          <w:rFonts w:ascii="Times New Roman"/>
          <w:spacing w:val="-5"/>
        </w:rPr>
        <w:t> </w:t>
      </w:r>
      <w:r>
        <w:rPr>
          <w:rFonts w:ascii="Times New Roman"/>
        </w:rPr>
        <w:t>M.</w:t>
      </w:r>
      <w:r>
        <w:rPr>
          <w:rFonts w:ascii="Times New Roman"/>
          <w:spacing w:val="-5"/>
        </w:rPr>
        <w:t> </w:t>
      </w:r>
      <w:r>
        <w:rPr>
          <w:rFonts w:ascii="Times New Roman"/>
        </w:rPr>
        <w:t>(2019).</w:t>
      </w:r>
      <w:r>
        <w:rPr>
          <w:rFonts w:ascii="Times New Roman"/>
          <w:spacing w:val="-15"/>
        </w:rPr>
        <w:t> </w:t>
      </w:r>
      <w:r>
        <w:rPr>
          <w:rFonts w:ascii="Times New Roman"/>
        </w:rPr>
        <w:t>Assessing</w:t>
      </w:r>
      <w:r>
        <w:rPr>
          <w:rFonts w:ascii="Times New Roman"/>
          <w:spacing w:val="-5"/>
        </w:rPr>
        <w:t> </w:t>
      </w:r>
      <w:r>
        <w:rPr>
          <w:rFonts w:ascii="Times New Roman"/>
        </w:rPr>
        <w:t>the</w:t>
      </w:r>
      <w:r>
        <w:rPr>
          <w:rFonts w:ascii="Times New Roman"/>
          <w:spacing w:val="-5"/>
        </w:rPr>
        <w:t> </w:t>
      </w:r>
      <w:r>
        <w:rPr>
          <w:rFonts w:ascii="Times New Roman"/>
        </w:rPr>
        <w:t>determinants</w:t>
      </w:r>
      <w:r>
        <w:rPr>
          <w:rFonts w:ascii="Times New Roman"/>
          <w:spacing w:val="-6"/>
        </w:rPr>
        <w:t> </w:t>
      </w:r>
      <w:r>
        <w:rPr>
          <w:rFonts w:ascii="Times New Roman"/>
        </w:rPr>
        <w:t>of</w:t>
      </w:r>
      <w:r>
        <w:rPr>
          <w:rFonts w:ascii="Times New Roman"/>
          <w:spacing w:val="-5"/>
        </w:rPr>
        <w:t> </w:t>
      </w:r>
      <w:r>
        <w:rPr>
          <w:rFonts w:ascii="Times New Roman"/>
        </w:rPr>
        <w:t>cloud computing adoption: An analysis of the manufacturing and services sectors. Information &amp; Management, 51(5), 497-510.</w:t>
      </w:r>
    </w:p>
    <w:p>
      <w:pPr>
        <w:pStyle w:val="BodyText"/>
        <w:spacing w:line="470" w:lineRule="auto" w:before="106"/>
        <w:ind w:left="481" w:right="401" w:hanging="480"/>
        <w:rPr>
          <w:rFonts w:ascii="Times New Roman"/>
        </w:rPr>
      </w:pPr>
      <w:r>
        <w:rPr>
          <w:rFonts w:ascii="Times New Roman"/>
        </w:rPr>
        <w:t>Organ,</w:t>
      </w:r>
      <w:r>
        <w:rPr>
          <w:rFonts w:ascii="Times New Roman"/>
          <w:spacing w:val="-7"/>
        </w:rPr>
        <w:t> </w:t>
      </w:r>
      <w:r>
        <w:rPr>
          <w:rFonts w:ascii="Times New Roman"/>
        </w:rPr>
        <w:t>D.</w:t>
      </w:r>
      <w:r>
        <w:rPr>
          <w:rFonts w:ascii="Times New Roman"/>
          <w:spacing w:val="-14"/>
        </w:rPr>
        <w:t> </w:t>
      </w:r>
      <w:r>
        <w:rPr>
          <w:rFonts w:ascii="Times New Roman"/>
        </w:rPr>
        <w:t>W.</w:t>
      </w:r>
      <w:r>
        <w:rPr>
          <w:rFonts w:ascii="Times New Roman"/>
          <w:spacing w:val="-7"/>
        </w:rPr>
        <w:t> </w:t>
      </w:r>
      <w:r>
        <w:rPr>
          <w:rFonts w:ascii="Times New Roman"/>
        </w:rPr>
        <w:t>(1971).</w:t>
      </w:r>
      <w:r>
        <w:rPr>
          <w:rFonts w:ascii="Times New Roman"/>
          <w:spacing w:val="-10"/>
        </w:rPr>
        <w:t> </w:t>
      </w:r>
      <w:r>
        <w:rPr>
          <w:rFonts w:ascii="Times New Roman"/>
        </w:rPr>
        <w:t>Linking</w:t>
      </w:r>
      <w:r>
        <w:rPr>
          <w:rFonts w:ascii="Times New Roman"/>
          <w:spacing w:val="-9"/>
        </w:rPr>
        <w:t> </w:t>
      </w:r>
      <w:r>
        <w:rPr>
          <w:rFonts w:ascii="Times New Roman"/>
        </w:rPr>
        <w:t>pins</w:t>
      </w:r>
      <w:r>
        <w:rPr>
          <w:rFonts w:ascii="Times New Roman"/>
          <w:spacing w:val="-9"/>
        </w:rPr>
        <w:t> </w:t>
      </w:r>
      <w:r>
        <w:rPr>
          <w:rFonts w:ascii="Times New Roman"/>
        </w:rPr>
        <w:t>between</w:t>
      </w:r>
      <w:r>
        <w:rPr>
          <w:rFonts w:ascii="Times New Roman"/>
          <w:spacing w:val="-9"/>
        </w:rPr>
        <w:t> </w:t>
      </w:r>
      <w:r>
        <w:rPr>
          <w:rFonts w:ascii="Times New Roman"/>
        </w:rPr>
        <w:t>organizations</w:t>
      </w:r>
      <w:r>
        <w:rPr>
          <w:rFonts w:ascii="Times New Roman"/>
          <w:spacing w:val="-9"/>
        </w:rPr>
        <w:t> </w:t>
      </w:r>
      <w:r>
        <w:rPr>
          <w:rFonts w:ascii="Times New Roman"/>
        </w:rPr>
        <w:t>and</w:t>
      </w:r>
      <w:r>
        <w:rPr>
          <w:rFonts w:ascii="Times New Roman"/>
          <w:spacing w:val="-9"/>
        </w:rPr>
        <w:t> </w:t>
      </w:r>
      <w:r>
        <w:rPr>
          <w:rFonts w:ascii="Times New Roman"/>
        </w:rPr>
        <w:t>environment:</w:t>
      </w:r>
      <w:r>
        <w:rPr>
          <w:rFonts w:ascii="Times New Roman"/>
          <w:spacing w:val="-9"/>
        </w:rPr>
        <w:t> </w:t>
      </w:r>
      <w:r>
        <w:rPr>
          <w:rFonts w:ascii="Times New Roman"/>
        </w:rPr>
        <w:t>Individuals do the interacting. Business horizons, 14(6), 73-80.</w:t>
      </w:r>
    </w:p>
    <w:p>
      <w:pPr>
        <w:pStyle w:val="BodyText"/>
        <w:spacing w:line="470" w:lineRule="auto" w:before="106"/>
        <w:ind w:left="481" w:right="405" w:hanging="480"/>
        <w:rPr>
          <w:rFonts w:ascii="Times New Roman"/>
        </w:rPr>
      </w:pPr>
      <w:r>
        <w:rPr>
          <w:rFonts w:ascii="Times New Roman"/>
        </w:rPr>
        <w:drawing>
          <wp:anchor distT="0" distB="0" distL="0" distR="0" allowOverlap="1" layoutInCell="1" locked="0" behindDoc="1" simplePos="0" relativeHeight="485839872">
            <wp:simplePos x="0" y="0"/>
            <wp:positionH relativeFrom="page">
              <wp:posOffset>3312414</wp:posOffset>
            </wp:positionH>
            <wp:positionV relativeFrom="paragraph">
              <wp:posOffset>781994</wp:posOffset>
            </wp:positionV>
            <wp:extent cx="929640" cy="978408"/>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Osterwalder, A., &amp; Pigneur, Y. (2010). Business model generation: A handbook for visionaries, game changers, and challengers. Wiley.</w:t>
      </w:r>
    </w:p>
    <w:p>
      <w:pPr>
        <w:pStyle w:val="BodyText"/>
        <w:spacing w:line="470" w:lineRule="auto" w:before="106"/>
        <w:ind w:left="481" w:right="401" w:hanging="480"/>
        <w:rPr>
          <w:rFonts w:ascii="Times New Roman"/>
        </w:rPr>
      </w:pPr>
      <w:r>
        <w:rPr>
          <w:rFonts w:ascii="Times New Roman"/>
        </w:rPr>
        <w:t>Olav,</w:t>
      </w:r>
      <w:r>
        <w:rPr>
          <w:rFonts w:ascii="Times New Roman"/>
          <w:spacing w:val="-4"/>
        </w:rPr>
        <w:t> </w:t>
      </w:r>
      <w:r>
        <w:rPr>
          <w:rFonts w:ascii="Times New Roman"/>
        </w:rPr>
        <w:t>Muurlink.,</w:t>
      </w:r>
      <w:r>
        <w:rPr>
          <w:rFonts w:ascii="Times New Roman"/>
          <w:spacing w:val="-4"/>
        </w:rPr>
        <w:t> </w:t>
      </w:r>
      <w:r>
        <w:rPr>
          <w:rFonts w:ascii="Times New Roman"/>
        </w:rPr>
        <w:t>Bastian,</w:t>
      </w:r>
      <w:r>
        <w:rPr>
          <w:rFonts w:ascii="Times New Roman"/>
          <w:spacing w:val="-11"/>
        </w:rPr>
        <w:t> </w:t>
      </w:r>
      <w:r>
        <w:rPr>
          <w:rFonts w:ascii="Times New Roman"/>
        </w:rPr>
        <w:t>Thomsen.</w:t>
      </w:r>
      <w:r>
        <w:rPr>
          <w:rFonts w:ascii="Times New Roman"/>
          <w:spacing w:val="-5"/>
        </w:rPr>
        <w:t> </w:t>
      </w:r>
      <w:r>
        <w:rPr>
          <w:rFonts w:ascii="Times New Roman"/>
        </w:rPr>
        <w:t>(2024).</w:t>
      </w:r>
      <w:r>
        <w:rPr>
          <w:rFonts w:ascii="Times New Roman"/>
          <w:spacing w:val="-5"/>
        </w:rPr>
        <w:t> </w:t>
      </w:r>
      <w:r>
        <w:rPr>
          <w:rFonts w:ascii="Times New Roman"/>
        </w:rPr>
        <w:t>Qualitative</w:t>
      </w:r>
      <w:r>
        <w:rPr>
          <w:rFonts w:ascii="Times New Roman"/>
          <w:spacing w:val="-5"/>
        </w:rPr>
        <w:t> </w:t>
      </w:r>
      <w:r>
        <w:rPr>
          <w:rFonts w:ascii="Times New Roman"/>
        </w:rPr>
        <w:t>Research</w:t>
      </w:r>
      <w:r>
        <w:rPr>
          <w:rFonts w:ascii="Times New Roman"/>
          <w:spacing w:val="-15"/>
        </w:rPr>
        <w:t> </w:t>
      </w:r>
      <w:r>
        <w:rPr>
          <w:rFonts w:ascii="Times New Roman"/>
        </w:rPr>
        <w:t>Approaches</w:t>
      </w:r>
      <w:r>
        <w:rPr>
          <w:rFonts w:ascii="Times New Roman"/>
          <w:spacing w:val="-4"/>
        </w:rPr>
        <w:t> </w:t>
      </w:r>
      <w:r>
        <w:rPr>
          <w:rFonts w:ascii="Times New Roman"/>
        </w:rPr>
        <w:t>to</w:t>
      </w:r>
      <w:r>
        <w:rPr>
          <w:rFonts w:ascii="Times New Roman"/>
          <w:spacing w:val="-4"/>
        </w:rPr>
        <w:t> </w:t>
      </w:r>
      <w:r>
        <w:rPr>
          <w:rFonts w:ascii="Times New Roman"/>
        </w:rPr>
        <w:t>Social Phenomena. 99-110. doi: 10.4324/9781003362715-10</w:t>
      </w:r>
    </w:p>
    <w:p>
      <w:pPr>
        <w:spacing w:line="470" w:lineRule="auto" w:before="106"/>
        <w:ind w:left="481" w:right="402" w:hanging="480"/>
        <w:jc w:val="both"/>
        <w:rPr>
          <w:rFonts w:ascii="Times New Roman"/>
          <w:sz w:val="24"/>
        </w:rPr>
      </w:pPr>
      <w:r>
        <w:rPr>
          <w:rFonts w:ascii="Times New Roman"/>
          <w:sz w:val="24"/>
        </w:rPr>
        <w:t>Pandey, S. R. (2024). Rummaging on a Research Method. </w:t>
      </w:r>
      <w:r>
        <w:rPr>
          <w:rFonts w:ascii="Times New Roman"/>
          <w:i/>
          <w:sz w:val="24"/>
        </w:rPr>
        <w:t>Journal of NELTA Koshi (JoNK)</w:t>
      </w:r>
      <w:r>
        <w:rPr>
          <w:rFonts w:ascii="Times New Roman"/>
          <w:sz w:val="24"/>
        </w:rPr>
        <w:t>, </w:t>
      </w:r>
      <w:r>
        <w:rPr>
          <w:rFonts w:ascii="Times New Roman"/>
          <w:i/>
          <w:sz w:val="24"/>
        </w:rPr>
        <w:t>2</w:t>
      </w:r>
      <w:r>
        <w:rPr>
          <w:rFonts w:ascii="Times New Roman"/>
          <w:sz w:val="24"/>
        </w:rPr>
        <w:t>(1), 100-110.</w:t>
      </w:r>
    </w:p>
    <w:p>
      <w:pPr>
        <w:pStyle w:val="BodyText"/>
        <w:spacing w:before="107"/>
        <w:ind w:left="2"/>
        <w:rPr>
          <w:rFonts w:ascii="Times New Roman"/>
        </w:rPr>
      </w:pPr>
      <w:r>
        <w:rPr>
          <w:rFonts w:ascii="Times New Roman"/>
        </w:rPr>
        <w:t>Patton,</w:t>
      </w:r>
      <w:r>
        <w:rPr>
          <w:rFonts w:ascii="Times New Roman"/>
          <w:spacing w:val="39"/>
        </w:rPr>
        <w:t> </w:t>
      </w:r>
      <w:r>
        <w:rPr>
          <w:rFonts w:ascii="Times New Roman"/>
        </w:rPr>
        <w:t>M.</w:t>
      </w:r>
      <w:r>
        <w:rPr>
          <w:rFonts w:ascii="Times New Roman"/>
          <w:spacing w:val="42"/>
        </w:rPr>
        <w:t> </w:t>
      </w:r>
      <w:r>
        <w:rPr>
          <w:rFonts w:ascii="Times New Roman"/>
        </w:rPr>
        <w:t>Q.</w:t>
      </w:r>
      <w:r>
        <w:rPr>
          <w:rFonts w:ascii="Times New Roman"/>
          <w:spacing w:val="42"/>
        </w:rPr>
        <w:t> </w:t>
      </w:r>
      <w:r>
        <w:rPr>
          <w:rFonts w:ascii="Times New Roman"/>
        </w:rPr>
        <w:t>(1999).</w:t>
      </w:r>
      <w:r>
        <w:rPr>
          <w:rFonts w:ascii="Times New Roman"/>
          <w:spacing w:val="41"/>
        </w:rPr>
        <w:t> </w:t>
      </w:r>
      <w:r>
        <w:rPr>
          <w:rFonts w:ascii="Times New Roman"/>
        </w:rPr>
        <w:t>Enhancing</w:t>
      </w:r>
      <w:r>
        <w:rPr>
          <w:rFonts w:ascii="Times New Roman"/>
          <w:spacing w:val="42"/>
        </w:rPr>
        <w:t> </w:t>
      </w:r>
      <w:r>
        <w:rPr>
          <w:rFonts w:ascii="Times New Roman"/>
        </w:rPr>
        <w:t>the</w:t>
      </w:r>
      <w:r>
        <w:rPr>
          <w:rFonts w:ascii="Times New Roman"/>
          <w:spacing w:val="42"/>
        </w:rPr>
        <w:t> </w:t>
      </w:r>
      <w:r>
        <w:rPr>
          <w:rFonts w:ascii="Times New Roman"/>
        </w:rPr>
        <w:t>quality</w:t>
      </w:r>
      <w:r>
        <w:rPr>
          <w:rFonts w:ascii="Times New Roman"/>
          <w:spacing w:val="42"/>
        </w:rPr>
        <w:t> </w:t>
      </w:r>
      <w:r>
        <w:rPr>
          <w:rFonts w:ascii="Times New Roman"/>
        </w:rPr>
        <w:t>and</w:t>
      </w:r>
      <w:r>
        <w:rPr>
          <w:rFonts w:ascii="Times New Roman"/>
          <w:spacing w:val="41"/>
        </w:rPr>
        <w:t> </w:t>
      </w:r>
      <w:r>
        <w:rPr>
          <w:rFonts w:ascii="Times New Roman"/>
        </w:rPr>
        <w:t>credibility</w:t>
      </w:r>
      <w:r>
        <w:rPr>
          <w:rFonts w:ascii="Times New Roman"/>
          <w:spacing w:val="43"/>
        </w:rPr>
        <w:t> </w:t>
      </w:r>
      <w:r>
        <w:rPr>
          <w:rFonts w:ascii="Times New Roman"/>
        </w:rPr>
        <w:t>of</w:t>
      </w:r>
      <w:r>
        <w:rPr>
          <w:rFonts w:ascii="Times New Roman"/>
          <w:spacing w:val="45"/>
        </w:rPr>
        <w:t> </w:t>
      </w:r>
      <w:r>
        <w:rPr>
          <w:rFonts w:ascii="Times New Roman"/>
        </w:rPr>
        <w:t>qualitative</w:t>
      </w:r>
      <w:r>
        <w:rPr>
          <w:rFonts w:ascii="Times New Roman"/>
          <w:spacing w:val="42"/>
        </w:rPr>
        <w:t> </w:t>
      </w:r>
      <w:r>
        <w:rPr>
          <w:rFonts w:ascii="Times New Roman"/>
          <w:spacing w:val="-2"/>
        </w:rPr>
        <w:t>analysis.</w:t>
      </w:r>
    </w:p>
    <w:p>
      <w:pPr>
        <w:pStyle w:val="BodyText"/>
        <w:spacing w:before="264"/>
        <w:ind w:left="481"/>
        <w:jc w:val="left"/>
        <w:rPr>
          <w:rFonts w:ascii="Times New Roman"/>
        </w:rPr>
      </w:pPr>
      <w:r>
        <w:rPr>
          <w:rFonts w:ascii="Times New Roman"/>
        </w:rPr>
        <w:t>*Health</w:t>
      </w:r>
      <w:r>
        <w:rPr>
          <w:rFonts w:ascii="Times New Roman"/>
          <w:spacing w:val="-2"/>
        </w:rPr>
        <w:t> </w:t>
      </w:r>
      <w:r>
        <w:rPr>
          <w:rFonts w:ascii="Times New Roman"/>
        </w:rPr>
        <w:t>Services</w:t>
      </w:r>
      <w:r>
        <w:rPr>
          <w:rFonts w:ascii="Times New Roman"/>
          <w:spacing w:val="-2"/>
        </w:rPr>
        <w:t> </w:t>
      </w:r>
      <w:r>
        <w:rPr>
          <w:rFonts w:ascii="Times New Roman"/>
        </w:rPr>
        <w:t>Research*,</w:t>
      </w:r>
      <w:r>
        <w:rPr>
          <w:rFonts w:ascii="Times New Roman"/>
          <w:spacing w:val="-1"/>
        </w:rPr>
        <w:t> </w:t>
      </w:r>
      <w:r>
        <w:rPr>
          <w:rFonts w:ascii="Times New Roman"/>
        </w:rPr>
        <w:t>34(5</w:t>
      </w:r>
      <w:r>
        <w:rPr>
          <w:rFonts w:ascii="Times New Roman"/>
          <w:spacing w:val="-1"/>
        </w:rPr>
        <w:t> </w:t>
      </w:r>
      <w:r>
        <w:rPr>
          <w:rFonts w:ascii="Times New Roman"/>
        </w:rPr>
        <w:t>Pt</w:t>
      </w:r>
      <w:r>
        <w:rPr>
          <w:rFonts w:ascii="Times New Roman"/>
          <w:spacing w:val="-1"/>
        </w:rPr>
        <w:t> </w:t>
      </w:r>
      <w:r>
        <w:rPr>
          <w:rFonts w:ascii="Times New Roman"/>
        </w:rPr>
        <w:t>2),</w:t>
      </w:r>
      <w:r>
        <w:rPr>
          <w:rFonts w:ascii="Times New Roman"/>
          <w:spacing w:val="-1"/>
        </w:rPr>
        <w:t> </w:t>
      </w:r>
      <w:r>
        <w:rPr>
          <w:rFonts w:ascii="Times New Roman"/>
          <w:spacing w:val="-2"/>
        </w:rPr>
        <w:t>1189.</w:t>
      </w:r>
    </w:p>
    <w:p>
      <w:pPr>
        <w:pStyle w:val="BodyText"/>
        <w:spacing w:before="96"/>
        <w:ind w:left="0"/>
        <w:jc w:val="left"/>
        <w:rPr>
          <w:rFonts w:ascii="Times New Roman"/>
        </w:rPr>
      </w:pPr>
    </w:p>
    <w:p>
      <w:pPr>
        <w:pStyle w:val="BodyText"/>
        <w:spacing w:line="470" w:lineRule="auto"/>
        <w:ind w:left="481" w:right="401" w:hanging="480"/>
        <w:rPr>
          <w:rFonts w:ascii="Times New Roman"/>
        </w:rPr>
      </w:pPr>
      <w:r>
        <w:rPr>
          <w:rFonts w:ascii="Times New Roman"/>
        </w:rPr>
        <w:t>Pawlowski, S. D., &amp; Robey, D. (2004). Bridging user organizations: Knowledge brokering and the work of information technology professionals. MIS quarterly, </w:t>
      </w:r>
      <w:r>
        <w:rPr>
          <w:rFonts w:ascii="Times New Roman"/>
          <w:spacing w:val="-2"/>
        </w:rPr>
        <w:t>645-672.</w:t>
      </w:r>
    </w:p>
    <w:p>
      <w:pPr>
        <w:pStyle w:val="BodyText"/>
        <w:spacing w:line="470" w:lineRule="auto" w:before="106"/>
        <w:ind w:left="481" w:right="406" w:hanging="480"/>
        <w:rPr>
          <w:rFonts w:ascii="Times New Roman" w:hAnsi="Times New Roman"/>
        </w:rPr>
      </w:pPr>
      <w:r>
        <w:rPr>
          <w:rFonts w:ascii="Times New Roman" w:hAnsi="Times New Roman"/>
          <w:spacing w:val="-2"/>
        </w:rPr>
        <w:t>Peters,</w:t>
      </w:r>
      <w:r>
        <w:rPr>
          <w:rFonts w:ascii="Times New Roman" w:hAnsi="Times New Roman"/>
          <w:spacing w:val="-13"/>
        </w:rPr>
        <w:t> </w:t>
      </w:r>
      <w:r>
        <w:rPr>
          <w:rFonts w:ascii="Times New Roman" w:hAnsi="Times New Roman"/>
          <w:spacing w:val="-2"/>
        </w:rPr>
        <w:t>T.</w:t>
      </w:r>
      <w:r>
        <w:rPr>
          <w:rFonts w:ascii="Times New Roman" w:hAnsi="Times New Roman"/>
          <w:spacing w:val="-13"/>
        </w:rPr>
        <w:t> </w:t>
      </w:r>
      <w:r>
        <w:rPr>
          <w:rFonts w:ascii="Times New Roman" w:hAnsi="Times New Roman"/>
          <w:spacing w:val="-2"/>
        </w:rPr>
        <w:t>J.,</w:t>
      </w:r>
      <w:r>
        <w:rPr>
          <w:rFonts w:ascii="Times New Roman" w:hAnsi="Times New Roman"/>
          <w:spacing w:val="-13"/>
        </w:rPr>
        <w:t> </w:t>
      </w:r>
      <w:r>
        <w:rPr>
          <w:rFonts w:ascii="Times New Roman" w:hAnsi="Times New Roman"/>
          <w:spacing w:val="-2"/>
        </w:rPr>
        <w:t>&amp;</w:t>
      </w:r>
      <w:r>
        <w:rPr>
          <w:rFonts w:ascii="Times New Roman" w:hAnsi="Times New Roman"/>
          <w:spacing w:val="-13"/>
        </w:rPr>
        <w:t> </w:t>
      </w:r>
      <w:r>
        <w:rPr>
          <w:rFonts w:ascii="Times New Roman" w:hAnsi="Times New Roman"/>
          <w:spacing w:val="-2"/>
        </w:rPr>
        <w:t>Waterman,</w:t>
      </w:r>
      <w:r>
        <w:rPr>
          <w:rFonts w:ascii="Times New Roman" w:hAnsi="Times New Roman"/>
          <w:spacing w:val="-9"/>
        </w:rPr>
        <w:t> </w:t>
      </w:r>
      <w:r>
        <w:rPr>
          <w:rFonts w:ascii="Times New Roman" w:hAnsi="Times New Roman"/>
          <w:spacing w:val="-2"/>
        </w:rPr>
        <w:t>R.</w:t>
      </w:r>
      <w:r>
        <w:rPr>
          <w:rFonts w:ascii="Times New Roman" w:hAnsi="Times New Roman"/>
          <w:spacing w:val="-11"/>
        </w:rPr>
        <w:t> </w:t>
      </w:r>
      <w:r>
        <w:rPr>
          <w:rFonts w:ascii="Times New Roman" w:hAnsi="Times New Roman"/>
          <w:spacing w:val="-2"/>
        </w:rPr>
        <w:t>H.</w:t>
      </w:r>
      <w:r>
        <w:rPr>
          <w:rFonts w:ascii="Times New Roman" w:hAnsi="Times New Roman"/>
          <w:spacing w:val="-9"/>
        </w:rPr>
        <w:t> </w:t>
      </w:r>
      <w:r>
        <w:rPr>
          <w:rFonts w:ascii="Times New Roman" w:hAnsi="Times New Roman"/>
          <w:spacing w:val="-2"/>
        </w:rPr>
        <w:t>(1982).</w:t>
      </w:r>
      <w:r>
        <w:rPr>
          <w:rFonts w:ascii="Times New Roman" w:hAnsi="Times New Roman"/>
          <w:spacing w:val="-9"/>
        </w:rPr>
        <w:t> </w:t>
      </w:r>
      <w:r>
        <w:rPr>
          <w:rFonts w:ascii="Times New Roman" w:hAnsi="Times New Roman"/>
          <w:spacing w:val="-2"/>
        </w:rPr>
        <w:t>In</w:t>
      </w:r>
      <w:r>
        <w:rPr>
          <w:rFonts w:ascii="Times New Roman" w:hAnsi="Times New Roman"/>
          <w:spacing w:val="-12"/>
        </w:rPr>
        <w:t> </w:t>
      </w:r>
      <w:r>
        <w:rPr>
          <w:rFonts w:ascii="Times New Roman" w:hAnsi="Times New Roman"/>
          <w:spacing w:val="-2"/>
        </w:rPr>
        <w:t>search</w:t>
      </w:r>
      <w:r>
        <w:rPr>
          <w:rFonts w:ascii="Times New Roman" w:hAnsi="Times New Roman"/>
          <w:spacing w:val="-11"/>
        </w:rPr>
        <w:t> </w:t>
      </w:r>
      <w:r>
        <w:rPr>
          <w:rFonts w:ascii="Times New Roman" w:hAnsi="Times New Roman"/>
          <w:spacing w:val="-2"/>
        </w:rPr>
        <w:t>of</w:t>
      </w:r>
      <w:r>
        <w:rPr>
          <w:rFonts w:ascii="Times New Roman" w:hAnsi="Times New Roman"/>
          <w:spacing w:val="-9"/>
        </w:rPr>
        <w:t> </w:t>
      </w:r>
      <w:r>
        <w:rPr>
          <w:rFonts w:ascii="Times New Roman" w:hAnsi="Times New Roman"/>
          <w:spacing w:val="-2"/>
        </w:rPr>
        <w:t>excellence:</w:t>
      </w:r>
      <w:r>
        <w:rPr>
          <w:rFonts w:ascii="Times New Roman" w:hAnsi="Times New Roman"/>
          <w:spacing w:val="-7"/>
        </w:rPr>
        <w:t> </w:t>
      </w:r>
      <w:r>
        <w:rPr>
          <w:rFonts w:ascii="Times New Roman" w:hAnsi="Times New Roman"/>
          <w:spacing w:val="-2"/>
        </w:rPr>
        <w:t>Lessons</w:t>
      </w:r>
      <w:r>
        <w:rPr>
          <w:rFonts w:ascii="Times New Roman" w:hAnsi="Times New Roman"/>
          <w:spacing w:val="-7"/>
        </w:rPr>
        <w:t> </w:t>
      </w:r>
      <w:r>
        <w:rPr>
          <w:rFonts w:ascii="Times New Roman" w:hAnsi="Times New Roman"/>
          <w:spacing w:val="-2"/>
        </w:rPr>
        <w:t>from</w:t>
      </w:r>
      <w:r>
        <w:rPr>
          <w:rFonts w:ascii="Times New Roman" w:hAnsi="Times New Roman"/>
          <w:spacing w:val="-13"/>
        </w:rPr>
        <w:t> </w:t>
      </w:r>
      <w:r>
        <w:rPr>
          <w:rFonts w:ascii="Times New Roman" w:hAnsi="Times New Roman"/>
          <w:spacing w:val="-2"/>
        </w:rPr>
        <w:t>America’s </w:t>
      </w:r>
      <w:r>
        <w:rPr>
          <w:rFonts w:ascii="Times New Roman" w:hAnsi="Times New Roman"/>
        </w:rPr>
        <w:t>best-run companies. Harper &amp; Row.</w:t>
      </w:r>
    </w:p>
    <w:p>
      <w:pPr>
        <w:pStyle w:val="BodyText"/>
        <w:spacing w:line="470" w:lineRule="auto" w:before="106"/>
        <w:ind w:left="481" w:right="405" w:hanging="480"/>
        <w:rPr>
          <w:rFonts w:ascii="Times New Roman"/>
        </w:rPr>
      </w:pPr>
      <w:r>
        <w:rPr>
          <w:rFonts w:ascii="Times New Roman"/>
        </w:rPr>
        <w:t>Phelps,</w:t>
      </w:r>
      <w:r>
        <w:rPr>
          <w:rFonts w:ascii="Times New Roman"/>
          <w:spacing w:val="80"/>
        </w:rPr>
        <w:t> </w:t>
      </w:r>
      <w:r>
        <w:rPr>
          <w:rFonts w:ascii="Times New Roman"/>
        </w:rPr>
        <w:t>B.</w:t>
      </w:r>
      <w:r>
        <w:rPr>
          <w:rFonts w:ascii="Times New Roman"/>
          <w:spacing w:val="80"/>
        </w:rPr>
        <w:t> </w:t>
      </w:r>
      <w:r>
        <w:rPr>
          <w:rFonts w:ascii="Times New Roman"/>
        </w:rPr>
        <w:t>(2007).</w:t>
      </w:r>
      <w:r>
        <w:rPr>
          <w:rFonts w:ascii="Times New Roman"/>
          <w:spacing w:val="80"/>
        </w:rPr>
        <w:t> </w:t>
      </w:r>
      <w:r>
        <w:rPr>
          <w:rFonts w:ascii="Times New Roman"/>
        </w:rPr>
        <w:t>Electronic</w:t>
      </w:r>
      <w:r>
        <w:rPr>
          <w:rFonts w:ascii="Times New Roman"/>
          <w:spacing w:val="80"/>
        </w:rPr>
        <w:t> </w:t>
      </w:r>
      <w:r>
        <w:rPr>
          <w:rFonts w:ascii="Times New Roman"/>
        </w:rPr>
        <w:t>Information</w:t>
      </w:r>
      <w:r>
        <w:rPr>
          <w:rFonts w:ascii="Times New Roman"/>
          <w:spacing w:val="80"/>
        </w:rPr>
        <w:t> </w:t>
      </w:r>
      <w:r>
        <w:rPr>
          <w:rFonts w:ascii="Times New Roman"/>
        </w:rPr>
        <w:t>Systems</w:t>
      </w:r>
      <w:r>
        <w:rPr>
          <w:rFonts w:ascii="Times New Roman"/>
          <w:spacing w:val="80"/>
        </w:rPr>
        <w:t> </w:t>
      </w:r>
      <w:r>
        <w:rPr>
          <w:rFonts w:ascii="Times New Roman"/>
        </w:rPr>
        <w:t>and</w:t>
      </w:r>
      <w:r>
        <w:rPr>
          <w:rFonts w:ascii="Times New Roman"/>
          <w:spacing w:val="80"/>
        </w:rPr>
        <w:t> </w:t>
      </w:r>
      <w:r>
        <w:rPr>
          <w:rFonts w:ascii="Times New Roman"/>
        </w:rPr>
        <w:t>Organizational Boundaries. *Technology</w:t>
      </w:r>
      <w:r>
        <w:rPr>
          <w:rFonts w:ascii="Times New Roman"/>
          <w:spacing w:val="-4"/>
        </w:rPr>
        <w:t> </w:t>
      </w:r>
      <w:r>
        <w:rPr>
          <w:rFonts w:ascii="Times New Roman"/>
        </w:rPr>
        <w:t>Analysis &amp; Strategic Management*, 19, 17 - 29.</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406" w:hanging="480"/>
        <w:rPr>
          <w:rFonts w:ascii="Times New Roman"/>
        </w:rPr>
      </w:pPr>
      <w:r>
        <w:rPr>
          <w:rFonts w:ascii="Times New Roman"/>
        </w:rPr>
        <w:t>Prahalad,</w:t>
      </w:r>
      <w:r>
        <w:rPr>
          <w:rFonts w:ascii="Times New Roman"/>
          <w:spacing w:val="-8"/>
        </w:rPr>
        <w:t> </w:t>
      </w:r>
      <w:r>
        <w:rPr>
          <w:rFonts w:ascii="Times New Roman"/>
        </w:rPr>
        <w:t>C.</w:t>
      </w:r>
      <w:r>
        <w:rPr>
          <w:rFonts w:ascii="Times New Roman"/>
          <w:spacing w:val="-5"/>
        </w:rPr>
        <w:t> </w:t>
      </w:r>
      <w:r>
        <w:rPr>
          <w:rFonts w:ascii="Times New Roman"/>
        </w:rPr>
        <w:t>K.,</w:t>
      </w:r>
      <w:r>
        <w:rPr>
          <w:rFonts w:ascii="Times New Roman"/>
          <w:spacing w:val="-7"/>
        </w:rPr>
        <w:t> </w:t>
      </w:r>
      <w:r>
        <w:rPr>
          <w:rFonts w:ascii="Times New Roman"/>
        </w:rPr>
        <w:t>&amp;</w:t>
      </w:r>
      <w:r>
        <w:rPr>
          <w:rFonts w:ascii="Times New Roman"/>
          <w:spacing w:val="-4"/>
        </w:rPr>
        <w:t> </w:t>
      </w:r>
      <w:r>
        <w:rPr>
          <w:rFonts w:ascii="Times New Roman"/>
        </w:rPr>
        <w:t>Hamel,</w:t>
      </w:r>
      <w:r>
        <w:rPr>
          <w:rFonts w:ascii="Times New Roman"/>
          <w:spacing w:val="-7"/>
        </w:rPr>
        <w:t> </w:t>
      </w:r>
      <w:r>
        <w:rPr>
          <w:rFonts w:ascii="Times New Roman"/>
        </w:rPr>
        <w:t>G.</w:t>
      </w:r>
      <w:r>
        <w:rPr>
          <w:rFonts w:ascii="Times New Roman"/>
          <w:spacing w:val="-8"/>
        </w:rPr>
        <w:t> </w:t>
      </w:r>
      <w:r>
        <w:rPr>
          <w:rFonts w:ascii="Times New Roman"/>
        </w:rPr>
        <w:t>(1994).</w:t>
      </w:r>
      <w:r>
        <w:rPr>
          <w:rFonts w:ascii="Times New Roman"/>
          <w:spacing w:val="-8"/>
        </w:rPr>
        <w:t> </w:t>
      </w:r>
      <w:r>
        <w:rPr>
          <w:rFonts w:ascii="Times New Roman"/>
        </w:rPr>
        <w:t>Strategy</w:t>
      </w:r>
      <w:r>
        <w:rPr>
          <w:rFonts w:ascii="Times New Roman"/>
          <w:spacing w:val="-6"/>
        </w:rPr>
        <w:t> </w:t>
      </w:r>
      <w:r>
        <w:rPr>
          <w:rFonts w:ascii="Times New Roman"/>
        </w:rPr>
        <w:t>as</w:t>
      </w:r>
      <w:r>
        <w:rPr>
          <w:rFonts w:ascii="Times New Roman"/>
          <w:spacing w:val="-5"/>
        </w:rPr>
        <w:t> </w:t>
      </w:r>
      <w:r>
        <w:rPr>
          <w:rFonts w:ascii="Times New Roman"/>
        </w:rPr>
        <w:t>a</w:t>
      </w:r>
      <w:r>
        <w:rPr>
          <w:rFonts w:ascii="Times New Roman"/>
          <w:spacing w:val="-6"/>
        </w:rPr>
        <w:t> </w:t>
      </w:r>
      <w:r>
        <w:rPr>
          <w:rFonts w:ascii="Times New Roman"/>
        </w:rPr>
        <w:t>field</w:t>
      </w:r>
      <w:r>
        <w:rPr>
          <w:rFonts w:ascii="Times New Roman"/>
          <w:spacing w:val="-7"/>
        </w:rPr>
        <w:t> </w:t>
      </w:r>
      <w:r>
        <w:rPr>
          <w:rFonts w:ascii="Times New Roman"/>
        </w:rPr>
        <w:t>of</w:t>
      </w:r>
      <w:r>
        <w:rPr>
          <w:rFonts w:ascii="Times New Roman"/>
          <w:spacing w:val="-6"/>
        </w:rPr>
        <w:t> </w:t>
      </w:r>
      <w:r>
        <w:rPr>
          <w:rFonts w:ascii="Times New Roman"/>
        </w:rPr>
        <w:t>study:</w:t>
      </w:r>
      <w:r>
        <w:rPr>
          <w:rFonts w:ascii="Times New Roman"/>
          <w:spacing w:val="-9"/>
        </w:rPr>
        <w:t> </w:t>
      </w:r>
      <w:r>
        <w:rPr>
          <w:rFonts w:ascii="Times New Roman"/>
        </w:rPr>
        <w:t>Why</w:t>
      </w:r>
      <w:r>
        <w:rPr>
          <w:rFonts w:ascii="Times New Roman"/>
          <w:spacing w:val="-7"/>
        </w:rPr>
        <w:t> </w:t>
      </w:r>
      <w:r>
        <w:rPr>
          <w:rFonts w:ascii="Times New Roman"/>
        </w:rPr>
        <w:t>search</w:t>
      </w:r>
      <w:r>
        <w:rPr>
          <w:rFonts w:ascii="Times New Roman"/>
          <w:spacing w:val="-7"/>
        </w:rPr>
        <w:t> </w:t>
      </w:r>
      <w:r>
        <w:rPr>
          <w:rFonts w:ascii="Times New Roman"/>
        </w:rPr>
        <w:t>for</w:t>
      </w:r>
      <w:r>
        <w:rPr>
          <w:rFonts w:ascii="Times New Roman"/>
          <w:spacing w:val="-7"/>
        </w:rPr>
        <w:t> </w:t>
      </w:r>
      <w:r>
        <w:rPr>
          <w:rFonts w:ascii="Times New Roman"/>
        </w:rPr>
        <w:t>a</w:t>
      </w:r>
      <w:r>
        <w:rPr>
          <w:rFonts w:ascii="Times New Roman"/>
          <w:spacing w:val="-6"/>
        </w:rPr>
        <w:t> </w:t>
      </w:r>
      <w:r>
        <w:rPr>
          <w:rFonts w:ascii="Times New Roman"/>
        </w:rPr>
        <w:t>new paradigm?. *Strategic management journal*, *15*(S2), 5-16.</w:t>
      </w:r>
    </w:p>
    <w:p>
      <w:pPr>
        <w:pStyle w:val="BodyText"/>
        <w:spacing w:line="470" w:lineRule="auto" w:before="107"/>
        <w:ind w:left="481" w:right="397" w:hanging="480"/>
        <w:rPr>
          <w:rFonts w:ascii="Times New Roman"/>
        </w:rPr>
      </w:pPr>
      <w:r>
        <w:rPr>
          <w:rFonts w:ascii="Times New Roman"/>
        </w:rPr>
        <w:t>Puranam, P., Singh, H., &amp; Zollo, M. (2003). A bird in the hand or two in the bush?: Integration</w:t>
      </w:r>
      <w:r>
        <w:rPr>
          <w:rFonts w:ascii="Times New Roman"/>
          <w:spacing w:val="-12"/>
        </w:rPr>
        <w:t> </w:t>
      </w:r>
      <w:r>
        <w:rPr>
          <w:rFonts w:ascii="Times New Roman"/>
        </w:rPr>
        <w:t>trade-offs</w:t>
      </w:r>
      <w:r>
        <w:rPr>
          <w:rFonts w:ascii="Times New Roman"/>
          <w:spacing w:val="-13"/>
        </w:rPr>
        <w:t> </w:t>
      </w:r>
      <w:r>
        <w:rPr>
          <w:rFonts w:ascii="Times New Roman"/>
        </w:rPr>
        <w:t>in</w:t>
      </w:r>
      <w:r>
        <w:rPr>
          <w:rFonts w:ascii="Times New Roman"/>
          <w:spacing w:val="-12"/>
        </w:rPr>
        <w:t> </w:t>
      </w:r>
      <w:r>
        <w:rPr>
          <w:rFonts w:ascii="Times New Roman"/>
        </w:rPr>
        <w:t>technology-grafting</w:t>
      </w:r>
      <w:r>
        <w:rPr>
          <w:rFonts w:ascii="Times New Roman"/>
          <w:spacing w:val="-12"/>
        </w:rPr>
        <w:t> </w:t>
      </w:r>
      <w:r>
        <w:rPr>
          <w:rFonts w:ascii="Times New Roman"/>
        </w:rPr>
        <w:t>acquisitions.</w:t>
      </w:r>
      <w:r>
        <w:rPr>
          <w:rFonts w:ascii="Times New Roman"/>
          <w:spacing w:val="-6"/>
        </w:rPr>
        <w:t> </w:t>
      </w:r>
      <w:r>
        <w:rPr>
          <w:rFonts w:ascii="Times New Roman"/>
        </w:rPr>
        <w:t>*European</w:t>
      </w:r>
      <w:r>
        <w:rPr>
          <w:rFonts w:ascii="Times New Roman"/>
          <w:spacing w:val="-12"/>
        </w:rPr>
        <w:t> </w:t>
      </w:r>
      <w:r>
        <w:rPr>
          <w:rFonts w:ascii="Times New Roman"/>
        </w:rPr>
        <w:t>Management Journal*,</w:t>
      </w:r>
      <w:r>
        <w:rPr>
          <w:rFonts w:ascii="Times New Roman"/>
          <w:spacing w:val="-2"/>
        </w:rPr>
        <w:t> </w:t>
      </w:r>
      <w:r>
        <w:rPr>
          <w:rFonts w:ascii="Times New Roman"/>
        </w:rPr>
        <w:t>*21*(2), 179-184.Grant, R. M. (1996). Prospering in dynamically- competitive</w:t>
      </w:r>
      <w:r>
        <w:rPr>
          <w:rFonts w:ascii="Times New Roman"/>
          <w:spacing w:val="80"/>
        </w:rPr>
        <w:t> </w:t>
      </w:r>
      <w:r>
        <w:rPr>
          <w:rFonts w:ascii="Times New Roman"/>
        </w:rPr>
        <w:t>environments:</w:t>
      </w:r>
      <w:r>
        <w:rPr>
          <w:rFonts w:ascii="Times New Roman"/>
          <w:spacing w:val="80"/>
        </w:rPr>
        <w:t> </w:t>
      </w:r>
      <w:r>
        <w:rPr>
          <w:rFonts w:ascii="Times New Roman"/>
        </w:rPr>
        <w:t>Organizational</w:t>
      </w:r>
      <w:r>
        <w:rPr>
          <w:rFonts w:ascii="Times New Roman"/>
          <w:spacing w:val="80"/>
        </w:rPr>
        <w:t> </w:t>
      </w:r>
      <w:r>
        <w:rPr>
          <w:rFonts w:ascii="Times New Roman"/>
        </w:rPr>
        <w:t>capability</w:t>
      </w:r>
      <w:r>
        <w:rPr>
          <w:rFonts w:ascii="Times New Roman"/>
          <w:spacing w:val="80"/>
        </w:rPr>
        <w:t> </w:t>
      </w:r>
      <w:r>
        <w:rPr>
          <w:rFonts w:ascii="Times New Roman"/>
        </w:rPr>
        <w:t>as</w:t>
      </w:r>
      <w:r>
        <w:rPr>
          <w:rFonts w:ascii="Times New Roman"/>
          <w:spacing w:val="80"/>
        </w:rPr>
        <w:t> </w:t>
      </w:r>
      <w:r>
        <w:rPr>
          <w:rFonts w:ascii="Times New Roman"/>
        </w:rPr>
        <w:t>knowledge integration. *Organization science*, *7*(4), 375-387.</w:t>
      </w:r>
    </w:p>
    <w:p>
      <w:pPr>
        <w:pStyle w:val="BodyText"/>
        <w:spacing w:line="470" w:lineRule="auto" w:before="104"/>
        <w:ind w:left="481" w:right="404" w:hanging="480"/>
        <w:rPr>
          <w:rFonts w:ascii="Times New Roman"/>
        </w:rPr>
      </w:pPr>
      <w:r>
        <w:rPr>
          <w:rFonts w:ascii="Times New Roman"/>
        </w:rPr>
        <w:t>Rrucaj,</w:t>
      </w:r>
      <w:r>
        <w:rPr>
          <w:rFonts w:ascii="Times New Roman"/>
          <w:spacing w:val="-4"/>
        </w:rPr>
        <w:t> </w:t>
      </w:r>
      <w:r>
        <w:rPr>
          <w:rFonts w:ascii="Times New Roman"/>
        </w:rPr>
        <w:t>A. (2023). Creating and sustaining competitive advantage in the software as a service (SaaS) Industry: best practices for strategic management.</w:t>
      </w:r>
    </w:p>
    <w:p>
      <w:pPr>
        <w:pStyle w:val="BodyText"/>
        <w:spacing w:line="470" w:lineRule="auto" w:before="106"/>
        <w:ind w:left="481" w:right="401" w:hanging="480"/>
        <w:rPr>
          <w:rFonts w:ascii="Times New Roman"/>
        </w:rPr>
      </w:pPr>
      <w:r>
        <w:rPr>
          <w:rFonts w:ascii="Times New Roman"/>
        </w:rPr>
        <w:drawing>
          <wp:anchor distT="0" distB="0" distL="0" distR="0" allowOverlap="1" layoutInCell="1" locked="0" behindDoc="1" simplePos="0" relativeHeight="485840384">
            <wp:simplePos x="0" y="0"/>
            <wp:positionH relativeFrom="page">
              <wp:posOffset>3312414</wp:posOffset>
            </wp:positionH>
            <wp:positionV relativeFrom="paragraph">
              <wp:posOffset>439149</wp:posOffset>
            </wp:positionV>
            <wp:extent cx="929640" cy="978408"/>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Santistevan, D. (2022). Boundary-spanning coordination: Insights into lateral collaboration and lateral alignment in multinational enterprises.</w:t>
      </w:r>
      <w:r>
        <w:rPr>
          <w:rFonts w:ascii="Times New Roman"/>
          <w:spacing w:val="-5"/>
        </w:rPr>
        <w:t> </w:t>
      </w:r>
      <w:r>
        <w:rPr>
          <w:rFonts w:ascii="Times New Roman"/>
        </w:rPr>
        <w:t>Journal of World Business, 57(3), 101291.</w:t>
      </w:r>
    </w:p>
    <w:p>
      <w:pPr>
        <w:pStyle w:val="BodyText"/>
        <w:spacing w:line="470" w:lineRule="auto" w:before="105"/>
        <w:ind w:left="481" w:right="343" w:hanging="480"/>
        <w:rPr>
          <w:rFonts w:ascii="Times New Roman"/>
        </w:rPr>
      </w:pPr>
      <w:r>
        <w:rPr>
          <w:rFonts w:ascii="Times New Roman"/>
          <w:spacing w:val="-2"/>
        </w:rPr>
        <w:t>Siggelkow,</w:t>
      </w:r>
      <w:r>
        <w:rPr>
          <w:rFonts w:ascii="Times New Roman"/>
          <w:spacing w:val="-5"/>
        </w:rPr>
        <w:t> </w:t>
      </w:r>
      <w:r>
        <w:rPr>
          <w:rFonts w:ascii="Times New Roman"/>
          <w:spacing w:val="-2"/>
        </w:rPr>
        <w:t>N.</w:t>
      </w:r>
      <w:r>
        <w:rPr>
          <w:rFonts w:ascii="Times New Roman"/>
          <w:spacing w:val="-5"/>
        </w:rPr>
        <w:t> </w:t>
      </w:r>
      <w:r>
        <w:rPr>
          <w:rFonts w:ascii="Times New Roman"/>
          <w:spacing w:val="-2"/>
        </w:rPr>
        <w:t>(2007).</w:t>
      </w:r>
      <w:r>
        <w:rPr>
          <w:rFonts w:ascii="Times New Roman"/>
          <w:spacing w:val="-7"/>
        </w:rPr>
        <w:t> </w:t>
      </w:r>
      <w:r>
        <w:rPr>
          <w:rFonts w:ascii="Times New Roman"/>
          <w:spacing w:val="-2"/>
        </w:rPr>
        <w:t>Persuasion</w:t>
      </w:r>
      <w:r>
        <w:rPr>
          <w:rFonts w:ascii="Times New Roman"/>
          <w:spacing w:val="-4"/>
        </w:rPr>
        <w:t> </w:t>
      </w:r>
      <w:r>
        <w:rPr>
          <w:rFonts w:ascii="Times New Roman"/>
          <w:spacing w:val="-2"/>
        </w:rPr>
        <w:t>with</w:t>
      </w:r>
      <w:r>
        <w:rPr>
          <w:rFonts w:ascii="Times New Roman"/>
          <w:spacing w:val="-4"/>
        </w:rPr>
        <w:t> </w:t>
      </w:r>
      <w:r>
        <w:rPr>
          <w:rFonts w:ascii="Times New Roman"/>
          <w:spacing w:val="-2"/>
        </w:rPr>
        <w:t>case</w:t>
      </w:r>
      <w:r>
        <w:rPr>
          <w:rFonts w:ascii="Times New Roman"/>
          <w:spacing w:val="-7"/>
        </w:rPr>
        <w:t> </w:t>
      </w:r>
      <w:r>
        <w:rPr>
          <w:rFonts w:ascii="Times New Roman"/>
          <w:spacing w:val="-2"/>
        </w:rPr>
        <w:t>studies.</w:t>
      </w:r>
      <w:r>
        <w:rPr>
          <w:rFonts w:ascii="Times New Roman"/>
          <w:spacing w:val="-5"/>
        </w:rPr>
        <w:t> </w:t>
      </w:r>
      <w:r>
        <w:rPr>
          <w:rFonts w:ascii="Times New Roman"/>
          <w:spacing w:val="-2"/>
        </w:rPr>
        <w:t>*Academy</w:t>
      </w:r>
      <w:r>
        <w:rPr>
          <w:rFonts w:ascii="Times New Roman"/>
          <w:spacing w:val="-4"/>
        </w:rPr>
        <w:t> </w:t>
      </w:r>
      <w:r>
        <w:rPr>
          <w:rFonts w:ascii="Times New Roman"/>
          <w:spacing w:val="-2"/>
        </w:rPr>
        <w:t>of</w:t>
      </w:r>
      <w:r>
        <w:rPr>
          <w:rFonts w:ascii="Times New Roman"/>
          <w:spacing w:val="-7"/>
        </w:rPr>
        <w:t> </w:t>
      </w:r>
      <w:r>
        <w:rPr>
          <w:rFonts w:ascii="Times New Roman"/>
          <w:spacing w:val="-2"/>
        </w:rPr>
        <w:t>Management</w:t>
      </w:r>
      <w:r>
        <w:rPr>
          <w:rFonts w:ascii="Times New Roman"/>
          <w:spacing w:val="-4"/>
        </w:rPr>
        <w:t> </w:t>
      </w:r>
      <w:r>
        <w:rPr>
          <w:rFonts w:ascii="Times New Roman"/>
          <w:spacing w:val="-2"/>
        </w:rPr>
        <w:t>Journal*, </w:t>
      </w:r>
      <w:r>
        <w:rPr>
          <w:rFonts w:ascii="Times New Roman"/>
        </w:rPr>
        <w:t>50(1), 20-24.</w:t>
      </w:r>
    </w:p>
    <w:p>
      <w:pPr>
        <w:pStyle w:val="BodyText"/>
        <w:spacing w:line="470" w:lineRule="auto" w:before="107"/>
        <w:ind w:left="481" w:right="402" w:hanging="480"/>
        <w:rPr>
          <w:rFonts w:ascii="Times New Roman"/>
        </w:rPr>
      </w:pPr>
      <w:r>
        <w:rPr>
          <w:rFonts w:ascii="Times New Roman"/>
        </w:rPr>
        <w:t>Sirmon, D. G., &amp; Hitt, M.</w:t>
      </w:r>
      <w:r>
        <w:rPr>
          <w:rFonts w:ascii="Times New Roman"/>
          <w:spacing w:val="-2"/>
        </w:rPr>
        <w:t> </w:t>
      </w:r>
      <w:r>
        <w:rPr>
          <w:rFonts w:ascii="Times New Roman"/>
        </w:rPr>
        <w:t>A. (2003). Managing resources: Linking unique resources, management, and wealth creation in family firms.</w:t>
      </w:r>
      <w:r>
        <w:rPr>
          <w:rFonts w:ascii="Times New Roman"/>
          <w:spacing w:val="-1"/>
        </w:rPr>
        <w:t> </w:t>
      </w:r>
      <w:r>
        <w:rPr>
          <w:rFonts w:ascii="Times New Roman"/>
        </w:rPr>
        <w:t>*Entrepreneurship theory and practice*, *27*(4), 339-358.</w:t>
      </w:r>
    </w:p>
    <w:p>
      <w:pPr>
        <w:pStyle w:val="BodyText"/>
        <w:spacing w:line="470" w:lineRule="auto" w:before="105"/>
        <w:ind w:left="481" w:right="400" w:hanging="480"/>
        <w:rPr>
          <w:rFonts w:ascii="Times New Roman" w:hAnsi="Times New Roman"/>
        </w:rPr>
      </w:pPr>
      <w:r>
        <w:rPr>
          <w:rFonts w:ascii="Times New Roman" w:hAnsi="Times New Roman"/>
        </w:rPr>
        <w:t>Sirmon,</w:t>
      </w:r>
      <w:r>
        <w:rPr>
          <w:rFonts w:ascii="Times New Roman" w:hAnsi="Times New Roman"/>
          <w:spacing w:val="-15"/>
        </w:rPr>
        <w:t> </w:t>
      </w:r>
      <w:r>
        <w:rPr>
          <w:rFonts w:ascii="Times New Roman" w:hAnsi="Times New Roman"/>
        </w:rPr>
        <w:t>D.</w:t>
      </w:r>
      <w:r>
        <w:rPr>
          <w:rFonts w:ascii="Times New Roman" w:hAnsi="Times New Roman"/>
          <w:spacing w:val="-15"/>
        </w:rPr>
        <w:t> </w:t>
      </w:r>
      <w:r>
        <w:rPr>
          <w:rFonts w:ascii="Times New Roman" w:hAnsi="Times New Roman"/>
        </w:rPr>
        <w:t>G.,</w:t>
      </w:r>
      <w:r>
        <w:rPr>
          <w:rFonts w:ascii="Times New Roman" w:hAnsi="Times New Roman"/>
          <w:spacing w:val="-15"/>
        </w:rPr>
        <w:t> </w:t>
      </w:r>
      <w:r>
        <w:rPr>
          <w:rFonts w:ascii="Times New Roman" w:hAnsi="Times New Roman"/>
        </w:rPr>
        <w:t>Hitt,</w:t>
      </w:r>
      <w:r>
        <w:rPr>
          <w:rFonts w:ascii="Times New Roman" w:hAnsi="Times New Roman"/>
          <w:spacing w:val="-15"/>
        </w:rPr>
        <w:t> </w:t>
      </w:r>
      <w:r>
        <w:rPr>
          <w:rFonts w:ascii="Times New Roman" w:hAnsi="Times New Roman"/>
        </w:rPr>
        <w:t>M.</w:t>
      </w:r>
      <w:r>
        <w:rPr>
          <w:rFonts w:ascii="Times New Roman" w:hAnsi="Times New Roman"/>
          <w:spacing w:val="-15"/>
        </w:rPr>
        <w:t> </w:t>
      </w:r>
      <w:r>
        <w:rPr>
          <w:rFonts w:ascii="Times New Roman" w:hAnsi="Times New Roman"/>
        </w:rPr>
        <w:t>A.,</w:t>
      </w:r>
      <w:r>
        <w:rPr>
          <w:rFonts w:ascii="Times New Roman" w:hAnsi="Times New Roman"/>
          <w:spacing w:val="-15"/>
        </w:rPr>
        <w:t> </w:t>
      </w:r>
      <w:r>
        <w:rPr>
          <w:rFonts w:ascii="Times New Roman" w:hAnsi="Times New Roman"/>
        </w:rPr>
        <w:t>&amp;</w:t>
      </w:r>
      <w:r>
        <w:rPr>
          <w:rFonts w:ascii="Times New Roman" w:hAnsi="Times New Roman"/>
          <w:spacing w:val="-15"/>
        </w:rPr>
        <w:t> </w:t>
      </w:r>
      <w:r>
        <w:rPr>
          <w:rFonts w:ascii="Times New Roman" w:hAnsi="Times New Roman"/>
        </w:rPr>
        <w:t>Ireland,</w:t>
      </w:r>
      <w:r>
        <w:rPr>
          <w:rFonts w:ascii="Times New Roman" w:hAnsi="Times New Roman"/>
          <w:spacing w:val="-15"/>
        </w:rPr>
        <w:t> </w:t>
      </w:r>
      <w:r>
        <w:rPr>
          <w:rFonts w:ascii="Times New Roman" w:hAnsi="Times New Roman"/>
        </w:rPr>
        <w:t>R.</w:t>
      </w:r>
      <w:r>
        <w:rPr>
          <w:rFonts w:ascii="Times New Roman" w:hAnsi="Times New Roman"/>
          <w:spacing w:val="-15"/>
        </w:rPr>
        <w:t> </w:t>
      </w:r>
      <w:r>
        <w:rPr>
          <w:rFonts w:ascii="Times New Roman" w:hAnsi="Times New Roman"/>
        </w:rPr>
        <w:t>D.</w:t>
      </w:r>
      <w:r>
        <w:rPr>
          <w:rFonts w:ascii="Times New Roman" w:hAnsi="Times New Roman"/>
          <w:spacing w:val="-15"/>
        </w:rPr>
        <w:t> </w:t>
      </w:r>
      <w:r>
        <w:rPr>
          <w:rFonts w:ascii="Times New Roman" w:hAnsi="Times New Roman"/>
        </w:rPr>
        <w:t>(2007).</w:t>
      </w:r>
      <w:r>
        <w:rPr>
          <w:rFonts w:ascii="Times New Roman" w:hAnsi="Times New Roman"/>
          <w:spacing w:val="-15"/>
        </w:rPr>
        <w:t> </w:t>
      </w:r>
      <w:r>
        <w:rPr>
          <w:rFonts w:ascii="Times New Roman" w:hAnsi="Times New Roman"/>
        </w:rPr>
        <w:t>Managing</w:t>
      </w:r>
      <w:r>
        <w:rPr>
          <w:rFonts w:ascii="Times New Roman" w:hAnsi="Times New Roman"/>
          <w:spacing w:val="-15"/>
        </w:rPr>
        <w:t> </w:t>
      </w:r>
      <w:r>
        <w:rPr>
          <w:rFonts w:ascii="Times New Roman" w:hAnsi="Times New Roman"/>
        </w:rPr>
        <w:t>firm</w:t>
      </w:r>
      <w:r>
        <w:rPr>
          <w:rFonts w:ascii="Times New Roman" w:hAnsi="Times New Roman"/>
          <w:spacing w:val="-15"/>
        </w:rPr>
        <w:t> </w:t>
      </w:r>
      <w:r>
        <w:rPr>
          <w:rFonts w:ascii="Times New Roman" w:hAnsi="Times New Roman"/>
        </w:rPr>
        <w:t>resources</w:t>
      </w:r>
      <w:r>
        <w:rPr>
          <w:rFonts w:ascii="Times New Roman" w:hAnsi="Times New Roman"/>
          <w:spacing w:val="-15"/>
        </w:rPr>
        <w:t> </w:t>
      </w:r>
      <w:r>
        <w:rPr>
          <w:rFonts w:ascii="Times New Roman" w:hAnsi="Times New Roman"/>
        </w:rPr>
        <w:t>in</w:t>
      </w:r>
      <w:r>
        <w:rPr>
          <w:rFonts w:ascii="Times New Roman" w:hAnsi="Times New Roman"/>
          <w:spacing w:val="-15"/>
        </w:rPr>
        <w:t> </w:t>
      </w:r>
      <w:r>
        <w:rPr>
          <w:rFonts w:ascii="Times New Roman" w:hAnsi="Times New Roman"/>
        </w:rPr>
        <w:t>dynamic environments to create value: Looking inside the black box. *Academy of Management Review*, 32(1), 273–292.</w:t>
      </w:r>
    </w:p>
    <w:p>
      <w:pPr>
        <w:pStyle w:val="BodyText"/>
        <w:spacing w:line="470" w:lineRule="auto" w:before="106"/>
        <w:ind w:left="481" w:right="344" w:hanging="480"/>
        <w:rPr>
          <w:rFonts w:ascii="Times New Roman"/>
        </w:rPr>
      </w:pPr>
      <w:r>
        <w:rPr>
          <w:rFonts w:ascii="Times New Roman"/>
        </w:rPr>
        <w:t>Sirmon, D. G., Hitt, M. A., Ireland, R. D., &amp; Gilbert, B. A. (2011). Resource orchestration</w:t>
      </w:r>
      <w:r>
        <w:rPr>
          <w:rFonts w:ascii="Times New Roman"/>
          <w:spacing w:val="-15"/>
        </w:rPr>
        <w:t> </w:t>
      </w:r>
      <w:r>
        <w:rPr>
          <w:rFonts w:ascii="Times New Roman"/>
        </w:rPr>
        <w:t>to</w:t>
      </w:r>
      <w:r>
        <w:rPr>
          <w:rFonts w:ascii="Times New Roman"/>
          <w:spacing w:val="-14"/>
        </w:rPr>
        <w:t> </w:t>
      </w:r>
      <w:r>
        <w:rPr>
          <w:rFonts w:ascii="Times New Roman"/>
        </w:rPr>
        <w:t>create</w:t>
      </w:r>
      <w:r>
        <w:rPr>
          <w:rFonts w:ascii="Times New Roman"/>
          <w:spacing w:val="-15"/>
        </w:rPr>
        <w:t> </w:t>
      </w:r>
      <w:r>
        <w:rPr>
          <w:rFonts w:ascii="Times New Roman"/>
        </w:rPr>
        <w:t>competitive</w:t>
      </w:r>
      <w:r>
        <w:rPr>
          <w:rFonts w:ascii="Times New Roman"/>
          <w:spacing w:val="-15"/>
        </w:rPr>
        <w:t> </w:t>
      </w:r>
      <w:r>
        <w:rPr>
          <w:rFonts w:ascii="Times New Roman"/>
        </w:rPr>
        <w:t>advantage:</w:t>
      </w:r>
      <w:r>
        <w:rPr>
          <w:rFonts w:ascii="Times New Roman"/>
          <w:spacing w:val="-14"/>
        </w:rPr>
        <w:t> </w:t>
      </w:r>
      <w:r>
        <w:rPr>
          <w:rFonts w:ascii="Times New Roman"/>
        </w:rPr>
        <w:t>Breadth,</w:t>
      </w:r>
      <w:r>
        <w:rPr>
          <w:rFonts w:ascii="Times New Roman"/>
          <w:spacing w:val="-14"/>
        </w:rPr>
        <w:t> </w:t>
      </w:r>
      <w:r>
        <w:rPr>
          <w:rFonts w:ascii="Times New Roman"/>
        </w:rPr>
        <w:t>depth,</w:t>
      </w:r>
      <w:r>
        <w:rPr>
          <w:rFonts w:ascii="Times New Roman"/>
          <w:spacing w:val="-14"/>
        </w:rPr>
        <w:t> </w:t>
      </w:r>
      <w:r>
        <w:rPr>
          <w:rFonts w:ascii="Times New Roman"/>
        </w:rPr>
        <w:t>and</w:t>
      </w:r>
      <w:r>
        <w:rPr>
          <w:rFonts w:ascii="Times New Roman"/>
          <w:spacing w:val="-14"/>
        </w:rPr>
        <w:t> </w:t>
      </w:r>
      <w:r>
        <w:rPr>
          <w:rFonts w:ascii="Times New Roman"/>
        </w:rPr>
        <w:t>life</w:t>
      </w:r>
      <w:r>
        <w:rPr>
          <w:rFonts w:ascii="Times New Roman"/>
          <w:spacing w:val="-15"/>
        </w:rPr>
        <w:t> </w:t>
      </w:r>
      <w:r>
        <w:rPr>
          <w:rFonts w:ascii="Times New Roman"/>
        </w:rPr>
        <w:t>cycle</w:t>
      </w:r>
      <w:r>
        <w:rPr>
          <w:rFonts w:ascii="Times New Roman"/>
          <w:spacing w:val="-13"/>
        </w:rPr>
        <w:t> </w:t>
      </w:r>
      <w:r>
        <w:rPr>
          <w:rFonts w:ascii="Times New Roman"/>
        </w:rPr>
        <w:t>effects. Journal of management, 37(5), 1390-1412.</w:t>
      </w:r>
    </w:p>
    <w:p>
      <w:pPr>
        <w:pStyle w:val="BodyText"/>
        <w:spacing w:after="0" w:line="470" w:lineRule="auto"/>
        <w:rPr>
          <w:rFonts w:ascii="Times New Roman"/>
        </w:rPr>
        <w:sectPr>
          <w:pgSz w:w="11910" w:h="16840"/>
          <w:pgMar w:header="0" w:footer="1197" w:top="1740" w:bottom="1380" w:left="1700" w:right="1417"/>
        </w:sectPr>
      </w:pPr>
    </w:p>
    <w:p>
      <w:pPr>
        <w:pStyle w:val="BodyText"/>
        <w:spacing w:before="74"/>
        <w:ind w:left="2"/>
        <w:jc w:val="left"/>
        <w:rPr>
          <w:rFonts w:ascii="Times New Roman"/>
        </w:rPr>
      </w:pPr>
      <w:r>
        <w:rPr>
          <w:rFonts w:ascii="Times New Roman"/>
        </w:rPr>
        <w:t>Stake,</w:t>
      </w:r>
      <w:r>
        <w:rPr>
          <w:rFonts w:ascii="Times New Roman"/>
          <w:spacing w:val="-3"/>
        </w:rPr>
        <w:t> </w:t>
      </w:r>
      <w:r>
        <w:rPr>
          <w:rFonts w:ascii="Times New Roman"/>
        </w:rPr>
        <w:t>R. E.</w:t>
      </w:r>
      <w:r>
        <w:rPr>
          <w:rFonts w:ascii="Times New Roman"/>
          <w:spacing w:val="-1"/>
        </w:rPr>
        <w:t> </w:t>
      </w:r>
      <w:r>
        <w:rPr>
          <w:rFonts w:ascii="Times New Roman"/>
        </w:rPr>
        <w:t>(1995).</w:t>
      </w:r>
      <w:r>
        <w:rPr>
          <w:rFonts w:ascii="Times New Roman"/>
          <w:spacing w:val="-6"/>
        </w:rPr>
        <w:t> </w:t>
      </w:r>
      <w:r>
        <w:rPr>
          <w:rFonts w:ascii="Times New Roman"/>
        </w:rPr>
        <w:t>The</w:t>
      </w:r>
      <w:r>
        <w:rPr>
          <w:rFonts w:ascii="Times New Roman"/>
          <w:spacing w:val="1"/>
        </w:rPr>
        <w:t> </w:t>
      </w:r>
      <w:r>
        <w:rPr>
          <w:rFonts w:ascii="Times New Roman"/>
        </w:rPr>
        <w:t>art</w:t>
      </w:r>
      <w:r>
        <w:rPr>
          <w:rFonts w:ascii="Times New Roman"/>
          <w:spacing w:val="-1"/>
        </w:rPr>
        <w:t> </w:t>
      </w:r>
      <w:r>
        <w:rPr>
          <w:rFonts w:ascii="Times New Roman"/>
        </w:rPr>
        <w:t>of</w:t>
      </w:r>
      <w:r>
        <w:rPr>
          <w:rFonts w:ascii="Times New Roman"/>
          <w:spacing w:val="-1"/>
        </w:rPr>
        <w:t> </w:t>
      </w:r>
      <w:r>
        <w:rPr>
          <w:rFonts w:ascii="Times New Roman"/>
        </w:rPr>
        <w:t>case</w:t>
      </w:r>
      <w:r>
        <w:rPr>
          <w:rFonts w:ascii="Times New Roman"/>
          <w:spacing w:val="-2"/>
        </w:rPr>
        <w:t> </w:t>
      </w:r>
      <w:r>
        <w:rPr>
          <w:rFonts w:ascii="Times New Roman"/>
        </w:rPr>
        <w:t>study research. </w:t>
      </w:r>
      <w:r>
        <w:rPr>
          <w:rFonts w:ascii="Times New Roman"/>
          <w:spacing w:val="-2"/>
        </w:rPr>
        <w:t>Sage.</w:t>
      </w:r>
    </w:p>
    <w:p>
      <w:pPr>
        <w:pStyle w:val="BodyText"/>
        <w:spacing w:before="96"/>
        <w:ind w:left="0"/>
        <w:jc w:val="left"/>
        <w:rPr>
          <w:rFonts w:ascii="Times New Roman"/>
        </w:rPr>
      </w:pPr>
    </w:p>
    <w:p>
      <w:pPr>
        <w:pStyle w:val="BodyText"/>
        <w:spacing w:line="470" w:lineRule="auto"/>
        <w:ind w:left="481" w:right="401" w:hanging="480"/>
        <w:rPr>
          <w:rFonts w:ascii="Times New Roman" w:hAnsi="Times New Roman"/>
        </w:rPr>
      </w:pPr>
      <w:r>
        <w:rPr>
          <w:rFonts w:ascii="Times New Roman" w:hAnsi="Times New Roman"/>
        </w:rPr>
        <w:t>Star,</w:t>
      </w:r>
      <w:r>
        <w:rPr>
          <w:rFonts w:ascii="Times New Roman" w:hAnsi="Times New Roman"/>
          <w:spacing w:val="-14"/>
        </w:rPr>
        <w:t> </w:t>
      </w:r>
      <w:r>
        <w:rPr>
          <w:rFonts w:ascii="Times New Roman" w:hAnsi="Times New Roman"/>
        </w:rPr>
        <w:t>S.</w:t>
      </w:r>
      <w:r>
        <w:rPr>
          <w:rFonts w:ascii="Times New Roman" w:hAnsi="Times New Roman"/>
          <w:spacing w:val="-14"/>
        </w:rPr>
        <w:t> </w:t>
      </w:r>
      <w:r>
        <w:rPr>
          <w:rFonts w:ascii="Times New Roman" w:hAnsi="Times New Roman"/>
        </w:rPr>
        <w:t>L.,</w:t>
      </w:r>
      <w:r>
        <w:rPr>
          <w:rFonts w:ascii="Times New Roman" w:hAnsi="Times New Roman"/>
          <w:spacing w:val="-14"/>
        </w:rPr>
        <w:t> </w:t>
      </w:r>
      <w:r>
        <w:rPr>
          <w:rFonts w:ascii="Times New Roman" w:hAnsi="Times New Roman"/>
        </w:rPr>
        <w:t>&amp;</w:t>
      </w:r>
      <w:r>
        <w:rPr>
          <w:rFonts w:ascii="Times New Roman" w:hAnsi="Times New Roman"/>
          <w:spacing w:val="-13"/>
        </w:rPr>
        <w:t> </w:t>
      </w:r>
      <w:r>
        <w:rPr>
          <w:rFonts w:ascii="Times New Roman" w:hAnsi="Times New Roman"/>
        </w:rPr>
        <w:t>Griesemer,</w:t>
      </w:r>
      <w:r>
        <w:rPr>
          <w:rFonts w:ascii="Times New Roman" w:hAnsi="Times New Roman"/>
          <w:spacing w:val="-11"/>
        </w:rPr>
        <w:t> </w:t>
      </w:r>
      <w:r>
        <w:rPr>
          <w:rFonts w:ascii="Times New Roman" w:hAnsi="Times New Roman"/>
        </w:rPr>
        <w:t>J.</w:t>
      </w:r>
      <w:r>
        <w:rPr>
          <w:rFonts w:ascii="Times New Roman" w:hAnsi="Times New Roman"/>
          <w:spacing w:val="-13"/>
        </w:rPr>
        <w:t> </w:t>
      </w:r>
      <w:r>
        <w:rPr>
          <w:rFonts w:ascii="Times New Roman" w:hAnsi="Times New Roman"/>
        </w:rPr>
        <w:t>R.</w:t>
      </w:r>
      <w:r>
        <w:rPr>
          <w:rFonts w:ascii="Times New Roman" w:hAnsi="Times New Roman"/>
          <w:spacing w:val="-14"/>
        </w:rPr>
        <w:t> </w:t>
      </w:r>
      <w:r>
        <w:rPr>
          <w:rFonts w:ascii="Times New Roman" w:hAnsi="Times New Roman"/>
        </w:rPr>
        <w:t>(1989).</w:t>
      </w:r>
      <w:r>
        <w:rPr>
          <w:rFonts w:ascii="Times New Roman" w:hAnsi="Times New Roman"/>
          <w:spacing w:val="-14"/>
        </w:rPr>
        <w:t> </w:t>
      </w:r>
      <w:r>
        <w:rPr>
          <w:rFonts w:ascii="Times New Roman" w:hAnsi="Times New Roman"/>
        </w:rPr>
        <w:t>Institutional</w:t>
      </w:r>
      <w:r>
        <w:rPr>
          <w:rFonts w:ascii="Times New Roman" w:hAnsi="Times New Roman"/>
          <w:spacing w:val="-11"/>
        </w:rPr>
        <w:t> </w:t>
      </w:r>
      <w:r>
        <w:rPr>
          <w:rFonts w:ascii="Times New Roman" w:hAnsi="Times New Roman"/>
        </w:rPr>
        <w:t>ecology,</w:t>
      </w:r>
      <w:r>
        <w:rPr>
          <w:rFonts w:ascii="Times New Roman" w:hAnsi="Times New Roman"/>
          <w:spacing w:val="-14"/>
        </w:rPr>
        <w:t> </w:t>
      </w:r>
      <w:r>
        <w:rPr>
          <w:rFonts w:ascii="Times New Roman" w:hAnsi="Times New Roman"/>
        </w:rPr>
        <w:t>“translations”</w:t>
      </w:r>
      <w:r>
        <w:rPr>
          <w:rFonts w:ascii="Times New Roman" w:hAnsi="Times New Roman"/>
          <w:spacing w:val="-12"/>
        </w:rPr>
        <w:t> </w:t>
      </w:r>
      <w:r>
        <w:rPr>
          <w:rFonts w:ascii="Times New Roman" w:hAnsi="Times New Roman"/>
        </w:rPr>
        <w:t>and</w:t>
      </w:r>
      <w:r>
        <w:rPr>
          <w:rFonts w:ascii="Times New Roman" w:hAnsi="Times New Roman"/>
          <w:spacing w:val="-14"/>
        </w:rPr>
        <w:t> </w:t>
      </w:r>
      <w:r>
        <w:rPr>
          <w:rFonts w:ascii="Times New Roman" w:hAnsi="Times New Roman"/>
        </w:rPr>
        <w:t>boundary objects:</w:t>
      </w:r>
      <w:r>
        <w:rPr>
          <w:rFonts w:ascii="Times New Roman" w:hAnsi="Times New Roman"/>
          <w:spacing w:val="-15"/>
        </w:rPr>
        <w:t> </w:t>
      </w:r>
      <w:r>
        <w:rPr>
          <w:rFonts w:ascii="Times New Roman" w:hAnsi="Times New Roman"/>
        </w:rPr>
        <w:t>Amateurs</w:t>
      </w:r>
      <w:r>
        <w:rPr>
          <w:rFonts w:ascii="Times New Roman" w:hAnsi="Times New Roman"/>
          <w:spacing w:val="-15"/>
        </w:rPr>
        <w:t> </w:t>
      </w:r>
      <w:r>
        <w:rPr>
          <w:rFonts w:ascii="Times New Roman" w:hAnsi="Times New Roman"/>
        </w:rPr>
        <w:t>and</w:t>
      </w:r>
      <w:r>
        <w:rPr>
          <w:rFonts w:ascii="Times New Roman" w:hAnsi="Times New Roman"/>
          <w:spacing w:val="-15"/>
        </w:rPr>
        <w:t> </w:t>
      </w:r>
      <w:r>
        <w:rPr>
          <w:rFonts w:ascii="Times New Roman" w:hAnsi="Times New Roman"/>
        </w:rPr>
        <w:t>professionals</w:t>
      </w:r>
      <w:r>
        <w:rPr>
          <w:rFonts w:ascii="Times New Roman" w:hAnsi="Times New Roman"/>
          <w:spacing w:val="-11"/>
        </w:rPr>
        <w:t> </w:t>
      </w:r>
      <w:r>
        <w:rPr>
          <w:rFonts w:ascii="Times New Roman" w:hAnsi="Times New Roman"/>
        </w:rPr>
        <w:t>in</w:t>
      </w:r>
      <w:r>
        <w:rPr>
          <w:rFonts w:ascii="Times New Roman" w:hAnsi="Times New Roman"/>
          <w:spacing w:val="-11"/>
        </w:rPr>
        <w:t> </w:t>
      </w:r>
      <w:r>
        <w:rPr>
          <w:rFonts w:ascii="Times New Roman" w:hAnsi="Times New Roman"/>
        </w:rPr>
        <w:t>Berkeley’s</w:t>
      </w:r>
      <w:r>
        <w:rPr>
          <w:rFonts w:ascii="Times New Roman" w:hAnsi="Times New Roman"/>
          <w:spacing w:val="-12"/>
        </w:rPr>
        <w:t> </w:t>
      </w:r>
      <w:r>
        <w:rPr>
          <w:rFonts w:ascii="Times New Roman" w:hAnsi="Times New Roman"/>
        </w:rPr>
        <w:t>Museum</w:t>
      </w:r>
      <w:r>
        <w:rPr>
          <w:rFonts w:ascii="Times New Roman" w:hAnsi="Times New Roman"/>
          <w:spacing w:val="-11"/>
        </w:rPr>
        <w:t> </w:t>
      </w:r>
      <w:r>
        <w:rPr>
          <w:rFonts w:ascii="Times New Roman" w:hAnsi="Times New Roman"/>
        </w:rPr>
        <w:t>of</w:t>
      </w:r>
      <w:r>
        <w:rPr>
          <w:rFonts w:ascii="Times New Roman" w:hAnsi="Times New Roman"/>
          <w:spacing w:val="-15"/>
        </w:rPr>
        <w:t> </w:t>
      </w:r>
      <w:r>
        <w:rPr>
          <w:rFonts w:ascii="Times New Roman" w:hAnsi="Times New Roman"/>
        </w:rPr>
        <w:t>Vertebrate</w:t>
      </w:r>
      <w:r>
        <w:rPr>
          <w:rFonts w:ascii="Times New Roman" w:hAnsi="Times New Roman"/>
          <w:spacing w:val="-11"/>
        </w:rPr>
        <w:t> </w:t>
      </w:r>
      <w:r>
        <w:rPr>
          <w:rFonts w:ascii="Times New Roman" w:hAnsi="Times New Roman"/>
        </w:rPr>
        <w:t>Zoology, 1907–39. *Social Studies of Science*, 19(3), 387–420.</w:t>
      </w:r>
    </w:p>
    <w:p>
      <w:pPr>
        <w:pStyle w:val="BodyText"/>
        <w:spacing w:line="470" w:lineRule="auto" w:before="106"/>
        <w:ind w:left="481" w:right="405" w:hanging="480"/>
        <w:rPr>
          <w:rFonts w:ascii="Times New Roman"/>
        </w:rPr>
      </w:pPr>
      <w:r>
        <w:rPr>
          <w:rFonts w:ascii="Times New Roman"/>
        </w:rPr>
        <w:t>Strauss, A., &amp; Corbin, J. (1990). Basics of qualitative research: Grounded theory procedures and techniques. Sage.</w:t>
      </w:r>
    </w:p>
    <w:p>
      <w:pPr>
        <w:pStyle w:val="BodyText"/>
        <w:spacing w:line="470" w:lineRule="auto" w:before="107"/>
        <w:ind w:left="481" w:right="405" w:hanging="480"/>
        <w:rPr>
          <w:rFonts w:ascii="Times New Roman"/>
        </w:rPr>
      </w:pPr>
      <w:r>
        <w:rPr>
          <w:rFonts w:ascii="Times New Roman"/>
        </w:rPr>
        <w:t>Strauss,</w:t>
      </w:r>
      <w:r>
        <w:rPr>
          <w:rFonts w:ascii="Times New Roman"/>
          <w:spacing w:val="-15"/>
        </w:rPr>
        <w:t> </w:t>
      </w:r>
      <w:r>
        <w:rPr>
          <w:rFonts w:ascii="Times New Roman"/>
        </w:rPr>
        <w:t>A.,</w:t>
      </w:r>
      <w:r>
        <w:rPr>
          <w:rFonts w:ascii="Times New Roman"/>
          <w:spacing w:val="-15"/>
        </w:rPr>
        <w:t> </w:t>
      </w:r>
      <w:r>
        <w:rPr>
          <w:rFonts w:ascii="Times New Roman"/>
        </w:rPr>
        <w:t>&amp;Corbin,</w:t>
      </w:r>
      <w:r>
        <w:rPr>
          <w:rFonts w:ascii="Times New Roman"/>
          <w:spacing w:val="-15"/>
        </w:rPr>
        <w:t> </w:t>
      </w:r>
      <w:r>
        <w:rPr>
          <w:rFonts w:ascii="Times New Roman"/>
        </w:rPr>
        <w:t>J.</w:t>
      </w:r>
      <w:r>
        <w:rPr>
          <w:rFonts w:ascii="Times New Roman"/>
          <w:spacing w:val="-15"/>
        </w:rPr>
        <w:t> </w:t>
      </w:r>
      <w:r>
        <w:rPr>
          <w:rFonts w:ascii="Times New Roman"/>
        </w:rPr>
        <w:t>(1994).</w:t>
      </w:r>
      <w:r>
        <w:rPr>
          <w:rFonts w:ascii="Times New Roman"/>
          <w:spacing w:val="-15"/>
        </w:rPr>
        <w:t> </w:t>
      </w:r>
      <w:r>
        <w:rPr>
          <w:rFonts w:ascii="Times New Roman"/>
        </w:rPr>
        <w:t>Grounded</w:t>
      </w:r>
      <w:r>
        <w:rPr>
          <w:rFonts w:ascii="Times New Roman"/>
          <w:spacing w:val="-15"/>
        </w:rPr>
        <w:t> </w:t>
      </w:r>
      <w:r>
        <w:rPr>
          <w:rFonts w:ascii="Times New Roman"/>
        </w:rPr>
        <w:t>theory</w:t>
      </w:r>
      <w:r>
        <w:rPr>
          <w:rFonts w:ascii="Times New Roman"/>
          <w:spacing w:val="-15"/>
        </w:rPr>
        <w:t> </w:t>
      </w:r>
      <w:r>
        <w:rPr>
          <w:rFonts w:ascii="Times New Roman"/>
        </w:rPr>
        <w:t>methodology.</w:t>
      </w:r>
      <w:r>
        <w:rPr>
          <w:rFonts w:ascii="Times New Roman"/>
          <w:spacing w:val="-15"/>
        </w:rPr>
        <w:t> </w:t>
      </w:r>
      <w:r>
        <w:rPr>
          <w:rFonts w:ascii="Times New Roman"/>
        </w:rPr>
        <w:t>Handbook</w:t>
      </w:r>
      <w:r>
        <w:rPr>
          <w:rFonts w:ascii="Times New Roman"/>
          <w:spacing w:val="-15"/>
        </w:rPr>
        <w:t> </w:t>
      </w:r>
      <w:r>
        <w:rPr>
          <w:rFonts w:ascii="Times New Roman"/>
        </w:rPr>
        <w:t>of</w:t>
      </w:r>
      <w:r>
        <w:rPr>
          <w:rFonts w:ascii="Times New Roman"/>
          <w:spacing w:val="-15"/>
        </w:rPr>
        <w:t> </w:t>
      </w:r>
      <w:r>
        <w:rPr>
          <w:rFonts w:ascii="Times New Roman"/>
        </w:rPr>
        <w:t>qualitative research, 17(1), 273-285.</w:t>
      </w:r>
    </w:p>
    <w:p>
      <w:pPr>
        <w:pStyle w:val="BodyText"/>
        <w:spacing w:line="470" w:lineRule="auto" w:before="106"/>
        <w:ind w:left="481" w:right="402" w:hanging="480"/>
        <w:rPr>
          <w:rFonts w:ascii="Times New Roman"/>
        </w:rPr>
      </w:pPr>
      <w:r>
        <w:rPr>
          <w:rFonts w:ascii="Times New Roman"/>
        </w:rPr>
        <w:drawing>
          <wp:anchor distT="0" distB="0" distL="0" distR="0" allowOverlap="1" layoutInCell="1" locked="0" behindDoc="1" simplePos="0" relativeHeight="485840896">
            <wp:simplePos x="0" y="0"/>
            <wp:positionH relativeFrom="page">
              <wp:posOffset>3312414</wp:posOffset>
            </wp:positionH>
            <wp:positionV relativeFrom="paragraph">
              <wp:posOffset>713389</wp:posOffset>
            </wp:positionV>
            <wp:extent cx="929640" cy="978408"/>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Teece, D. J. (2007).</w:t>
      </w:r>
      <w:r>
        <w:rPr>
          <w:rFonts w:ascii="Times New Roman"/>
          <w:spacing w:val="-1"/>
        </w:rPr>
        <w:t> </w:t>
      </w:r>
      <w:r>
        <w:rPr>
          <w:rFonts w:ascii="Times New Roman"/>
        </w:rPr>
        <w:t>Explicating dynamic capabilities: the nature</w:t>
      </w:r>
      <w:r>
        <w:rPr>
          <w:rFonts w:ascii="Times New Roman"/>
          <w:spacing w:val="-1"/>
        </w:rPr>
        <w:t> </w:t>
      </w:r>
      <w:r>
        <w:rPr>
          <w:rFonts w:ascii="Times New Roman"/>
        </w:rPr>
        <w:t>and microfoundations of</w:t>
      </w:r>
      <w:r>
        <w:rPr>
          <w:rFonts w:ascii="Times New Roman"/>
          <w:spacing w:val="80"/>
        </w:rPr>
        <w:t>  </w:t>
      </w:r>
      <w:r>
        <w:rPr>
          <w:rFonts w:ascii="Times New Roman"/>
        </w:rPr>
        <w:t>(sustainable)</w:t>
      </w:r>
      <w:r>
        <w:rPr>
          <w:rFonts w:ascii="Times New Roman"/>
          <w:spacing w:val="80"/>
        </w:rPr>
        <w:t>  </w:t>
      </w:r>
      <w:r>
        <w:rPr>
          <w:rFonts w:ascii="Times New Roman"/>
        </w:rPr>
        <w:t>enterprise</w:t>
      </w:r>
      <w:r>
        <w:rPr>
          <w:rFonts w:ascii="Times New Roman"/>
          <w:spacing w:val="80"/>
        </w:rPr>
        <w:t>  </w:t>
      </w:r>
      <w:r>
        <w:rPr>
          <w:rFonts w:ascii="Times New Roman"/>
        </w:rPr>
        <w:t>performance. *Strategic</w:t>
      </w:r>
      <w:r>
        <w:rPr>
          <w:rFonts w:ascii="Times New Roman"/>
          <w:spacing w:val="80"/>
        </w:rPr>
        <w:t>  </w:t>
      </w:r>
      <w:r>
        <w:rPr>
          <w:rFonts w:ascii="Times New Roman"/>
        </w:rPr>
        <w:t>management</w:t>
      </w:r>
      <w:r>
        <w:rPr>
          <w:rFonts w:ascii="Times New Roman"/>
          <w:spacing w:val="40"/>
        </w:rPr>
        <w:t> </w:t>
      </w:r>
      <w:r>
        <w:rPr>
          <w:rFonts w:ascii="Times New Roman"/>
        </w:rPr>
        <w:t>journal*, *28*(13), 1319-1350.</w:t>
      </w:r>
    </w:p>
    <w:p>
      <w:pPr>
        <w:pStyle w:val="BodyText"/>
        <w:spacing w:line="470" w:lineRule="auto" w:before="105"/>
        <w:ind w:left="481" w:right="408" w:hanging="480"/>
        <w:rPr>
          <w:rFonts w:ascii="Times New Roman" w:hAnsi="Times New Roman"/>
        </w:rPr>
      </w:pPr>
      <w:r>
        <w:rPr>
          <w:rFonts w:ascii="Times New Roman" w:hAnsi="Times New Roman"/>
        </w:rPr>
        <w:t>Teece, D. J. (2010). Business models, business strategy and innovation. *Long Range Planning*, 43(2-3), 172–194.</w:t>
      </w:r>
    </w:p>
    <w:p>
      <w:pPr>
        <w:pStyle w:val="BodyText"/>
        <w:spacing w:line="470" w:lineRule="auto" w:before="107"/>
        <w:ind w:left="481" w:right="405" w:hanging="480"/>
        <w:rPr>
          <w:rFonts w:ascii="Times New Roman" w:hAnsi="Times New Roman"/>
        </w:rPr>
      </w:pPr>
      <w:r>
        <w:rPr>
          <w:rFonts w:ascii="Times New Roman" w:hAnsi="Times New Roman"/>
        </w:rPr>
        <w:t>Teece, D. J., Pisano, G., &amp; Shuen, A. (1997). Dynamic capabilities and strategic management. *Strategic Management Journal*, 18(7), 509–533.</w:t>
      </w:r>
    </w:p>
    <w:p>
      <w:pPr>
        <w:pStyle w:val="BodyText"/>
        <w:spacing w:line="470" w:lineRule="auto" w:before="106"/>
        <w:ind w:left="481" w:right="404" w:hanging="480"/>
        <w:rPr>
          <w:rFonts w:ascii="Times New Roman"/>
        </w:rPr>
      </w:pPr>
      <w:r>
        <w:rPr>
          <w:rFonts w:ascii="Times New Roman"/>
        </w:rPr>
        <w:t>Tushman,</w:t>
      </w:r>
      <w:r>
        <w:rPr>
          <w:rFonts w:ascii="Times New Roman"/>
          <w:spacing w:val="40"/>
        </w:rPr>
        <w:t>  </w:t>
      </w:r>
      <w:r>
        <w:rPr>
          <w:rFonts w:ascii="Times New Roman"/>
        </w:rPr>
        <w:t>M.</w:t>
      </w:r>
      <w:r>
        <w:rPr>
          <w:rFonts w:ascii="Times New Roman"/>
          <w:spacing w:val="40"/>
        </w:rPr>
        <w:t>  </w:t>
      </w:r>
      <w:r>
        <w:rPr>
          <w:rFonts w:ascii="Times New Roman"/>
        </w:rPr>
        <w:t>L.</w:t>
      </w:r>
      <w:r>
        <w:rPr>
          <w:rFonts w:ascii="Times New Roman"/>
          <w:spacing w:val="40"/>
        </w:rPr>
        <w:t>  </w:t>
      </w:r>
      <w:r>
        <w:rPr>
          <w:rFonts w:ascii="Times New Roman"/>
        </w:rPr>
        <w:t>(1977).</w:t>
      </w:r>
      <w:r>
        <w:rPr>
          <w:rFonts w:ascii="Times New Roman"/>
          <w:spacing w:val="40"/>
        </w:rPr>
        <w:t>  </w:t>
      </w:r>
      <w:r>
        <w:rPr>
          <w:rFonts w:ascii="Times New Roman"/>
        </w:rPr>
        <w:t>Special</w:t>
      </w:r>
      <w:r>
        <w:rPr>
          <w:rFonts w:ascii="Times New Roman"/>
          <w:spacing w:val="40"/>
        </w:rPr>
        <w:t>  </w:t>
      </w:r>
      <w:r>
        <w:rPr>
          <w:rFonts w:ascii="Times New Roman"/>
        </w:rPr>
        <w:t>boundary</w:t>
      </w:r>
      <w:r>
        <w:rPr>
          <w:rFonts w:ascii="Times New Roman"/>
          <w:spacing w:val="40"/>
        </w:rPr>
        <w:t>  </w:t>
      </w:r>
      <w:r>
        <w:rPr>
          <w:rFonts w:ascii="Times New Roman"/>
        </w:rPr>
        <w:t>roles</w:t>
      </w:r>
      <w:r>
        <w:rPr>
          <w:rFonts w:ascii="Times New Roman"/>
          <w:spacing w:val="40"/>
        </w:rPr>
        <w:t>  </w:t>
      </w:r>
      <w:r>
        <w:rPr>
          <w:rFonts w:ascii="Times New Roman"/>
        </w:rPr>
        <w:t>in</w:t>
      </w:r>
      <w:r>
        <w:rPr>
          <w:rFonts w:ascii="Times New Roman"/>
          <w:spacing w:val="40"/>
        </w:rPr>
        <w:t>  </w:t>
      </w:r>
      <w:r>
        <w:rPr>
          <w:rFonts w:ascii="Times New Roman"/>
        </w:rPr>
        <w:t>the</w:t>
      </w:r>
      <w:r>
        <w:rPr>
          <w:rFonts w:ascii="Times New Roman"/>
          <w:spacing w:val="40"/>
        </w:rPr>
        <w:t>  </w:t>
      </w:r>
      <w:r>
        <w:rPr>
          <w:rFonts w:ascii="Times New Roman"/>
        </w:rPr>
        <w:t>innovation</w:t>
      </w:r>
      <w:r>
        <w:rPr>
          <w:rFonts w:ascii="Times New Roman"/>
          <w:spacing w:val="80"/>
        </w:rPr>
        <w:t> </w:t>
      </w:r>
      <w:r>
        <w:rPr>
          <w:rFonts w:ascii="Times New Roman"/>
        </w:rPr>
        <w:t>process. Administrative science quarterly, 587-605.</w:t>
      </w:r>
    </w:p>
    <w:p>
      <w:pPr>
        <w:pStyle w:val="BodyText"/>
        <w:spacing w:line="470" w:lineRule="auto" w:before="106"/>
        <w:ind w:left="481" w:right="401" w:hanging="480"/>
        <w:rPr>
          <w:rFonts w:ascii="Times New Roman" w:hAnsi="Times New Roman"/>
        </w:rPr>
      </w:pPr>
      <w:r>
        <w:rPr>
          <w:rFonts w:ascii="Times New Roman" w:hAnsi="Times New Roman"/>
        </w:rPr>
        <w:t>Wernerfelt, B. (1984). A resource‐based view of the firm. *Strategic management journal*, *5*(2), 171-180.</w:t>
      </w:r>
    </w:p>
    <w:p>
      <w:pPr>
        <w:pStyle w:val="BodyText"/>
        <w:spacing w:line="470" w:lineRule="auto" w:before="107"/>
        <w:ind w:left="481" w:right="404" w:hanging="480"/>
        <w:rPr>
          <w:rFonts w:ascii="Times New Roman"/>
        </w:rPr>
      </w:pPr>
      <w:r>
        <w:rPr>
          <w:rFonts w:ascii="Times New Roman"/>
        </w:rPr>
        <w:t>Westerman,</w:t>
      </w:r>
      <w:r>
        <w:rPr>
          <w:rFonts w:ascii="Times New Roman"/>
          <w:spacing w:val="-8"/>
        </w:rPr>
        <w:t> </w:t>
      </w:r>
      <w:r>
        <w:rPr>
          <w:rFonts w:ascii="Times New Roman"/>
        </w:rPr>
        <w:t>G.,</w:t>
      </w:r>
      <w:r>
        <w:rPr>
          <w:rFonts w:ascii="Times New Roman"/>
          <w:spacing w:val="-6"/>
        </w:rPr>
        <w:t> </w:t>
      </w:r>
      <w:r>
        <w:rPr>
          <w:rFonts w:ascii="Times New Roman"/>
        </w:rPr>
        <w:t>Bonnet,</w:t>
      </w:r>
      <w:r>
        <w:rPr>
          <w:rFonts w:ascii="Times New Roman"/>
          <w:spacing w:val="-4"/>
        </w:rPr>
        <w:t> </w:t>
      </w:r>
      <w:r>
        <w:rPr>
          <w:rFonts w:ascii="Times New Roman"/>
        </w:rPr>
        <w:t>D.,</w:t>
      </w:r>
      <w:r>
        <w:rPr>
          <w:rFonts w:ascii="Times New Roman"/>
          <w:spacing w:val="-6"/>
        </w:rPr>
        <w:t> </w:t>
      </w:r>
      <w:r>
        <w:rPr>
          <w:rFonts w:ascii="Times New Roman"/>
        </w:rPr>
        <w:t>&amp;</w:t>
      </w:r>
      <w:r>
        <w:rPr>
          <w:rFonts w:ascii="Times New Roman"/>
          <w:spacing w:val="-6"/>
        </w:rPr>
        <w:t> </w:t>
      </w:r>
      <w:r>
        <w:rPr>
          <w:rFonts w:ascii="Times New Roman"/>
        </w:rPr>
        <w:t>McAfee,</w:t>
      </w:r>
      <w:r>
        <w:rPr>
          <w:rFonts w:ascii="Times New Roman"/>
          <w:spacing w:val="-15"/>
        </w:rPr>
        <w:t> </w:t>
      </w:r>
      <w:r>
        <w:rPr>
          <w:rFonts w:ascii="Times New Roman"/>
        </w:rPr>
        <w:t>A.</w:t>
      </w:r>
      <w:r>
        <w:rPr>
          <w:rFonts w:ascii="Times New Roman"/>
          <w:spacing w:val="-6"/>
        </w:rPr>
        <w:t> </w:t>
      </w:r>
      <w:r>
        <w:rPr>
          <w:rFonts w:ascii="Times New Roman"/>
        </w:rPr>
        <w:t>(2014).</w:t>
      </w:r>
      <w:r>
        <w:rPr>
          <w:rFonts w:ascii="Times New Roman"/>
          <w:spacing w:val="-6"/>
        </w:rPr>
        <w:t> </w:t>
      </w:r>
      <w:r>
        <w:rPr>
          <w:rFonts w:ascii="Times New Roman"/>
        </w:rPr>
        <w:t>Leading</w:t>
      </w:r>
      <w:r>
        <w:rPr>
          <w:rFonts w:ascii="Times New Roman"/>
          <w:spacing w:val="-6"/>
        </w:rPr>
        <w:t> </w:t>
      </w:r>
      <w:r>
        <w:rPr>
          <w:rFonts w:ascii="Times New Roman"/>
        </w:rPr>
        <w:t>digital:</w:t>
      </w:r>
      <w:r>
        <w:rPr>
          <w:rFonts w:ascii="Times New Roman"/>
          <w:spacing w:val="-11"/>
        </w:rPr>
        <w:t> </w:t>
      </w:r>
      <w:r>
        <w:rPr>
          <w:rFonts w:ascii="Times New Roman"/>
        </w:rPr>
        <w:t>Turning</w:t>
      </w:r>
      <w:r>
        <w:rPr>
          <w:rFonts w:ascii="Times New Roman"/>
          <w:spacing w:val="-6"/>
        </w:rPr>
        <w:t> </w:t>
      </w:r>
      <w:r>
        <w:rPr>
          <w:rFonts w:ascii="Times New Roman"/>
        </w:rPr>
        <w:t>technology into business transformation. Harvard Business Review Press.</w:t>
      </w:r>
    </w:p>
    <w:p>
      <w:pPr>
        <w:pStyle w:val="BodyText"/>
        <w:spacing w:after="0" w:line="470" w:lineRule="auto"/>
        <w:rPr>
          <w:rFonts w:ascii="Times New Roman"/>
        </w:rPr>
        <w:sectPr>
          <w:pgSz w:w="11910" w:h="16840"/>
          <w:pgMar w:header="0" w:footer="1197" w:top="1740" w:bottom="1380" w:left="1700" w:right="1417"/>
        </w:sectPr>
      </w:pPr>
    </w:p>
    <w:p>
      <w:pPr>
        <w:pStyle w:val="BodyText"/>
        <w:spacing w:line="470" w:lineRule="auto" w:before="74"/>
        <w:ind w:left="481" w:right="403" w:hanging="480"/>
        <w:rPr>
          <w:rFonts w:ascii="Times New Roman" w:hAnsi="Times New Roman"/>
        </w:rPr>
      </w:pPr>
      <w:r>
        <w:rPr>
          <w:rFonts w:ascii="Times New Roman" w:hAnsi="Times New Roman"/>
        </w:rPr>
        <w:t>Wilhelm, M., &amp; Dolfsma, W. (2018). Managing knowledge boundaries for open innovation–lessons from the automotive industry.</w:t>
      </w:r>
      <w:r>
        <w:rPr>
          <w:rFonts w:ascii="Times New Roman" w:hAnsi="Times New Roman"/>
          <w:spacing w:val="-1"/>
        </w:rPr>
        <w:t> </w:t>
      </w:r>
      <w:r>
        <w:rPr>
          <w:rFonts w:ascii="Times New Roman" w:hAnsi="Times New Roman"/>
        </w:rPr>
        <w:t>*International Journal of Operations &amp; Production Management*, *38*(1), 230-248.</w:t>
      </w:r>
    </w:p>
    <w:p>
      <w:pPr>
        <w:pStyle w:val="BodyText"/>
        <w:spacing w:line="470" w:lineRule="auto" w:before="106"/>
        <w:ind w:left="481" w:right="403" w:hanging="480"/>
        <w:rPr>
          <w:rFonts w:ascii="Times New Roman"/>
        </w:rPr>
      </w:pPr>
      <w:r>
        <w:rPr>
          <w:rFonts w:ascii="Times New Roman"/>
        </w:rPr>
        <w:t>Williamson, P. J., &amp; De Meyer,</w:t>
      </w:r>
      <w:r>
        <w:rPr>
          <w:rFonts w:ascii="Times New Roman"/>
          <w:spacing w:val="-7"/>
        </w:rPr>
        <w:t> </w:t>
      </w:r>
      <w:r>
        <w:rPr>
          <w:rFonts w:ascii="Times New Roman"/>
        </w:rPr>
        <w:t>A. (2012). Ecosystem advantage: How to successfully harness the power of partners. *California management review*, *55*(1), 24-46.</w:t>
      </w:r>
    </w:p>
    <w:p>
      <w:pPr>
        <w:pStyle w:val="BodyText"/>
        <w:spacing w:line="470" w:lineRule="auto" w:before="106"/>
        <w:ind w:left="481" w:right="400" w:hanging="480"/>
        <w:rPr>
          <w:rFonts w:ascii="Times New Roman" w:hAnsi="Times New Roman"/>
        </w:rPr>
      </w:pPr>
      <w:r>
        <w:rPr>
          <w:rFonts w:ascii="Times New Roman" w:hAnsi="Times New Roman"/>
          <w:spacing w:val="-2"/>
        </w:rPr>
        <w:t>Yao,</w:t>
      </w:r>
      <w:r>
        <w:rPr>
          <w:rFonts w:ascii="Times New Roman" w:hAnsi="Times New Roman"/>
          <w:spacing w:val="-6"/>
        </w:rPr>
        <w:t> </w:t>
      </w:r>
      <w:r>
        <w:rPr>
          <w:rFonts w:ascii="Times New Roman" w:hAnsi="Times New Roman"/>
          <w:spacing w:val="-2"/>
        </w:rPr>
        <w:t>L.,</w:t>
      </w:r>
      <w:r>
        <w:rPr>
          <w:rFonts w:ascii="Times New Roman" w:hAnsi="Times New Roman"/>
          <w:spacing w:val="-9"/>
        </w:rPr>
        <w:t> </w:t>
      </w:r>
      <w:r>
        <w:rPr>
          <w:rFonts w:ascii="Times New Roman" w:hAnsi="Times New Roman"/>
          <w:spacing w:val="-2"/>
        </w:rPr>
        <w:t>Wang,</w:t>
      </w:r>
      <w:r>
        <w:rPr>
          <w:rFonts w:ascii="Times New Roman" w:hAnsi="Times New Roman"/>
          <w:spacing w:val="-3"/>
        </w:rPr>
        <w:t> </w:t>
      </w:r>
      <w:r>
        <w:rPr>
          <w:rFonts w:ascii="Times New Roman" w:hAnsi="Times New Roman"/>
          <w:spacing w:val="-2"/>
        </w:rPr>
        <w:t>X.,</w:t>
      </w:r>
      <w:r>
        <w:rPr>
          <w:rFonts w:ascii="Times New Roman" w:hAnsi="Times New Roman"/>
          <w:spacing w:val="-7"/>
        </w:rPr>
        <w:t> </w:t>
      </w:r>
      <w:r>
        <w:rPr>
          <w:rFonts w:ascii="Times New Roman" w:hAnsi="Times New Roman"/>
          <w:spacing w:val="-2"/>
        </w:rPr>
        <w:t>&amp;</w:t>
      </w:r>
      <w:r>
        <w:rPr>
          <w:rFonts w:ascii="Times New Roman" w:hAnsi="Times New Roman"/>
          <w:spacing w:val="-6"/>
        </w:rPr>
        <w:t> </w:t>
      </w:r>
      <w:r>
        <w:rPr>
          <w:rFonts w:ascii="Times New Roman" w:hAnsi="Times New Roman"/>
          <w:spacing w:val="-2"/>
        </w:rPr>
        <w:t>Chen,</w:t>
      </w:r>
      <w:r>
        <w:rPr>
          <w:rFonts w:ascii="Times New Roman" w:hAnsi="Times New Roman"/>
          <w:spacing w:val="-6"/>
        </w:rPr>
        <w:t> </w:t>
      </w:r>
      <w:r>
        <w:rPr>
          <w:rFonts w:ascii="Times New Roman" w:hAnsi="Times New Roman"/>
          <w:spacing w:val="-2"/>
        </w:rPr>
        <w:t>Z.</w:t>
      </w:r>
      <w:r>
        <w:rPr>
          <w:rFonts w:ascii="Times New Roman" w:hAnsi="Times New Roman"/>
          <w:spacing w:val="-7"/>
        </w:rPr>
        <w:t> </w:t>
      </w:r>
      <w:r>
        <w:rPr>
          <w:rFonts w:ascii="Times New Roman" w:hAnsi="Times New Roman"/>
          <w:spacing w:val="-2"/>
        </w:rPr>
        <w:t>(2009).</w:t>
      </w:r>
      <w:r>
        <w:rPr>
          <w:rFonts w:ascii="Times New Roman" w:hAnsi="Times New Roman"/>
          <w:spacing w:val="-7"/>
        </w:rPr>
        <w:t> </w:t>
      </w:r>
      <w:r>
        <w:rPr>
          <w:rFonts w:ascii="Times New Roman" w:hAnsi="Times New Roman"/>
          <w:spacing w:val="-2"/>
        </w:rPr>
        <w:t>Boundary-spanning</w:t>
      </w:r>
      <w:r>
        <w:rPr>
          <w:rFonts w:ascii="Times New Roman" w:hAnsi="Times New Roman"/>
          <w:spacing w:val="-6"/>
        </w:rPr>
        <w:t> </w:t>
      </w:r>
      <w:r>
        <w:rPr>
          <w:rFonts w:ascii="Times New Roman" w:hAnsi="Times New Roman"/>
          <w:spacing w:val="-2"/>
        </w:rPr>
        <w:t>information</w:t>
      </w:r>
      <w:r>
        <w:rPr>
          <w:rFonts w:ascii="Times New Roman" w:hAnsi="Times New Roman"/>
          <w:spacing w:val="-6"/>
        </w:rPr>
        <w:t> </w:t>
      </w:r>
      <w:r>
        <w:rPr>
          <w:rFonts w:ascii="Times New Roman" w:hAnsi="Times New Roman"/>
          <w:spacing w:val="-2"/>
        </w:rPr>
        <w:t>technologies</w:t>
      </w:r>
      <w:r>
        <w:rPr>
          <w:rFonts w:ascii="Times New Roman" w:hAnsi="Times New Roman"/>
          <w:spacing w:val="-6"/>
        </w:rPr>
        <w:t> </w:t>
      </w:r>
      <w:r>
        <w:rPr>
          <w:rFonts w:ascii="Times New Roman" w:hAnsi="Times New Roman"/>
          <w:spacing w:val="-2"/>
        </w:rPr>
        <w:t>and </w:t>
      </w:r>
      <w:r>
        <w:rPr>
          <w:rFonts w:ascii="Times New Roman" w:hAnsi="Times New Roman"/>
        </w:rPr>
        <w:t>their</w:t>
      </w:r>
      <w:r>
        <w:rPr>
          <w:rFonts w:ascii="Times New Roman" w:hAnsi="Times New Roman"/>
          <w:spacing w:val="-15"/>
        </w:rPr>
        <w:t> </w:t>
      </w:r>
      <w:r>
        <w:rPr>
          <w:rFonts w:ascii="Times New Roman" w:hAnsi="Times New Roman"/>
        </w:rPr>
        <w:t>impact</w:t>
      </w:r>
      <w:r>
        <w:rPr>
          <w:rFonts w:ascii="Times New Roman" w:hAnsi="Times New Roman"/>
          <w:spacing w:val="-12"/>
        </w:rPr>
        <w:t> </w:t>
      </w:r>
      <w:r>
        <w:rPr>
          <w:rFonts w:ascii="Times New Roman" w:hAnsi="Times New Roman"/>
        </w:rPr>
        <w:t>on</w:t>
      </w:r>
      <w:r>
        <w:rPr>
          <w:rFonts w:ascii="Times New Roman" w:hAnsi="Times New Roman"/>
          <w:spacing w:val="-12"/>
        </w:rPr>
        <w:t> </w:t>
      </w:r>
      <w:r>
        <w:rPr>
          <w:rFonts w:ascii="Times New Roman" w:hAnsi="Times New Roman"/>
        </w:rPr>
        <w:t>firm</w:t>
      </w:r>
      <w:r>
        <w:rPr>
          <w:rFonts w:ascii="Times New Roman" w:hAnsi="Times New Roman"/>
          <w:spacing w:val="-12"/>
        </w:rPr>
        <w:t> </w:t>
      </w:r>
      <w:r>
        <w:rPr>
          <w:rFonts w:ascii="Times New Roman" w:hAnsi="Times New Roman"/>
        </w:rPr>
        <w:t>performance.</w:t>
      </w:r>
      <w:r>
        <w:rPr>
          <w:rFonts w:ascii="Times New Roman" w:hAnsi="Times New Roman"/>
          <w:spacing w:val="-12"/>
        </w:rPr>
        <w:t> </w:t>
      </w:r>
      <w:r>
        <w:rPr>
          <w:rFonts w:ascii="Times New Roman" w:hAnsi="Times New Roman"/>
        </w:rPr>
        <w:t>*Information</w:t>
      </w:r>
      <w:r>
        <w:rPr>
          <w:rFonts w:ascii="Times New Roman" w:hAnsi="Times New Roman"/>
          <w:spacing w:val="-12"/>
        </w:rPr>
        <w:t> </w:t>
      </w:r>
      <w:r>
        <w:rPr>
          <w:rFonts w:ascii="Times New Roman" w:hAnsi="Times New Roman"/>
        </w:rPr>
        <w:t>Systems</w:t>
      </w:r>
      <w:r>
        <w:rPr>
          <w:rFonts w:ascii="Times New Roman" w:hAnsi="Times New Roman"/>
          <w:spacing w:val="-12"/>
        </w:rPr>
        <w:t> </w:t>
      </w:r>
      <w:r>
        <w:rPr>
          <w:rFonts w:ascii="Times New Roman" w:hAnsi="Times New Roman"/>
        </w:rPr>
        <w:t>Journal*,</w:t>
      </w:r>
      <w:r>
        <w:rPr>
          <w:rFonts w:ascii="Times New Roman" w:hAnsi="Times New Roman"/>
          <w:spacing w:val="-12"/>
        </w:rPr>
        <w:t> </w:t>
      </w:r>
      <w:r>
        <w:rPr>
          <w:rFonts w:ascii="Times New Roman" w:hAnsi="Times New Roman"/>
        </w:rPr>
        <w:t>19(2),</w:t>
      </w:r>
      <w:r>
        <w:rPr>
          <w:rFonts w:ascii="Times New Roman" w:hAnsi="Times New Roman"/>
          <w:spacing w:val="-12"/>
        </w:rPr>
        <w:t> </w:t>
      </w:r>
      <w:r>
        <w:rPr>
          <w:rFonts w:ascii="Times New Roman" w:hAnsi="Times New Roman"/>
          <w:spacing w:val="-2"/>
        </w:rPr>
        <w:t>127–148.</w:t>
      </w:r>
    </w:p>
    <w:p>
      <w:pPr>
        <w:pStyle w:val="BodyText"/>
        <w:spacing w:line="470" w:lineRule="auto" w:before="107"/>
        <w:ind w:left="481" w:right="403" w:hanging="480"/>
        <w:rPr>
          <w:rFonts w:ascii="Times New Roman"/>
        </w:rPr>
      </w:pPr>
      <w:r>
        <w:rPr>
          <w:rFonts w:ascii="Times New Roman"/>
        </w:rPr>
        <w:drawing>
          <wp:anchor distT="0" distB="0" distL="0" distR="0" allowOverlap="1" layoutInCell="1" locked="0" behindDoc="1" simplePos="0" relativeHeight="485841408">
            <wp:simplePos x="0" y="0"/>
            <wp:positionH relativeFrom="page">
              <wp:posOffset>3312414</wp:posOffset>
            </wp:positionH>
            <wp:positionV relativeFrom="paragraph">
              <wp:posOffset>1125474</wp:posOffset>
            </wp:positionV>
            <wp:extent cx="929640" cy="978408"/>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rPr>
        <w:t>Yee, Wen, Lim., Juliana, Angeline, French. (2024). Boundary Interweaving: The Boundary-Making Strategy for Multicultural Coexistence in Marketing Systems. Journal of Macromarketing,</w:t>
      </w:r>
      <w:r>
        <w:rPr>
          <w:rFonts w:ascii="Times New Roman"/>
          <w:spacing w:val="80"/>
          <w:w w:val="150"/>
        </w:rPr>
        <w:t> </w:t>
      </w:r>
      <w:r>
        <w:rPr>
          <w:rFonts w:ascii="Times New Roman"/>
        </w:rPr>
        <w:t>doi: 10.1177/02761467241241672</w:t>
      </w:r>
    </w:p>
    <w:p>
      <w:pPr>
        <w:pStyle w:val="BodyText"/>
        <w:spacing w:line="470" w:lineRule="auto" w:before="105"/>
        <w:ind w:left="481" w:right="402" w:hanging="480"/>
        <w:rPr>
          <w:rFonts w:ascii="Times New Roman"/>
        </w:rPr>
      </w:pPr>
      <w:r>
        <w:rPr>
          <w:rFonts w:ascii="Times New Roman"/>
        </w:rPr>
        <w:t>Yeow,</w:t>
      </w:r>
      <w:r>
        <w:rPr>
          <w:rFonts w:ascii="Times New Roman"/>
          <w:spacing w:val="-15"/>
        </w:rPr>
        <w:t> </w:t>
      </w:r>
      <w:r>
        <w:rPr>
          <w:rFonts w:ascii="Times New Roman"/>
        </w:rPr>
        <w:t>A.,</w:t>
      </w:r>
      <w:r>
        <w:rPr>
          <w:rFonts w:ascii="Times New Roman"/>
          <w:spacing w:val="-15"/>
        </w:rPr>
        <w:t> </w:t>
      </w:r>
      <w:r>
        <w:rPr>
          <w:rFonts w:ascii="Times New Roman"/>
        </w:rPr>
        <w:t>Soh,</w:t>
      </w:r>
      <w:r>
        <w:rPr>
          <w:rFonts w:ascii="Times New Roman"/>
          <w:spacing w:val="-13"/>
        </w:rPr>
        <w:t> </w:t>
      </w:r>
      <w:r>
        <w:rPr>
          <w:rFonts w:ascii="Times New Roman"/>
        </w:rPr>
        <w:t>C.,</w:t>
      </w:r>
      <w:r>
        <w:rPr>
          <w:rFonts w:ascii="Times New Roman"/>
          <w:spacing w:val="-6"/>
        </w:rPr>
        <w:t> </w:t>
      </w:r>
      <w:r>
        <w:rPr>
          <w:rFonts w:ascii="Times New Roman"/>
        </w:rPr>
        <w:t>&amp;</w:t>
      </w:r>
      <w:r>
        <w:rPr>
          <w:rFonts w:ascii="Times New Roman"/>
          <w:spacing w:val="-6"/>
        </w:rPr>
        <w:t> </w:t>
      </w:r>
      <w:r>
        <w:rPr>
          <w:rFonts w:ascii="Times New Roman"/>
        </w:rPr>
        <w:t>Hansen,</w:t>
      </w:r>
      <w:r>
        <w:rPr>
          <w:rFonts w:ascii="Times New Roman"/>
          <w:spacing w:val="-6"/>
        </w:rPr>
        <w:t> </w:t>
      </w:r>
      <w:r>
        <w:rPr>
          <w:rFonts w:ascii="Times New Roman"/>
        </w:rPr>
        <w:t>R.</w:t>
      </w:r>
      <w:r>
        <w:rPr>
          <w:rFonts w:ascii="Times New Roman"/>
          <w:spacing w:val="-6"/>
        </w:rPr>
        <w:t> </w:t>
      </w:r>
      <w:r>
        <w:rPr>
          <w:rFonts w:ascii="Times New Roman"/>
        </w:rPr>
        <w:t>(2018).</w:t>
      </w:r>
      <w:r>
        <w:rPr>
          <w:rFonts w:ascii="Times New Roman"/>
          <w:spacing w:val="-15"/>
        </w:rPr>
        <w:t> </w:t>
      </w:r>
      <w:r>
        <w:rPr>
          <w:rFonts w:ascii="Times New Roman"/>
        </w:rPr>
        <w:t>Aligning</w:t>
      </w:r>
      <w:r>
        <w:rPr>
          <w:rFonts w:ascii="Times New Roman"/>
          <w:spacing w:val="-6"/>
        </w:rPr>
        <w:t> </w:t>
      </w:r>
      <w:r>
        <w:rPr>
          <w:rFonts w:ascii="Times New Roman"/>
        </w:rPr>
        <w:t>with</w:t>
      </w:r>
      <w:r>
        <w:rPr>
          <w:rFonts w:ascii="Times New Roman"/>
          <w:spacing w:val="-6"/>
        </w:rPr>
        <w:t> </w:t>
      </w:r>
      <w:r>
        <w:rPr>
          <w:rFonts w:ascii="Times New Roman"/>
        </w:rPr>
        <w:t>new</w:t>
      </w:r>
      <w:r>
        <w:rPr>
          <w:rFonts w:ascii="Times New Roman"/>
          <w:spacing w:val="-7"/>
        </w:rPr>
        <w:t> </w:t>
      </w:r>
      <w:r>
        <w:rPr>
          <w:rFonts w:ascii="Times New Roman"/>
        </w:rPr>
        <w:t>digital</w:t>
      </w:r>
      <w:r>
        <w:rPr>
          <w:rFonts w:ascii="Times New Roman"/>
          <w:spacing w:val="-6"/>
        </w:rPr>
        <w:t> </w:t>
      </w:r>
      <w:r>
        <w:rPr>
          <w:rFonts w:ascii="Times New Roman"/>
        </w:rPr>
        <w:t>strategy:</w:t>
      </w:r>
      <w:r>
        <w:rPr>
          <w:rFonts w:ascii="Times New Roman"/>
          <w:spacing w:val="-15"/>
        </w:rPr>
        <w:t> </w:t>
      </w:r>
      <w:r>
        <w:rPr>
          <w:rFonts w:ascii="Times New Roman"/>
        </w:rPr>
        <w:t>A</w:t>
      </w:r>
      <w:r>
        <w:rPr>
          <w:rFonts w:ascii="Times New Roman"/>
          <w:spacing w:val="-15"/>
        </w:rPr>
        <w:t> </w:t>
      </w:r>
      <w:r>
        <w:rPr>
          <w:rFonts w:ascii="Times New Roman"/>
        </w:rPr>
        <w:t>dynamic capabilities approach.</w:t>
      </w:r>
      <w:r>
        <w:rPr>
          <w:rFonts w:ascii="Times New Roman"/>
          <w:spacing w:val="-2"/>
        </w:rPr>
        <w:t> </w:t>
      </w:r>
      <w:r>
        <w:rPr>
          <w:rFonts w:ascii="Times New Roman"/>
        </w:rPr>
        <w:t>*The Journal of Strategic Information Systems*, *27*(1), </w:t>
      </w:r>
      <w:r>
        <w:rPr>
          <w:rFonts w:ascii="Times New Roman"/>
          <w:spacing w:val="-2"/>
        </w:rPr>
        <w:t>43-58.</w:t>
      </w:r>
    </w:p>
    <w:p>
      <w:pPr>
        <w:pStyle w:val="BodyText"/>
        <w:spacing w:line="564" w:lineRule="auto" w:before="106"/>
        <w:ind w:left="2" w:right="1359"/>
        <w:rPr>
          <w:rFonts w:ascii="Times New Roman"/>
        </w:rPr>
      </w:pPr>
      <w:r>
        <w:rPr>
          <w:rFonts w:ascii="Times New Roman"/>
        </w:rPr>
        <w:t>Yin,</w:t>
      </w:r>
      <w:r>
        <w:rPr>
          <w:rFonts w:ascii="Times New Roman"/>
          <w:spacing w:val="-7"/>
        </w:rPr>
        <w:t> </w:t>
      </w:r>
      <w:r>
        <w:rPr>
          <w:rFonts w:ascii="Times New Roman"/>
        </w:rPr>
        <w:t>R.</w:t>
      </w:r>
      <w:r>
        <w:rPr>
          <w:rFonts w:ascii="Times New Roman"/>
          <w:spacing w:val="-7"/>
        </w:rPr>
        <w:t> </w:t>
      </w:r>
      <w:r>
        <w:rPr>
          <w:rFonts w:ascii="Times New Roman"/>
        </w:rPr>
        <w:t>K.</w:t>
      </w:r>
      <w:r>
        <w:rPr>
          <w:rFonts w:ascii="Times New Roman"/>
          <w:spacing w:val="-7"/>
        </w:rPr>
        <w:t> </w:t>
      </w:r>
      <w:r>
        <w:rPr>
          <w:rFonts w:ascii="Times New Roman"/>
        </w:rPr>
        <w:t>(2009).</w:t>
      </w:r>
      <w:r>
        <w:rPr>
          <w:rFonts w:ascii="Times New Roman"/>
          <w:spacing w:val="-7"/>
        </w:rPr>
        <w:t> </w:t>
      </w:r>
      <w:r>
        <w:rPr>
          <w:rFonts w:ascii="Times New Roman"/>
        </w:rPr>
        <w:t>*Case</w:t>
      </w:r>
      <w:r>
        <w:rPr>
          <w:rFonts w:ascii="Times New Roman"/>
          <w:spacing w:val="-8"/>
        </w:rPr>
        <w:t> </w:t>
      </w:r>
      <w:r>
        <w:rPr>
          <w:rFonts w:ascii="Times New Roman"/>
        </w:rPr>
        <w:t>study</w:t>
      </w:r>
      <w:r>
        <w:rPr>
          <w:rFonts w:ascii="Times New Roman"/>
          <w:spacing w:val="-7"/>
        </w:rPr>
        <w:t> </w:t>
      </w:r>
      <w:r>
        <w:rPr>
          <w:rFonts w:ascii="Times New Roman"/>
        </w:rPr>
        <w:t>research:</w:t>
      </w:r>
      <w:r>
        <w:rPr>
          <w:rFonts w:ascii="Times New Roman"/>
          <w:spacing w:val="-7"/>
        </w:rPr>
        <w:t> </w:t>
      </w:r>
      <w:r>
        <w:rPr>
          <w:rFonts w:ascii="Times New Roman"/>
        </w:rPr>
        <w:t>Design</w:t>
      </w:r>
      <w:r>
        <w:rPr>
          <w:rFonts w:ascii="Times New Roman"/>
          <w:spacing w:val="-7"/>
        </w:rPr>
        <w:t> </w:t>
      </w:r>
      <w:r>
        <w:rPr>
          <w:rFonts w:ascii="Times New Roman"/>
        </w:rPr>
        <w:t>and</w:t>
      </w:r>
      <w:r>
        <w:rPr>
          <w:rFonts w:ascii="Times New Roman"/>
          <w:spacing w:val="-7"/>
        </w:rPr>
        <w:t> </w:t>
      </w:r>
      <w:r>
        <w:rPr>
          <w:rFonts w:ascii="Times New Roman"/>
        </w:rPr>
        <w:t>methods*</w:t>
      </w:r>
      <w:r>
        <w:rPr>
          <w:rFonts w:ascii="Times New Roman"/>
          <w:spacing w:val="-6"/>
        </w:rPr>
        <w:t> </w:t>
      </w:r>
      <w:r>
        <w:rPr>
          <w:rFonts w:ascii="Times New Roman"/>
        </w:rPr>
        <w:t>(Vol.</w:t>
      </w:r>
      <w:r>
        <w:rPr>
          <w:rFonts w:ascii="Times New Roman"/>
          <w:spacing w:val="-7"/>
        </w:rPr>
        <w:t> </w:t>
      </w:r>
      <w:r>
        <w:rPr>
          <w:rFonts w:ascii="Times New Roman"/>
        </w:rPr>
        <w:t>5).</w:t>
      </w:r>
      <w:r>
        <w:rPr>
          <w:rFonts w:ascii="Times New Roman"/>
          <w:spacing w:val="-7"/>
        </w:rPr>
        <w:t> </w:t>
      </w:r>
      <w:r>
        <w:rPr>
          <w:rFonts w:ascii="Times New Roman"/>
        </w:rPr>
        <w:t>sage. Yin, R. K. (2018). Case study research and applications.</w:t>
      </w:r>
    </w:p>
    <w:p>
      <w:pPr>
        <w:pStyle w:val="BodyText"/>
        <w:spacing w:line="470" w:lineRule="auto"/>
        <w:ind w:left="481" w:right="401" w:hanging="480"/>
        <w:rPr>
          <w:rFonts w:ascii="Times New Roman"/>
        </w:rPr>
      </w:pPr>
      <w:r>
        <w:rPr>
          <w:rFonts w:ascii="Times New Roman"/>
        </w:rPr>
        <w:t>Zeng,</w:t>
      </w:r>
      <w:r>
        <w:rPr>
          <w:rFonts w:ascii="Times New Roman"/>
          <w:spacing w:val="-13"/>
        </w:rPr>
        <w:t> </w:t>
      </w:r>
      <w:r>
        <w:rPr>
          <w:rFonts w:ascii="Times New Roman"/>
        </w:rPr>
        <w:t>J.,</w:t>
      </w:r>
      <w:r>
        <w:rPr>
          <w:rFonts w:ascii="Times New Roman"/>
          <w:spacing w:val="-15"/>
        </w:rPr>
        <w:t> </w:t>
      </w:r>
      <w:r>
        <w:rPr>
          <w:rFonts w:ascii="Times New Roman"/>
        </w:rPr>
        <w:t>Tavalaei,</w:t>
      </w:r>
      <w:r>
        <w:rPr>
          <w:rFonts w:ascii="Times New Roman"/>
          <w:spacing w:val="-11"/>
        </w:rPr>
        <w:t> </w:t>
      </w:r>
      <w:r>
        <w:rPr>
          <w:rFonts w:ascii="Times New Roman"/>
        </w:rPr>
        <w:t>M.</w:t>
      </w:r>
      <w:r>
        <w:rPr>
          <w:rFonts w:ascii="Times New Roman"/>
          <w:spacing w:val="-11"/>
        </w:rPr>
        <w:t> </w:t>
      </w:r>
      <w:r>
        <w:rPr>
          <w:rFonts w:ascii="Times New Roman"/>
        </w:rPr>
        <w:t>M.,</w:t>
      </w:r>
      <w:r>
        <w:rPr>
          <w:rFonts w:ascii="Times New Roman"/>
          <w:spacing w:val="-14"/>
        </w:rPr>
        <w:t> </w:t>
      </w:r>
      <w:r>
        <w:rPr>
          <w:rFonts w:ascii="Times New Roman"/>
        </w:rPr>
        <w:t>&amp;</w:t>
      </w:r>
      <w:r>
        <w:rPr>
          <w:rFonts w:ascii="Times New Roman"/>
          <w:spacing w:val="-11"/>
        </w:rPr>
        <w:t> </w:t>
      </w:r>
      <w:r>
        <w:rPr>
          <w:rFonts w:ascii="Times New Roman"/>
        </w:rPr>
        <w:t>Khan,</w:t>
      </w:r>
      <w:r>
        <w:rPr>
          <w:rFonts w:ascii="Times New Roman"/>
          <w:spacing w:val="-12"/>
        </w:rPr>
        <w:t> </w:t>
      </w:r>
      <w:r>
        <w:rPr>
          <w:rFonts w:ascii="Times New Roman"/>
        </w:rPr>
        <w:t>Z.</w:t>
      </w:r>
      <w:r>
        <w:rPr>
          <w:rFonts w:ascii="Times New Roman"/>
          <w:spacing w:val="-12"/>
        </w:rPr>
        <w:t> </w:t>
      </w:r>
      <w:r>
        <w:rPr>
          <w:rFonts w:ascii="Times New Roman"/>
        </w:rPr>
        <w:t>(2021).</w:t>
      </w:r>
      <w:r>
        <w:rPr>
          <w:rFonts w:ascii="Times New Roman"/>
          <w:spacing w:val="-12"/>
        </w:rPr>
        <w:t> </w:t>
      </w:r>
      <w:r>
        <w:rPr>
          <w:rFonts w:ascii="Times New Roman"/>
        </w:rPr>
        <w:t>Sharing</w:t>
      </w:r>
      <w:r>
        <w:rPr>
          <w:rFonts w:ascii="Times New Roman"/>
          <w:spacing w:val="-12"/>
        </w:rPr>
        <w:t> </w:t>
      </w:r>
      <w:r>
        <w:rPr>
          <w:rFonts w:ascii="Times New Roman"/>
        </w:rPr>
        <w:t>economy</w:t>
      </w:r>
      <w:r>
        <w:rPr>
          <w:rFonts w:ascii="Times New Roman"/>
          <w:spacing w:val="-11"/>
        </w:rPr>
        <w:t> </w:t>
      </w:r>
      <w:r>
        <w:rPr>
          <w:rFonts w:ascii="Times New Roman"/>
        </w:rPr>
        <w:t>platform</w:t>
      </w:r>
      <w:r>
        <w:rPr>
          <w:rFonts w:ascii="Times New Roman"/>
          <w:spacing w:val="-12"/>
        </w:rPr>
        <w:t> </w:t>
      </w:r>
      <w:r>
        <w:rPr>
          <w:rFonts w:ascii="Times New Roman"/>
        </w:rPr>
        <w:t>firms</w:t>
      </w:r>
      <w:r>
        <w:rPr>
          <w:rFonts w:ascii="Times New Roman"/>
          <w:spacing w:val="-11"/>
        </w:rPr>
        <w:t> </w:t>
      </w:r>
      <w:r>
        <w:rPr>
          <w:rFonts w:ascii="Times New Roman"/>
        </w:rPr>
        <w:t>and</w:t>
      </w:r>
      <w:r>
        <w:rPr>
          <w:rFonts w:ascii="Times New Roman"/>
          <w:spacing w:val="-12"/>
        </w:rPr>
        <w:t> </w:t>
      </w:r>
      <w:r>
        <w:rPr>
          <w:rFonts w:ascii="Times New Roman"/>
        </w:rPr>
        <w:t>their resource orchestration approaches. Journal of Business Research, 136, 451-465.</w:t>
      </w:r>
    </w:p>
    <w:p>
      <w:pPr>
        <w:pStyle w:val="BodyText"/>
        <w:spacing w:after="0" w:line="470" w:lineRule="auto"/>
        <w:rPr>
          <w:rFonts w:ascii="Times New Roman"/>
        </w:rPr>
        <w:sectPr>
          <w:pgSz w:w="11910" w:h="16840"/>
          <w:pgMar w:header="0" w:footer="1197" w:top="1740" w:bottom="1380" w:left="1700" w:right="1417"/>
        </w:sectPr>
      </w:pPr>
    </w:p>
    <w:p>
      <w:pPr>
        <w:pStyle w:val="Heading3"/>
        <w:spacing w:line="450" w:lineRule="exact" w:before="0"/>
        <w:ind w:left="122"/>
      </w:pPr>
      <w:r>
        <w:rPr>
          <w:spacing w:val="-3"/>
        </w:rPr>
        <w:t>網路資料</w:t>
      </w:r>
    </w:p>
    <w:p>
      <w:pPr>
        <w:pStyle w:val="BodyText"/>
        <w:spacing w:before="344"/>
        <w:ind w:left="122"/>
        <w:jc w:val="left"/>
      </w:pPr>
      <w:r>
        <w:rPr>
          <w:spacing w:val="-1"/>
        </w:rPr>
        <w:t>報導者。 </w:t>
      </w:r>
      <w:r>
        <w:rPr>
          <w:rFonts w:ascii="Times New Roman" w:eastAsia="Times New Roman"/>
        </w:rPr>
        <w:t>(2017</w:t>
      </w:r>
      <w:r>
        <w:rPr>
          <w:rFonts w:ascii="Times New Roman" w:eastAsia="Times New Roman"/>
          <w:spacing w:val="-1"/>
        </w:rPr>
        <w:t> </w:t>
      </w:r>
      <w:r>
        <w:rPr>
          <w:spacing w:val="-30"/>
        </w:rPr>
        <w:t>年 </w:t>
      </w:r>
      <w:r>
        <w:rPr>
          <w:rFonts w:ascii="Times New Roman" w:eastAsia="Times New Roman"/>
        </w:rPr>
        <w:t>12 </w:t>
      </w:r>
      <w:r>
        <w:rPr>
          <w:spacing w:val="-30"/>
        </w:rPr>
        <w:t>月 </w:t>
      </w:r>
      <w:r>
        <w:rPr>
          <w:rFonts w:ascii="Times New Roman" w:eastAsia="Times New Roman"/>
        </w:rPr>
        <w:t>25 </w:t>
      </w:r>
      <w:r>
        <w:rPr/>
        <w:t>日</w:t>
      </w:r>
      <w:r>
        <w:rPr>
          <w:rFonts w:ascii="Times New Roman" w:eastAsia="Times New Roman"/>
        </w:rPr>
        <w:t>)</w:t>
      </w:r>
      <w:r>
        <w:rPr>
          <w:spacing w:val="-1"/>
        </w:rPr>
        <w:t>。長期照護資訊系統的挑戰與展望。檢自：</w:t>
      </w:r>
    </w:p>
    <w:p>
      <w:pPr>
        <w:pStyle w:val="BodyText"/>
        <w:spacing w:before="61"/>
        <w:ind w:left="0"/>
        <w:jc w:val="left"/>
      </w:pPr>
    </w:p>
    <w:p>
      <w:pPr>
        <w:pStyle w:val="BodyText"/>
        <w:ind w:left="601"/>
        <w:jc w:val="left"/>
        <w:rPr>
          <w:rFonts w:ascii="Times New Roman"/>
        </w:rPr>
      </w:pPr>
      <w:r>
        <w:rPr>
          <w:rFonts w:ascii="Times New Roman"/>
          <w:spacing w:val="-2"/>
        </w:rPr>
        <w:t>https:/</w:t>
      </w:r>
      <w:hyperlink r:id="rId130">
        <w:r>
          <w:rPr>
            <w:rFonts w:ascii="Times New Roman"/>
            <w:spacing w:val="-2"/>
          </w:rPr>
          <w:t>/www.twreporter.org/a/opinion-long-term-care-info-system</w:t>
        </w:r>
      </w:hyperlink>
    </w:p>
    <w:p>
      <w:pPr>
        <w:pStyle w:val="BodyText"/>
        <w:spacing w:before="68"/>
        <w:ind w:left="0"/>
        <w:jc w:val="left"/>
        <w:rPr>
          <w:rFonts w:ascii="Times New Roman"/>
        </w:rPr>
      </w:pPr>
    </w:p>
    <w:p>
      <w:pPr>
        <w:pStyle w:val="BodyText"/>
        <w:spacing w:line="422" w:lineRule="auto"/>
        <w:ind w:left="481" w:right="401" w:hanging="480"/>
        <w:jc w:val="left"/>
      </w:pPr>
      <w:r>
        <w:rPr>
          <w:rFonts w:ascii="Times New Roman" w:eastAsia="Times New Roman"/>
        </w:rPr>
        <w:t>FineReport</w:t>
      </w:r>
      <w:r>
        <w:rPr>
          <w:spacing w:val="-120"/>
        </w:rPr>
        <w:t>。</w:t>
      </w:r>
      <w:r>
        <w:rPr/>
        <w:t>（</w:t>
      </w:r>
      <w:r>
        <w:rPr>
          <w:rFonts w:ascii="Times New Roman" w:eastAsia="Times New Roman"/>
        </w:rPr>
        <w:t>2023</w:t>
      </w:r>
      <w:r>
        <w:rPr>
          <w:rFonts w:ascii="Times New Roman" w:eastAsia="Times New Roman"/>
          <w:spacing w:val="-13"/>
        </w:rPr>
        <w:t> </w:t>
      </w:r>
      <w:r>
        <w:rPr>
          <w:spacing w:val="-25"/>
        </w:rPr>
        <w:t>年 </w:t>
      </w:r>
      <w:r>
        <w:rPr>
          <w:rFonts w:ascii="Times New Roman" w:eastAsia="Times New Roman"/>
        </w:rPr>
        <w:t>12 </w:t>
      </w:r>
      <w:r>
        <w:rPr>
          <w:spacing w:val="-26"/>
        </w:rPr>
        <w:t>月 </w:t>
      </w:r>
      <w:r>
        <w:rPr>
          <w:rFonts w:ascii="Times New Roman" w:eastAsia="Times New Roman"/>
        </w:rPr>
        <w:t>14 </w:t>
      </w:r>
      <w:r>
        <w:rPr/>
        <w:t>日</w:t>
      </w:r>
      <w:r>
        <w:rPr>
          <w:spacing w:val="-120"/>
        </w:rPr>
        <w:t>）</w:t>
      </w:r>
      <w:r>
        <w:rPr/>
        <w:t>。智慧醫療：定義、趨勢、解決方案與智慧醫</w:t>
      </w:r>
      <w:r>
        <w:rPr>
          <w:spacing w:val="-2"/>
        </w:rPr>
        <w:t>院的新時代。檢自：</w:t>
      </w:r>
    </w:p>
    <w:p>
      <w:pPr>
        <w:pStyle w:val="BodyText"/>
        <w:spacing w:line="470" w:lineRule="auto" w:before="135"/>
        <w:ind w:left="122" w:right="487" w:firstLine="120"/>
        <w:jc w:val="left"/>
        <w:rPr>
          <w:rFonts w:ascii="Times New Roman"/>
        </w:rPr>
      </w:pPr>
      <w:r>
        <w:rPr>
          <w:rFonts w:ascii="Times New Roman"/>
          <w:spacing w:val="-2"/>
        </w:rPr>
        <w:t>https:/</w:t>
      </w:r>
      <w:hyperlink r:id="rId131">
        <w:r>
          <w:rPr>
            <w:rFonts w:ascii="Times New Roman"/>
            <w:spacing w:val="-2"/>
          </w:rPr>
          <w:t>/www.finereport.com/tw/data-analysis/successful-smart-healthcare-</w:t>
        </w:r>
      </w:hyperlink>
      <w:r>
        <w:rPr>
          <w:rFonts w:ascii="Times New Roman"/>
          <w:spacing w:val="-2"/>
        </w:rPr>
        <w:t> solution.html</w:t>
      </w:r>
    </w:p>
    <w:p>
      <w:pPr>
        <w:pStyle w:val="BodyText"/>
        <w:spacing w:line="422" w:lineRule="auto" w:before="78"/>
        <w:ind w:left="481" w:right="401" w:hanging="480"/>
        <w:jc w:val="left"/>
      </w:pPr>
      <w:r>
        <w:rPr>
          <w:spacing w:val="-34"/>
        </w:rPr>
        <w:t>陳芳毓。</w:t>
      </w:r>
      <w:r>
        <w:rPr>
          <w:spacing w:val="-2"/>
        </w:rPr>
        <w:t>（</w:t>
      </w:r>
      <w:r>
        <w:rPr>
          <w:rFonts w:ascii="Times New Roman" w:eastAsia="Times New Roman"/>
          <w:spacing w:val="-2"/>
        </w:rPr>
        <w:t>2023</w:t>
      </w:r>
      <w:r>
        <w:rPr>
          <w:rFonts w:ascii="Times New Roman" w:eastAsia="Times New Roman"/>
          <w:spacing w:val="-11"/>
        </w:rPr>
        <w:t> </w:t>
      </w:r>
      <w:r>
        <w:rPr>
          <w:spacing w:val="-31"/>
        </w:rPr>
        <w:t>年 </w:t>
      </w:r>
      <w:r>
        <w:rPr>
          <w:rFonts w:ascii="Times New Roman" w:eastAsia="Times New Roman"/>
          <w:spacing w:val="-2"/>
        </w:rPr>
        <w:t>1</w:t>
      </w:r>
      <w:r>
        <w:rPr>
          <w:rFonts w:ascii="Times New Roman" w:eastAsia="Times New Roman"/>
          <w:spacing w:val="-3"/>
        </w:rPr>
        <w:t> </w:t>
      </w:r>
      <w:r>
        <w:rPr>
          <w:spacing w:val="-31"/>
        </w:rPr>
        <w:t>月 </w:t>
      </w:r>
      <w:r>
        <w:rPr>
          <w:rFonts w:ascii="Times New Roman" w:eastAsia="Times New Roman"/>
          <w:spacing w:val="-2"/>
        </w:rPr>
        <w:t>1</w:t>
      </w:r>
      <w:r>
        <w:rPr>
          <w:rFonts w:ascii="Times New Roman" w:eastAsia="Times New Roman"/>
          <w:spacing w:val="-4"/>
        </w:rPr>
        <w:t> </w:t>
      </w:r>
      <w:r>
        <w:rPr>
          <w:spacing w:val="-2"/>
        </w:rPr>
        <w:t>日</w:t>
      </w:r>
      <w:r>
        <w:rPr>
          <w:spacing w:val="-130"/>
        </w:rPr>
        <w:t>）</w:t>
      </w:r>
      <w:r>
        <w:rPr>
          <w:spacing w:val="-2"/>
        </w:rPr>
        <w:t>。智慧醫療懶人包》八張圖，一次搞懂智慧醫療的定義、應用與台灣的挑戰。檢自：</w:t>
      </w:r>
    </w:p>
    <w:p>
      <w:pPr>
        <w:pStyle w:val="BodyText"/>
        <w:spacing w:before="133"/>
        <w:ind w:left="601"/>
        <w:jc w:val="left"/>
        <w:rPr>
          <w:rFonts w:ascii="Times New Roman"/>
        </w:rPr>
      </w:pPr>
      <w:r>
        <w:rPr>
          <w:rFonts w:ascii="Times New Roman"/>
        </w:rPr>
        <w:drawing>
          <wp:anchor distT="0" distB="0" distL="0" distR="0" allowOverlap="1" layoutInCell="1" locked="0" behindDoc="1" simplePos="0" relativeHeight="485841920">
            <wp:simplePos x="0" y="0"/>
            <wp:positionH relativeFrom="page">
              <wp:posOffset>3312414</wp:posOffset>
            </wp:positionH>
            <wp:positionV relativeFrom="paragraph">
              <wp:posOffset>136625</wp:posOffset>
            </wp:positionV>
            <wp:extent cx="929640" cy="978408"/>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6" cstate="print"/>
                    <a:stretch>
                      <a:fillRect/>
                    </a:stretch>
                  </pic:blipFill>
                  <pic:spPr>
                    <a:xfrm>
                      <a:off x="0" y="0"/>
                      <a:ext cx="929640" cy="978408"/>
                    </a:xfrm>
                    <a:prstGeom prst="rect">
                      <a:avLst/>
                    </a:prstGeom>
                  </pic:spPr>
                </pic:pic>
              </a:graphicData>
            </a:graphic>
          </wp:anchor>
        </w:drawing>
      </w:r>
      <w:hyperlink r:id="rId132">
        <w:r>
          <w:rPr>
            <w:rFonts w:ascii="Times New Roman"/>
            <w:spacing w:val="-2"/>
          </w:rPr>
          <w:t>https://futurecity.cw.com.tw/article/1916</w:t>
        </w:r>
      </w:hyperlink>
    </w:p>
    <w:p>
      <w:pPr>
        <w:pStyle w:val="BodyText"/>
        <w:spacing w:before="68"/>
        <w:ind w:left="0"/>
        <w:jc w:val="left"/>
        <w:rPr>
          <w:rFonts w:ascii="Times New Roman"/>
        </w:rPr>
      </w:pPr>
    </w:p>
    <w:p>
      <w:pPr>
        <w:pStyle w:val="BodyText"/>
        <w:spacing w:before="1"/>
        <w:ind w:left="2"/>
        <w:jc w:val="left"/>
      </w:pPr>
      <w:r>
        <w:rPr>
          <w:spacing w:val="-19"/>
        </w:rPr>
        <w:t>國家發展委員會。</w:t>
      </w:r>
      <w:r>
        <w:rPr>
          <w:spacing w:val="-2"/>
        </w:rPr>
        <w:t>（</w:t>
      </w:r>
      <w:r>
        <w:rPr>
          <w:rFonts w:ascii="Times New Roman" w:eastAsia="Times New Roman"/>
          <w:spacing w:val="-2"/>
        </w:rPr>
        <w:t>2017</w:t>
      </w:r>
      <w:r>
        <w:rPr>
          <w:rFonts w:ascii="Times New Roman" w:eastAsia="Times New Roman"/>
          <w:spacing w:val="2"/>
        </w:rPr>
        <w:t> </w:t>
      </w:r>
      <w:r>
        <w:rPr>
          <w:spacing w:val="-30"/>
        </w:rPr>
        <w:t>年 </w:t>
      </w:r>
      <w:r>
        <w:rPr>
          <w:rFonts w:ascii="Times New Roman" w:eastAsia="Times New Roman"/>
          <w:spacing w:val="-2"/>
        </w:rPr>
        <w:t>4</w:t>
      </w:r>
      <w:r>
        <w:rPr>
          <w:rFonts w:ascii="Times New Roman" w:eastAsia="Times New Roman"/>
          <w:spacing w:val="3"/>
        </w:rPr>
        <w:t> </w:t>
      </w:r>
      <w:r>
        <w:rPr>
          <w:spacing w:val="-30"/>
        </w:rPr>
        <w:t>月 </w:t>
      </w:r>
      <w:r>
        <w:rPr>
          <w:rFonts w:ascii="Times New Roman" w:eastAsia="Times New Roman"/>
          <w:spacing w:val="-2"/>
        </w:rPr>
        <w:t>1</w:t>
      </w:r>
      <w:r>
        <w:rPr>
          <w:rFonts w:ascii="Times New Roman" w:eastAsia="Times New Roman"/>
          <w:spacing w:val="3"/>
        </w:rPr>
        <w:t> </w:t>
      </w:r>
      <w:r>
        <w:rPr>
          <w:spacing w:val="-2"/>
        </w:rPr>
        <w:t>日</w:t>
      </w:r>
      <w:r>
        <w:rPr>
          <w:spacing w:val="-132"/>
        </w:rPr>
        <w:t>）</w:t>
      </w:r>
      <w:r>
        <w:rPr>
          <w:spacing w:val="-3"/>
        </w:rPr>
        <w:t>。智慧醫療關鍵議題與對策之研究。檢自：</w:t>
      </w:r>
    </w:p>
    <w:p>
      <w:pPr>
        <w:pStyle w:val="BodyText"/>
        <w:spacing w:before="61"/>
        <w:ind w:left="0"/>
        <w:jc w:val="left"/>
      </w:pPr>
    </w:p>
    <w:p>
      <w:pPr>
        <w:pStyle w:val="BodyText"/>
        <w:spacing w:line="470" w:lineRule="auto"/>
        <w:ind w:left="481"/>
        <w:jc w:val="left"/>
        <w:rPr>
          <w:rFonts w:ascii="Times New Roman"/>
        </w:rPr>
      </w:pPr>
      <w:r>
        <w:rPr>
          <w:rFonts w:ascii="Times New Roman"/>
          <w:spacing w:val="-2"/>
        </w:rPr>
        <w:t>https://ws.ndc.gov.tw/Download.ashx?u=LzAwMS9hZG1pbmlzdHJhdG9yLzEw L3JlbGZpbGUvNTY0NC8yNzE1OC8xZDIwZjcwYS00YzhlLTQwZWQtYWY4 ZC0xZmM1NWIxMDI0OWUucGRm&amp;n=5pm65oWn6Yar55mCX%2Be1kOahi OWgseWRil8yMDE3MDQxMV9SMi5wZGY%3D&amp;icon=..pdf</w:t>
      </w:r>
    </w:p>
    <w:p>
      <w:pPr>
        <w:pStyle w:val="BodyText"/>
        <w:spacing w:line="422" w:lineRule="auto" w:before="76"/>
        <w:ind w:left="481" w:right="400" w:hanging="480"/>
        <w:jc w:val="left"/>
      </w:pPr>
      <w:r>
        <w:rPr>
          <w:spacing w:val="-35"/>
        </w:rPr>
        <w:t>歐芯萌。</w:t>
      </w:r>
      <w:r>
        <w:rPr/>
        <w:t>（</w:t>
      </w:r>
      <w:r>
        <w:rPr>
          <w:rFonts w:ascii="Times New Roman" w:eastAsia="Times New Roman"/>
        </w:rPr>
        <w:t>2023</w:t>
      </w:r>
      <w:r>
        <w:rPr>
          <w:rFonts w:ascii="Times New Roman" w:eastAsia="Times New Roman"/>
          <w:spacing w:val="-15"/>
        </w:rPr>
        <w:t> </w:t>
      </w:r>
      <w:r>
        <w:rPr>
          <w:spacing w:val="-30"/>
        </w:rPr>
        <w:t>年 </w:t>
      </w:r>
      <w:r>
        <w:rPr>
          <w:rFonts w:ascii="Times New Roman" w:eastAsia="Times New Roman"/>
        </w:rPr>
        <w:t>1</w:t>
      </w:r>
      <w:r>
        <w:rPr>
          <w:rFonts w:ascii="Times New Roman" w:eastAsia="Times New Roman"/>
          <w:spacing w:val="-15"/>
        </w:rPr>
        <w:t> </w:t>
      </w:r>
      <w:r>
        <w:rPr>
          <w:spacing w:val="-30"/>
        </w:rPr>
        <w:t>月 </w:t>
      </w:r>
      <w:r>
        <w:rPr>
          <w:rFonts w:ascii="Times New Roman" w:eastAsia="Times New Roman"/>
        </w:rPr>
        <w:t>19</w:t>
      </w:r>
      <w:r>
        <w:rPr>
          <w:rFonts w:ascii="Times New Roman" w:eastAsia="Times New Roman"/>
          <w:spacing w:val="-15"/>
        </w:rPr>
        <w:t> </w:t>
      </w:r>
      <w:r>
        <w:rPr/>
        <w:t>日</w:t>
      </w:r>
      <w:r>
        <w:rPr>
          <w:spacing w:val="-140"/>
        </w:rPr>
        <w:t>）</w:t>
      </w:r>
      <w:r>
        <w:rPr>
          <w:spacing w:val="-2"/>
        </w:rPr>
        <w:t>。智慧照顧到元宇宙－智慧照顧更進化 科技業布局照護領域。檢自：</w:t>
      </w:r>
    </w:p>
    <w:p>
      <w:pPr>
        <w:pStyle w:val="BodyText"/>
        <w:spacing w:before="134"/>
        <w:ind w:left="601"/>
        <w:jc w:val="left"/>
        <w:rPr>
          <w:rFonts w:ascii="Times New Roman"/>
        </w:rPr>
      </w:pPr>
      <w:r>
        <w:rPr>
          <w:rFonts w:ascii="Times New Roman"/>
          <w:spacing w:val="-2"/>
        </w:rPr>
        <w:t>https:/</w:t>
      </w:r>
      <w:hyperlink r:id="rId133">
        <w:r>
          <w:rPr>
            <w:rFonts w:ascii="Times New Roman"/>
            <w:spacing w:val="-2"/>
          </w:rPr>
          <w:t>/www.ankecare.com/article/2349-2023-01-15-06-15-</w:t>
        </w:r>
        <w:r>
          <w:rPr>
            <w:rFonts w:ascii="Times New Roman"/>
            <w:spacing w:val="-5"/>
          </w:rPr>
          <w:t>42</w:t>
        </w:r>
      </w:hyperlink>
    </w:p>
    <w:p>
      <w:pPr>
        <w:pStyle w:val="BodyText"/>
        <w:spacing w:before="68"/>
        <w:ind w:left="0"/>
        <w:jc w:val="left"/>
        <w:rPr>
          <w:rFonts w:ascii="Times New Roman"/>
        </w:rPr>
      </w:pPr>
    </w:p>
    <w:p>
      <w:pPr>
        <w:pStyle w:val="BodyText"/>
        <w:spacing w:line="432" w:lineRule="auto"/>
        <w:ind w:left="481" w:right="398" w:hanging="480"/>
        <w:rPr>
          <w:rFonts w:ascii="Times New Roman" w:eastAsia="Times New Roman"/>
        </w:rPr>
      </w:pPr>
      <w:r>
        <w:rPr>
          <w:spacing w:val="-15"/>
        </w:rPr>
        <w:t>工業技術研究院。</w:t>
      </w:r>
      <w:r>
        <w:rPr/>
        <w:t>（</w:t>
      </w:r>
      <w:r>
        <w:rPr>
          <w:rFonts w:ascii="Times New Roman" w:eastAsia="Times New Roman"/>
        </w:rPr>
        <w:t>2020</w:t>
      </w:r>
      <w:r>
        <w:rPr>
          <w:rFonts w:ascii="Times New Roman" w:eastAsia="Times New Roman"/>
          <w:spacing w:val="-15"/>
        </w:rPr>
        <w:t> </w:t>
      </w:r>
      <w:r>
        <w:rPr>
          <w:spacing w:val="-15"/>
        </w:rPr>
        <w:t>年 </w:t>
      </w:r>
      <w:r>
        <w:rPr>
          <w:rFonts w:ascii="Times New Roman" w:eastAsia="Times New Roman"/>
        </w:rPr>
        <w:t>8</w:t>
      </w:r>
      <w:r>
        <w:rPr>
          <w:rFonts w:ascii="Times New Roman" w:eastAsia="Times New Roman"/>
          <w:spacing w:val="-15"/>
        </w:rPr>
        <w:t> </w:t>
      </w:r>
      <w:r>
        <w:rPr>
          <w:spacing w:val="-15"/>
        </w:rPr>
        <w:t>月 </w:t>
      </w:r>
      <w:r>
        <w:rPr>
          <w:rFonts w:ascii="Times New Roman" w:eastAsia="Times New Roman"/>
        </w:rPr>
        <w:t>30</w:t>
      </w:r>
      <w:r>
        <w:rPr>
          <w:rFonts w:ascii="Times New Roman" w:eastAsia="Times New Roman"/>
          <w:spacing w:val="-15"/>
        </w:rPr>
        <w:t> </w:t>
      </w:r>
      <w:r>
        <w:rPr/>
        <w:t>日</w:t>
      </w:r>
      <w:r>
        <w:rPr>
          <w:spacing w:val="-120"/>
        </w:rPr>
        <w:t>）</w:t>
      </w:r>
      <w:r>
        <w:rPr/>
        <w:t>。工研院攜手產官學研醫組智慧長照大聯</w:t>
      </w:r>
      <w:r>
        <w:rPr>
          <w:spacing w:val="36"/>
        </w:rPr>
        <w:t>盟 以科技為照護加值 共創橘世代樂齡「心」商機。 檢自：</w:t>
      </w:r>
      <w:r>
        <w:rPr/>
        <w:t> </w:t>
      </w:r>
      <w:r>
        <w:rPr>
          <w:rFonts w:ascii="Times New Roman" w:eastAsia="Times New Roman"/>
          <w:spacing w:val="-2"/>
        </w:rPr>
        <w:t>https:/</w:t>
      </w:r>
      <w:hyperlink r:id="rId134">
        <w:r>
          <w:rPr>
            <w:rFonts w:ascii="Times New Roman" w:eastAsia="Times New Roman"/>
            <w:spacing w:val="-2"/>
          </w:rPr>
          <w:t>/www.itri.org.tw/ListStyle.aspx?DisplayStyle=01_content&amp;SiteID=1&amp;Mm</w:t>
        </w:r>
      </w:hyperlink>
    </w:p>
    <w:p>
      <w:pPr>
        <w:pStyle w:val="BodyText"/>
        <w:spacing w:before="45"/>
        <w:ind w:left="481"/>
        <w:jc w:val="left"/>
        <w:rPr>
          <w:rFonts w:ascii="Times New Roman"/>
        </w:rPr>
      </w:pPr>
      <w:r>
        <w:rPr>
          <w:rFonts w:ascii="Times New Roman"/>
          <w:spacing w:val="-2"/>
        </w:rPr>
        <w:t>mID=1036276263153520257&amp;MGID=109080312350967004</w:t>
      </w:r>
    </w:p>
    <w:p>
      <w:pPr>
        <w:pStyle w:val="BodyText"/>
        <w:spacing w:after="0"/>
        <w:jc w:val="left"/>
        <w:rPr>
          <w:rFonts w:ascii="Times New Roman"/>
        </w:rPr>
        <w:sectPr>
          <w:pgSz w:w="11910" w:h="16840"/>
          <w:pgMar w:header="0" w:footer="1197" w:top="1820" w:bottom="1380" w:left="1700" w:right="1417"/>
        </w:sectPr>
      </w:pPr>
    </w:p>
    <w:p>
      <w:pPr>
        <w:pStyle w:val="BodyText"/>
        <w:spacing w:line="422" w:lineRule="auto" w:before="47"/>
        <w:ind w:left="481" w:right="401" w:hanging="480"/>
        <w:jc w:val="left"/>
      </w:pPr>
      <w:r>
        <w:rPr>
          <w:spacing w:val="-33"/>
        </w:rPr>
        <w:t>王芊淩。</w:t>
      </w:r>
      <w:r>
        <w:rPr/>
        <w:t>（</w:t>
      </w:r>
      <w:r>
        <w:rPr>
          <w:rFonts w:ascii="Times New Roman" w:eastAsia="Times New Roman"/>
        </w:rPr>
        <w:t>2021</w:t>
      </w:r>
      <w:r>
        <w:rPr>
          <w:rFonts w:ascii="Times New Roman" w:eastAsia="Times New Roman"/>
          <w:spacing w:val="-15"/>
        </w:rPr>
        <w:t> </w:t>
      </w:r>
      <w:r>
        <w:rPr>
          <w:spacing w:val="-30"/>
        </w:rPr>
        <w:t>年 </w:t>
      </w:r>
      <w:r>
        <w:rPr>
          <w:rFonts w:ascii="Times New Roman" w:eastAsia="Times New Roman"/>
        </w:rPr>
        <w:t>12</w:t>
      </w:r>
      <w:r>
        <w:rPr>
          <w:rFonts w:ascii="Times New Roman" w:eastAsia="Times New Roman"/>
          <w:spacing w:val="-15"/>
        </w:rPr>
        <w:t> </w:t>
      </w:r>
      <w:r>
        <w:rPr>
          <w:spacing w:val="-30"/>
        </w:rPr>
        <w:t>月 </w:t>
      </w:r>
      <w:r>
        <w:rPr>
          <w:rFonts w:ascii="Times New Roman" w:eastAsia="Times New Roman"/>
        </w:rPr>
        <w:t>28</w:t>
      </w:r>
      <w:r>
        <w:rPr>
          <w:rFonts w:ascii="Times New Roman" w:eastAsia="Times New Roman"/>
          <w:spacing w:val="-15"/>
        </w:rPr>
        <w:t> </w:t>
      </w:r>
      <w:r>
        <w:rPr/>
        <w:t>日</w:t>
      </w:r>
      <w:r>
        <w:rPr>
          <w:spacing w:val="-130"/>
        </w:rPr>
        <w:t>）</w:t>
      </w:r>
      <w:r>
        <w:rPr>
          <w:spacing w:val="-7"/>
        </w:rPr>
        <w:t>。台灣 </w:t>
      </w:r>
      <w:r>
        <w:rPr>
          <w:rFonts w:ascii="Times New Roman" w:eastAsia="Times New Roman"/>
        </w:rPr>
        <w:t>2025</w:t>
      </w:r>
      <w:r>
        <w:rPr>
          <w:rFonts w:ascii="Times New Roman" w:eastAsia="Times New Roman"/>
          <w:spacing w:val="40"/>
        </w:rPr>
        <w:t> </w:t>
      </w:r>
      <w:r>
        <w:rPr/>
        <w:t>年邁入「超老齡化」社會！智慧照顧</w:t>
      </w:r>
      <w:r>
        <w:rPr>
          <w:spacing w:val="-2"/>
        </w:rPr>
        <w:t>成未來新趨勢。檢自：</w:t>
      </w:r>
    </w:p>
    <w:p>
      <w:pPr>
        <w:pStyle w:val="BodyText"/>
        <w:spacing w:before="133"/>
        <w:ind w:left="601"/>
        <w:jc w:val="left"/>
        <w:rPr>
          <w:rFonts w:ascii="Times New Roman"/>
        </w:rPr>
      </w:pPr>
      <w:r>
        <w:rPr>
          <w:rFonts w:ascii="Times New Roman"/>
          <w:spacing w:val="-2"/>
        </w:rPr>
        <w:t>https://heho.com.tw/archives/200203</w:t>
      </w:r>
    </w:p>
    <w:p>
      <w:pPr>
        <w:pStyle w:val="BodyText"/>
        <w:spacing w:before="68"/>
        <w:ind w:left="0"/>
        <w:jc w:val="left"/>
        <w:rPr>
          <w:rFonts w:ascii="Times New Roman"/>
        </w:rPr>
      </w:pPr>
    </w:p>
    <w:p>
      <w:pPr>
        <w:pStyle w:val="BodyText"/>
        <w:ind w:left="2"/>
        <w:jc w:val="left"/>
      </w:pPr>
      <w:r>
        <w:rPr>
          <w:rFonts w:ascii="Times New Roman" w:eastAsia="Times New Roman"/>
        </w:rPr>
        <w:t>KPMG</w:t>
      </w:r>
      <w:r>
        <w:rPr>
          <w:spacing w:val="-120"/>
        </w:rPr>
        <w:t>。</w:t>
      </w:r>
      <w:r>
        <w:rPr/>
        <w:t>（</w:t>
      </w:r>
      <w:r>
        <w:rPr>
          <w:rFonts w:ascii="Times New Roman" w:eastAsia="Times New Roman"/>
        </w:rPr>
        <w:t>2022</w:t>
      </w:r>
      <w:r>
        <w:rPr>
          <w:rFonts w:ascii="Times New Roman" w:eastAsia="Times New Roman"/>
          <w:spacing w:val="-9"/>
        </w:rPr>
        <w:t> </w:t>
      </w:r>
      <w:r>
        <w:rPr>
          <w:spacing w:val="-30"/>
        </w:rPr>
        <w:t>年 </w:t>
      </w:r>
      <w:r>
        <w:rPr>
          <w:rFonts w:ascii="Times New Roman" w:eastAsia="Times New Roman"/>
        </w:rPr>
        <w:t>11</w:t>
      </w:r>
      <w:r>
        <w:rPr>
          <w:rFonts w:ascii="Times New Roman" w:eastAsia="Times New Roman"/>
          <w:spacing w:val="-4"/>
        </w:rPr>
        <w:t> </w:t>
      </w:r>
      <w:r>
        <w:rPr/>
        <w:t>月</w:t>
      </w:r>
      <w:r>
        <w:rPr>
          <w:spacing w:val="-120"/>
        </w:rPr>
        <w:t>）</w:t>
      </w:r>
      <w:r>
        <w:rPr>
          <w:spacing w:val="-1"/>
        </w:rPr>
        <w:t>。智慧照護創新趨勢調查。檢自：</w:t>
      </w:r>
    </w:p>
    <w:p>
      <w:pPr>
        <w:pStyle w:val="BodyText"/>
        <w:spacing w:before="61"/>
        <w:ind w:left="0"/>
        <w:jc w:val="left"/>
      </w:pPr>
    </w:p>
    <w:p>
      <w:pPr>
        <w:pStyle w:val="BodyText"/>
        <w:tabs>
          <w:tab w:pos="1425" w:val="left" w:leader="none"/>
        </w:tabs>
        <w:spacing w:line="470" w:lineRule="auto"/>
        <w:ind w:left="122" w:right="625"/>
        <w:jc w:val="left"/>
        <w:rPr>
          <w:rFonts w:ascii="Times New Roman"/>
        </w:rPr>
      </w:pPr>
      <w:r>
        <w:rPr>
          <w:rFonts w:ascii="Times New Roman"/>
          <w:spacing w:val="-2"/>
        </w:rPr>
        <w:t>https://kpmg.com/tw/zh/home/media/press-releases/2022/11/kpmg-released-digital- healthcare-</w:t>
      </w:r>
      <w:r>
        <w:rPr>
          <w:rFonts w:ascii="Times New Roman"/>
        </w:rPr>
        <w:tab/>
      </w:r>
      <w:r>
        <w:rPr>
          <w:rFonts w:ascii="Times New Roman"/>
          <w:spacing w:val="-2"/>
        </w:rPr>
        <w:t>survey.html</w:t>
      </w:r>
    </w:p>
    <w:p>
      <w:pPr>
        <w:pStyle w:val="BodyText"/>
        <w:tabs>
          <w:tab w:pos="1681" w:val="left" w:leader="none"/>
        </w:tabs>
        <w:spacing w:line="422" w:lineRule="auto" w:before="79"/>
        <w:ind w:left="481" w:right="399" w:hanging="480"/>
        <w:jc w:val="left"/>
      </w:pPr>
      <w:r>
        <w:rPr>
          <w:spacing w:val="-2"/>
        </w:rPr>
        <w:t>黃泓瑜</w:t>
      </w:r>
      <w:r>
        <w:rPr>
          <w:spacing w:val="-132"/>
        </w:rPr>
        <w:t>。</w:t>
      </w:r>
      <w:r>
        <w:rPr>
          <w:spacing w:val="-2"/>
        </w:rPr>
        <w:t>（</w:t>
      </w:r>
      <w:r>
        <w:rPr>
          <w:rFonts w:ascii="Times New Roman" w:eastAsia="Times New Roman"/>
          <w:spacing w:val="-2"/>
        </w:rPr>
        <w:t>2021</w:t>
      </w:r>
      <w:r>
        <w:rPr>
          <w:rFonts w:ascii="Times New Roman" w:eastAsia="Times New Roman"/>
          <w:spacing w:val="-6"/>
        </w:rPr>
        <w:t> </w:t>
      </w:r>
      <w:r>
        <w:rPr>
          <w:spacing w:val="-2"/>
        </w:rPr>
        <w:t>年</w:t>
      </w:r>
      <w:r>
        <w:rPr>
          <w:spacing w:val="-60"/>
        </w:rPr>
        <w:t> </w:t>
      </w:r>
      <w:r>
        <w:rPr>
          <w:rFonts w:ascii="Times New Roman" w:eastAsia="Times New Roman"/>
          <w:spacing w:val="-2"/>
        </w:rPr>
        <w:t>12 </w:t>
      </w:r>
      <w:r>
        <w:rPr>
          <w:spacing w:val="-2"/>
        </w:rPr>
        <w:t>月</w:t>
      </w:r>
      <w:r>
        <w:rPr>
          <w:spacing w:val="-60"/>
        </w:rPr>
        <w:t> </w:t>
      </w:r>
      <w:r>
        <w:rPr>
          <w:rFonts w:ascii="Times New Roman" w:eastAsia="Times New Roman"/>
          <w:spacing w:val="-2"/>
        </w:rPr>
        <w:t>27 </w:t>
      </w:r>
      <w:r>
        <w:rPr>
          <w:spacing w:val="-2"/>
        </w:rPr>
        <w:t>日</w:t>
      </w:r>
      <w:r>
        <w:rPr>
          <w:spacing w:val="-132"/>
        </w:rPr>
        <w:t>）</w:t>
      </w:r>
      <w:r>
        <w:rPr>
          <w:spacing w:val="-2"/>
        </w:rPr>
        <w:t>。照顧產業大整合｜科技篇：從資訊化邁向智慧</w:t>
      </w:r>
      <w:r>
        <w:rPr>
          <w:spacing w:val="-2"/>
        </w:rPr>
        <w:t>化</w:t>
      </w:r>
      <w:r>
        <w:rPr>
          <w:spacing w:val="-4"/>
        </w:rPr>
        <w:t>智慧健康</w:t>
      </w:r>
      <w:r>
        <w:rPr/>
        <w:tab/>
      </w:r>
      <w:r>
        <w:rPr>
          <w:spacing w:val="-2"/>
        </w:rPr>
        <w:t>照顧產業大未來。檢自：</w:t>
      </w:r>
    </w:p>
    <w:p>
      <w:pPr>
        <w:pStyle w:val="BodyText"/>
        <w:spacing w:before="133"/>
        <w:ind w:left="601"/>
        <w:jc w:val="left"/>
        <w:rPr>
          <w:rFonts w:ascii="Times New Roman"/>
        </w:rPr>
      </w:pPr>
      <w:r>
        <w:rPr>
          <w:rFonts w:ascii="Times New Roman"/>
          <w:spacing w:val="-2"/>
        </w:rPr>
        <w:t>https:/</w:t>
      </w:r>
      <w:hyperlink r:id="rId135">
        <w:r>
          <w:rPr>
            <w:rFonts w:ascii="Times New Roman"/>
            <w:spacing w:val="-2"/>
          </w:rPr>
          <w:t>/www.ankecare.com/article/1707-2021-12-27-03-29-</w:t>
        </w:r>
        <w:r>
          <w:rPr>
            <w:rFonts w:ascii="Times New Roman"/>
            <w:spacing w:val="-5"/>
          </w:rPr>
          <w:t>12</w:t>
        </w:r>
      </w:hyperlink>
    </w:p>
    <w:p>
      <w:pPr>
        <w:pStyle w:val="BodyText"/>
        <w:spacing w:before="68"/>
        <w:ind w:left="0"/>
        <w:jc w:val="left"/>
        <w:rPr>
          <w:rFonts w:ascii="Times New Roman"/>
        </w:rPr>
      </w:pPr>
    </w:p>
    <w:p>
      <w:pPr>
        <w:pStyle w:val="BodyText"/>
        <w:spacing w:before="1"/>
        <w:ind w:left="2"/>
        <w:jc w:val="left"/>
      </w:pPr>
      <w:r>
        <w:rPr/>
        <w:drawing>
          <wp:anchor distT="0" distB="0" distL="0" distR="0" allowOverlap="1" layoutInCell="1" locked="0" behindDoc="1" simplePos="0" relativeHeight="485842432">
            <wp:simplePos x="0" y="0"/>
            <wp:positionH relativeFrom="page">
              <wp:posOffset>3312414</wp:posOffset>
            </wp:positionH>
            <wp:positionV relativeFrom="paragraph">
              <wp:posOffset>184318</wp:posOffset>
            </wp:positionV>
            <wp:extent cx="929640" cy="978408"/>
            <wp:effectExtent l="0" t="0" r="0" b="0"/>
            <wp:wrapNone/>
            <wp:docPr id="278" name="Image 278"/>
            <wp:cNvGraphicFramePr>
              <a:graphicFrameLocks/>
            </wp:cNvGraphicFramePr>
            <a:graphic>
              <a:graphicData uri="http://schemas.openxmlformats.org/drawingml/2006/picture">
                <pic:pic>
                  <pic:nvPicPr>
                    <pic:cNvPr id="278" name="Image 278"/>
                    <pic:cNvPicPr/>
                  </pic:nvPicPr>
                  <pic:blipFill>
                    <a:blip r:embed="rId6" cstate="print"/>
                    <a:stretch>
                      <a:fillRect/>
                    </a:stretch>
                  </pic:blipFill>
                  <pic:spPr>
                    <a:xfrm>
                      <a:off x="0" y="0"/>
                      <a:ext cx="929640" cy="978408"/>
                    </a:xfrm>
                    <a:prstGeom prst="rect">
                      <a:avLst/>
                    </a:prstGeom>
                  </pic:spPr>
                </pic:pic>
              </a:graphicData>
            </a:graphic>
          </wp:anchor>
        </w:drawing>
      </w:r>
      <w:r>
        <w:rPr>
          <w:spacing w:val="-39"/>
        </w:rPr>
        <w:t>中央社。</w:t>
      </w:r>
      <w:r>
        <w:rPr>
          <w:spacing w:val="-4"/>
        </w:rPr>
        <w:t>（</w:t>
      </w:r>
      <w:r>
        <w:rPr>
          <w:rFonts w:ascii="Times New Roman" w:eastAsia="Times New Roman"/>
          <w:spacing w:val="-4"/>
        </w:rPr>
        <w:t>2024</w:t>
      </w:r>
      <w:r>
        <w:rPr>
          <w:rFonts w:ascii="Times New Roman" w:eastAsia="Times New Roman"/>
          <w:spacing w:val="-11"/>
        </w:rPr>
        <w:t> </w:t>
      </w:r>
      <w:r>
        <w:rPr>
          <w:spacing w:val="-32"/>
        </w:rPr>
        <w:t>年 </w:t>
      </w:r>
      <w:r>
        <w:rPr>
          <w:rFonts w:ascii="Times New Roman" w:eastAsia="Times New Roman"/>
          <w:spacing w:val="-4"/>
        </w:rPr>
        <w:t>11</w:t>
      </w:r>
      <w:r>
        <w:rPr>
          <w:rFonts w:ascii="Times New Roman" w:eastAsia="Times New Roman"/>
          <w:spacing w:val="-1"/>
        </w:rPr>
        <w:t> </w:t>
      </w:r>
      <w:r>
        <w:rPr>
          <w:spacing w:val="-32"/>
        </w:rPr>
        <w:t>月 </w:t>
      </w:r>
      <w:r>
        <w:rPr>
          <w:rFonts w:ascii="Times New Roman" w:eastAsia="Times New Roman"/>
          <w:spacing w:val="-4"/>
        </w:rPr>
        <w:t>8</w:t>
      </w:r>
      <w:r>
        <w:rPr>
          <w:rFonts w:ascii="Times New Roman" w:eastAsia="Times New Roman"/>
          <w:spacing w:val="-2"/>
        </w:rPr>
        <w:t> </w:t>
      </w:r>
      <w:r>
        <w:rPr>
          <w:spacing w:val="-4"/>
        </w:rPr>
        <w:t>日</w:t>
      </w:r>
      <w:r>
        <w:rPr>
          <w:spacing w:val="-142"/>
        </w:rPr>
        <w:t>）</w:t>
      </w:r>
      <w:r>
        <w:rPr>
          <w:spacing w:val="-5"/>
        </w:rPr>
        <w:t>。台灣超高齡社會來襲，長照市場商機起飛。檢自：</w:t>
      </w:r>
    </w:p>
    <w:p>
      <w:pPr>
        <w:pStyle w:val="BodyText"/>
        <w:spacing w:before="60"/>
        <w:ind w:left="0"/>
        <w:jc w:val="left"/>
      </w:pPr>
    </w:p>
    <w:p>
      <w:pPr>
        <w:pStyle w:val="BodyText"/>
        <w:spacing w:before="1"/>
        <w:ind w:left="481"/>
        <w:jc w:val="left"/>
        <w:rPr>
          <w:rFonts w:ascii="Times New Roman"/>
        </w:rPr>
      </w:pPr>
      <w:r>
        <w:rPr>
          <w:rFonts w:ascii="Times New Roman"/>
          <w:spacing w:val="-2"/>
        </w:rPr>
        <w:t>https://udn.com/news/story/7314/8347867</w:t>
      </w:r>
    </w:p>
    <w:p>
      <w:pPr>
        <w:pStyle w:val="BodyText"/>
        <w:spacing w:before="68"/>
        <w:ind w:left="0"/>
        <w:jc w:val="left"/>
        <w:rPr>
          <w:rFonts w:ascii="Times New Roman"/>
        </w:rPr>
      </w:pPr>
    </w:p>
    <w:p>
      <w:pPr>
        <w:pStyle w:val="BodyText"/>
        <w:spacing w:line="422" w:lineRule="auto"/>
        <w:ind w:left="481" w:right="398" w:hanging="480"/>
        <w:jc w:val="left"/>
      </w:pPr>
      <w:r>
        <w:rPr>
          <w:spacing w:val="-30"/>
        </w:rPr>
        <w:t>劉軒彤。</w:t>
      </w:r>
      <w:r>
        <w:rPr/>
        <w:t>（</w:t>
      </w:r>
      <w:r>
        <w:rPr>
          <w:rFonts w:ascii="Times New Roman" w:eastAsia="Times New Roman"/>
        </w:rPr>
        <w:t>2023</w:t>
      </w:r>
      <w:r>
        <w:rPr>
          <w:rFonts w:ascii="Times New Roman" w:eastAsia="Times New Roman"/>
          <w:spacing w:val="-12"/>
        </w:rPr>
        <w:t> </w:t>
      </w:r>
      <w:r>
        <w:rPr>
          <w:spacing w:val="-26"/>
        </w:rPr>
        <w:t>年 </w:t>
      </w:r>
      <w:r>
        <w:rPr>
          <w:rFonts w:ascii="Times New Roman" w:eastAsia="Times New Roman"/>
        </w:rPr>
        <w:t>7 </w:t>
      </w:r>
      <w:r>
        <w:rPr>
          <w:spacing w:val="-27"/>
        </w:rPr>
        <w:t>月 </w:t>
      </w:r>
      <w:r>
        <w:rPr>
          <w:rFonts w:ascii="Times New Roman" w:eastAsia="Times New Roman"/>
        </w:rPr>
        <w:t>11 </w:t>
      </w:r>
      <w:r>
        <w:rPr/>
        <w:t>日</w:t>
      </w:r>
      <w:r>
        <w:rPr>
          <w:spacing w:val="-120"/>
        </w:rPr>
        <w:t>）</w:t>
      </w:r>
      <w:r>
        <w:rPr>
          <w:spacing w:val="-4"/>
        </w:rPr>
        <w:t>。鄭麗君：拚明年上半年推長照 </w:t>
      </w:r>
      <w:r>
        <w:rPr>
          <w:rFonts w:ascii="Times New Roman" w:eastAsia="Times New Roman"/>
        </w:rPr>
        <w:t>3.0</w:t>
      </w:r>
      <w:r>
        <w:rPr>
          <w:rFonts w:ascii="Times New Roman" w:eastAsia="Times New Roman"/>
          <w:spacing w:val="40"/>
        </w:rPr>
        <w:t> </w:t>
      </w:r>
      <w:r>
        <w:rPr/>
        <w:t>照顧醫療一體</w:t>
      </w:r>
      <w:r>
        <w:rPr>
          <w:spacing w:val="-2"/>
        </w:rPr>
        <w:t>化。檢自：</w:t>
      </w:r>
    </w:p>
    <w:p>
      <w:pPr>
        <w:pStyle w:val="BodyText"/>
        <w:spacing w:before="134"/>
        <w:ind w:left="601"/>
        <w:jc w:val="left"/>
        <w:rPr>
          <w:rFonts w:ascii="Times New Roman"/>
        </w:rPr>
      </w:pPr>
      <w:r>
        <w:rPr>
          <w:rFonts w:ascii="Times New Roman"/>
          <w:spacing w:val="-2"/>
        </w:rPr>
        <w:t>https:/</w:t>
      </w:r>
      <w:hyperlink r:id="rId136">
        <w:r>
          <w:rPr>
            <w:rFonts w:ascii="Times New Roman"/>
            <w:spacing w:val="-2"/>
          </w:rPr>
          <w:t>/www.wealth.com.tw/articles/756e038d-b787-45f1-a885-693809ccc462</w:t>
        </w:r>
      </w:hyperlink>
    </w:p>
    <w:p>
      <w:pPr>
        <w:pStyle w:val="BodyText"/>
        <w:spacing w:before="67"/>
        <w:ind w:left="0"/>
        <w:jc w:val="left"/>
        <w:rPr>
          <w:rFonts w:ascii="Times New Roman"/>
        </w:rPr>
      </w:pPr>
    </w:p>
    <w:p>
      <w:pPr>
        <w:pStyle w:val="BodyText"/>
        <w:spacing w:line="422" w:lineRule="auto" w:before="1"/>
        <w:ind w:left="481" w:right="398" w:hanging="480"/>
        <w:jc w:val="left"/>
      </w:pPr>
      <w:r>
        <w:rPr>
          <w:spacing w:val="-10"/>
        </w:rPr>
        <w:t>勞動及職業安全衛生研究所。</w:t>
      </w:r>
      <w:r>
        <w:rPr/>
        <w:t>（</w:t>
      </w:r>
      <w:r>
        <w:rPr>
          <w:rFonts w:ascii="Times New Roman" w:eastAsia="Times New Roman"/>
        </w:rPr>
        <w:t>2024</w:t>
      </w:r>
      <w:r>
        <w:rPr>
          <w:rFonts w:ascii="Times New Roman" w:eastAsia="Times New Roman"/>
          <w:spacing w:val="-11"/>
        </w:rPr>
        <w:t> </w:t>
      </w:r>
      <w:r>
        <w:rPr>
          <w:spacing w:val="-26"/>
        </w:rPr>
        <w:t>年 </w:t>
      </w:r>
      <w:r>
        <w:rPr>
          <w:rFonts w:ascii="Times New Roman" w:eastAsia="Times New Roman"/>
        </w:rPr>
        <w:t>3 </w:t>
      </w:r>
      <w:r>
        <w:rPr>
          <w:spacing w:val="-25"/>
        </w:rPr>
        <w:t>月 </w:t>
      </w:r>
      <w:r>
        <w:rPr>
          <w:rFonts w:ascii="Times New Roman" w:eastAsia="Times New Roman"/>
        </w:rPr>
        <w:t>19 </w:t>
      </w:r>
      <w:r>
        <w:rPr/>
        <w:t>日</w:t>
      </w:r>
      <w:r>
        <w:rPr>
          <w:spacing w:val="-120"/>
        </w:rPr>
        <w:t>）</w:t>
      </w:r>
      <w:r>
        <w:rPr/>
        <w:t>。有效運用工作輔具，減輕照</w:t>
      </w:r>
      <w:r>
        <w:rPr>
          <w:spacing w:val="-2"/>
        </w:rPr>
        <w:t>服員作業負擔。檢自：</w:t>
      </w:r>
    </w:p>
    <w:p>
      <w:pPr>
        <w:pStyle w:val="BodyText"/>
        <w:spacing w:before="133"/>
        <w:ind w:left="601"/>
        <w:jc w:val="left"/>
        <w:rPr>
          <w:rFonts w:ascii="Times New Roman"/>
        </w:rPr>
      </w:pPr>
      <w:r>
        <w:rPr>
          <w:rFonts w:ascii="Times New Roman"/>
          <w:spacing w:val="-2"/>
        </w:rPr>
        <w:t>https:/</w:t>
      </w:r>
      <w:hyperlink r:id="rId137">
        <w:r>
          <w:rPr>
            <w:rFonts w:ascii="Times New Roman"/>
            <w:spacing w:val="-2"/>
          </w:rPr>
          <w:t>/www.mol.gov.tw/1607/1632/1633/67829/</w:t>
        </w:r>
      </w:hyperlink>
    </w:p>
    <w:p>
      <w:pPr>
        <w:pStyle w:val="BodyText"/>
        <w:spacing w:before="69"/>
        <w:ind w:left="0"/>
        <w:jc w:val="left"/>
        <w:rPr>
          <w:rFonts w:ascii="Times New Roman"/>
        </w:rPr>
      </w:pPr>
    </w:p>
    <w:p>
      <w:pPr>
        <w:pStyle w:val="BodyText"/>
        <w:spacing w:line="422" w:lineRule="auto"/>
        <w:ind w:left="481" w:right="400" w:hanging="480"/>
        <w:jc w:val="left"/>
      </w:pPr>
      <w:r>
        <w:rPr>
          <w:spacing w:val="-30"/>
        </w:rPr>
        <w:t>胡順惠。</w:t>
      </w:r>
      <w:r>
        <w:rPr/>
        <w:t>（</w:t>
      </w:r>
      <w:r>
        <w:rPr>
          <w:rFonts w:ascii="Times New Roman" w:eastAsia="Times New Roman"/>
        </w:rPr>
        <w:t>2024</w:t>
      </w:r>
      <w:r>
        <w:rPr>
          <w:rFonts w:ascii="Times New Roman" w:eastAsia="Times New Roman"/>
          <w:spacing w:val="-15"/>
        </w:rPr>
        <w:t> </w:t>
      </w:r>
      <w:r>
        <w:rPr>
          <w:spacing w:val="-29"/>
        </w:rPr>
        <w:t>年 </w:t>
      </w:r>
      <w:r>
        <w:rPr>
          <w:rFonts w:ascii="Times New Roman" w:eastAsia="Times New Roman"/>
        </w:rPr>
        <w:t>4</w:t>
      </w:r>
      <w:r>
        <w:rPr>
          <w:rFonts w:ascii="Times New Roman" w:eastAsia="Times New Roman"/>
          <w:spacing w:val="-2"/>
        </w:rPr>
        <w:t> </w:t>
      </w:r>
      <w:r>
        <w:rPr>
          <w:spacing w:val="-28"/>
        </w:rPr>
        <w:t>月 </w:t>
      </w:r>
      <w:r>
        <w:rPr>
          <w:rFonts w:ascii="Times New Roman" w:eastAsia="Times New Roman"/>
        </w:rPr>
        <w:t>7</w:t>
      </w:r>
      <w:r>
        <w:rPr>
          <w:rFonts w:ascii="Times New Roman" w:eastAsia="Times New Roman"/>
          <w:spacing w:val="-2"/>
        </w:rPr>
        <w:t> </w:t>
      </w:r>
      <w:r>
        <w:rPr/>
        <w:t>日</w:t>
      </w:r>
      <w:r>
        <w:rPr>
          <w:spacing w:val="-120"/>
        </w:rPr>
        <w:t>）</w:t>
      </w:r>
      <w:r>
        <w:rPr>
          <w:spacing w:val="-26"/>
        </w:rPr>
        <w:t>。【長照困境 </w:t>
      </w:r>
      <w:r>
        <w:rPr>
          <w:rFonts w:ascii="Times New Roman" w:eastAsia="Times New Roman"/>
        </w:rPr>
        <w:t>2-1</w:t>
      </w:r>
      <w:r>
        <w:rPr>
          <w:spacing w:val="-5"/>
        </w:rPr>
        <w:t>】老年人口竟是長照人力的 </w:t>
      </w:r>
      <w:r>
        <w:rPr>
          <w:rFonts w:ascii="Times New Roman" w:eastAsia="Times New Roman"/>
        </w:rPr>
        <w:t>44</w:t>
      </w:r>
      <w:r>
        <w:rPr>
          <w:rFonts w:ascii="Times New Roman" w:eastAsia="Times New Roman"/>
          <w:spacing w:val="-2"/>
        </w:rPr>
        <w:t> </w:t>
      </w:r>
      <w:r>
        <w:rPr/>
        <w:t>倍！</w:t>
      </w:r>
      <w:r>
        <w:rPr>
          <w:spacing w:val="-2"/>
        </w:rPr>
        <w:t>為何年輕人不願投入長照？。檢自：</w:t>
      </w:r>
    </w:p>
    <w:p>
      <w:pPr>
        <w:pStyle w:val="BodyText"/>
        <w:spacing w:before="133"/>
        <w:ind w:left="481"/>
        <w:jc w:val="left"/>
        <w:rPr>
          <w:rFonts w:ascii="Times New Roman"/>
        </w:rPr>
      </w:pPr>
      <w:r>
        <w:rPr>
          <w:rFonts w:ascii="Times New Roman"/>
          <w:spacing w:val="-2"/>
        </w:rPr>
        <w:t>https://udn.com/news/story/7314/8347867</w:t>
      </w:r>
    </w:p>
    <w:p>
      <w:pPr>
        <w:pStyle w:val="BodyText"/>
        <w:spacing w:before="68"/>
        <w:ind w:left="0"/>
        <w:jc w:val="left"/>
        <w:rPr>
          <w:rFonts w:ascii="Times New Roman"/>
        </w:rPr>
      </w:pPr>
    </w:p>
    <w:p>
      <w:pPr>
        <w:pStyle w:val="BodyText"/>
        <w:spacing w:line="422" w:lineRule="auto" w:before="1"/>
        <w:ind w:left="481" w:right="400" w:hanging="480"/>
        <w:jc w:val="left"/>
      </w:pPr>
      <w:r>
        <w:rPr>
          <w:spacing w:val="-24"/>
        </w:rPr>
        <w:t>天下雜誌。</w:t>
      </w:r>
      <w:r>
        <w:rPr/>
        <w:t>（</w:t>
      </w:r>
      <w:r>
        <w:rPr>
          <w:rFonts w:ascii="Times New Roman" w:eastAsia="Times New Roman"/>
        </w:rPr>
        <w:t>2023</w:t>
      </w:r>
      <w:r>
        <w:rPr>
          <w:rFonts w:ascii="Times New Roman" w:eastAsia="Times New Roman"/>
          <w:spacing w:val="-6"/>
        </w:rPr>
        <w:t> </w:t>
      </w:r>
      <w:r>
        <w:rPr>
          <w:spacing w:val="-25"/>
        </w:rPr>
        <w:t>年 </w:t>
      </w:r>
      <w:r>
        <w:rPr>
          <w:rFonts w:ascii="Times New Roman" w:eastAsia="Times New Roman"/>
        </w:rPr>
        <w:t>2 </w:t>
      </w:r>
      <w:r>
        <w:rPr>
          <w:spacing w:val="-26"/>
        </w:rPr>
        <w:t>月 </w:t>
      </w:r>
      <w:r>
        <w:rPr>
          <w:rFonts w:ascii="Times New Roman" w:eastAsia="Times New Roman"/>
        </w:rPr>
        <w:t>8 </w:t>
      </w:r>
      <w:r>
        <w:rPr/>
        <w:t>日</w:t>
      </w:r>
      <w:r>
        <w:rPr>
          <w:spacing w:val="-120"/>
        </w:rPr>
        <w:t>）</w:t>
      </w:r>
      <w:r>
        <w:rPr>
          <w:spacing w:val="-1"/>
        </w:rPr>
        <w:t>。諾亞克以台灣優勢推動精緻化服務 突圍長照產</w:t>
      </w:r>
      <w:r>
        <w:rPr>
          <w:spacing w:val="-2"/>
        </w:rPr>
        <w:t>業佈局全球。檢自：</w:t>
      </w:r>
    </w:p>
    <w:p>
      <w:pPr>
        <w:pStyle w:val="BodyText"/>
        <w:spacing w:after="0" w:line="422" w:lineRule="auto"/>
        <w:jc w:val="left"/>
        <w:sectPr>
          <w:pgSz w:w="11910" w:h="16840"/>
          <w:pgMar w:header="0" w:footer="1197" w:top="1740" w:bottom="1380" w:left="1700" w:right="1417"/>
        </w:sectPr>
      </w:pPr>
    </w:p>
    <w:p>
      <w:pPr>
        <w:pStyle w:val="BodyText"/>
        <w:spacing w:before="74"/>
        <w:ind w:left="481"/>
        <w:jc w:val="left"/>
        <w:rPr>
          <w:rFonts w:ascii="Times New Roman"/>
        </w:rPr>
      </w:pPr>
      <w:r>
        <w:rPr>
          <w:rFonts w:ascii="Times New Roman"/>
          <w:spacing w:val="-2"/>
        </w:rPr>
        <w:t>https:/</w:t>
      </w:r>
      <w:hyperlink r:id="rId138">
        <w:r>
          <w:rPr>
            <w:rFonts w:ascii="Times New Roman"/>
            <w:spacing w:val="-2"/>
          </w:rPr>
          <w:t>/www.cw.com.tw/article/5124568</w:t>
        </w:r>
      </w:hyperlink>
    </w:p>
    <w:p>
      <w:pPr>
        <w:pStyle w:val="BodyText"/>
        <w:spacing w:before="68"/>
        <w:ind w:left="0"/>
        <w:jc w:val="left"/>
        <w:rPr>
          <w:rFonts w:ascii="Times New Roman"/>
        </w:rPr>
      </w:pPr>
    </w:p>
    <w:p>
      <w:pPr>
        <w:pStyle w:val="BodyText"/>
        <w:spacing w:line="422" w:lineRule="auto" w:before="1"/>
        <w:ind w:left="481" w:right="399" w:hanging="480"/>
        <w:jc w:val="left"/>
      </w:pPr>
      <w:r>
        <w:rPr>
          <w:spacing w:val="-6"/>
        </w:rPr>
        <w:t>商業週刊</w:t>
      </w:r>
      <w:r>
        <w:rPr>
          <w:spacing w:val="-164"/>
        </w:rPr>
        <w:t>。</w:t>
      </w:r>
      <w:r>
        <w:rPr>
          <w:spacing w:val="-6"/>
        </w:rPr>
        <w:t>（</w:t>
      </w:r>
      <w:r>
        <w:rPr>
          <w:rFonts w:ascii="Times New Roman" w:eastAsia="Times New Roman"/>
          <w:spacing w:val="-6"/>
        </w:rPr>
        <w:t>2022</w:t>
      </w:r>
      <w:r>
        <w:rPr>
          <w:rFonts w:ascii="Times New Roman" w:eastAsia="Times New Roman"/>
          <w:spacing w:val="-9"/>
        </w:rPr>
        <w:t> </w:t>
      </w:r>
      <w:r>
        <w:rPr>
          <w:spacing w:val="-33"/>
        </w:rPr>
        <w:t>年 </w:t>
      </w:r>
      <w:r>
        <w:rPr>
          <w:rFonts w:ascii="Times New Roman" w:eastAsia="Times New Roman"/>
          <w:spacing w:val="-6"/>
        </w:rPr>
        <w:t>11</w:t>
      </w:r>
      <w:r>
        <w:rPr>
          <w:rFonts w:ascii="Times New Roman" w:eastAsia="Times New Roman"/>
          <w:spacing w:val="-9"/>
        </w:rPr>
        <w:t> </w:t>
      </w:r>
      <w:r>
        <w:rPr>
          <w:spacing w:val="-33"/>
        </w:rPr>
        <w:t>月 </w:t>
      </w:r>
      <w:r>
        <w:rPr>
          <w:rFonts w:ascii="Times New Roman" w:eastAsia="Times New Roman"/>
          <w:spacing w:val="-6"/>
        </w:rPr>
        <w:t>24</w:t>
      </w:r>
      <w:r>
        <w:rPr>
          <w:rFonts w:ascii="Times New Roman" w:eastAsia="Times New Roman"/>
          <w:spacing w:val="-9"/>
        </w:rPr>
        <w:t> </w:t>
      </w:r>
      <w:r>
        <w:rPr>
          <w:spacing w:val="-6"/>
        </w:rPr>
        <w:t>日</w:t>
      </w:r>
      <w:r>
        <w:rPr>
          <w:spacing w:val="-164"/>
        </w:rPr>
        <w:t>）</w:t>
      </w:r>
      <w:r>
        <w:rPr>
          <w:spacing w:val="-6"/>
        </w:rPr>
        <w:t>。深耕十年的諾亞克，為什麼能改造長照生態？。</w:t>
      </w:r>
      <w:r>
        <w:rPr>
          <w:spacing w:val="-4"/>
        </w:rPr>
        <w:t>檢自：</w:t>
      </w:r>
    </w:p>
    <w:p>
      <w:pPr>
        <w:pStyle w:val="BodyText"/>
        <w:spacing w:before="133"/>
        <w:ind w:left="481"/>
        <w:jc w:val="left"/>
        <w:rPr>
          <w:rFonts w:ascii="Times New Roman"/>
        </w:rPr>
      </w:pPr>
      <w:r>
        <w:rPr>
          <w:rFonts w:ascii="Times New Roman"/>
          <w:spacing w:val="-2"/>
        </w:rPr>
        <w:t>https:/</w:t>
      </w:r>
      <w:hyperlink r:id="rId139">
        <w:r>
          <w:rPr>
            <w:rFonts w:ascii="Times New Roman"/>
            <w:spacing w:val="-2"/>
          </w:rPr>
          <w:t>/www.businessweekly.com.tw/business/indep/1002865</w:t>
        </w:r>
      </w:hyperlink>
    </w:p>
    <w:p>
      <w:pPr>
        <w:pStyle w:val="BodyText"/>
        <w:spacing w:before="68"/>
        <w:ind w:left="0"/>
        <w:jc w:val="left"/>
        <w:rPr>
          <w:rFonts w:ascii="Times New Roman"/>
        </w:rPr>
      </w:pPr>
    </w:p>
    <w:p>
      <w:pPr>
        <w:pStyle w:val="BodyText"/>
        <w:spacing w:line="422" w:lineRule="auto"/>
        <w:ind w:left="481" w:right="400" w:hanging="480"/>
        <w:jc w:val="left"/>
      </w:pPr>
      <w:r>
        <w:rPr>
          <w:spacing w:val="-24"/>
        </w:rPr>
        <w:t>天下雜誌。</w:t>
      </w:r>
      <w:r>
        <w:rPr/>
        <w:t>（</w:t>
      </w:r>
      <w:r>
        <w:rPr>
          <w:rFonts w:ascii="Times New Roman" w:eastAsia="Times New Roman"/>
        </w:rPr>
        <w:t>2023</w:t>
      </w:r>
      <w:r>
        <w:rPr>
          <w:rFonts w:ascii="Times New Roman" w:eastAsia="Times New Roman"/>
          <w:spacing w:val="-6"/>
        </w:rPr>
        <w:t> </w:t>
      </w:r>
      <w:r>
        <w:rPr>
          <w:spacing w:val="-25"/>
        </w:rPr>
        <w:t>年 </w:t>
      </w:r>
      <w:r>
        <w:rPr>
          <w:rFonts w:ascii="Times New Roman" w:eastAsia="Times New Roman"/>
        </w:rPr>
        <w:t>1 </w:t>
      </w:r>
      <w:r>
        <w:rPr>
          <w:spacing w:val="-26"/>
        </w:rPr>
        <w:t>月 </w:t>
      </w:r>
      <w:r>
        <w:rPr>
          <w:rFonts w:ascii="Times New Roman" w:eastAsia="Times New Roman"/>
        </w:rPr>
        <w:t>9 </w:t>
      </w:r>
      <w:r>
        <w:rPr/>
        <w:t>日</w:t>
      </w:r>
      <w:r>
        <w:rPr>
          <w:spacing w:val="-120"/>
        </w:rPr>
        <w:t>）</w:t>
      </w:r>
      <w:r>
        <w:rPr>
          <w:spacing w:val="-1"/>
        </w:rPr>
        <w:t>。買下美國養老院，輸出台灣智慧長照 諾亞克科</w:t>
      </w:r>
      <w:r>
        <w:rPr>
          <w:spacing w:val="-2"/>
        </w:rPr>
        <w:t>技沈家平：市場小也是優勢。檢自：</w:t>
      </w:r>
    </w:p>
    <w:p>
      <w:pPr>
        <w:pStyle w:val="BodyText"/>
        <w:spacing w:before="134"/>
        <w:ind w:left="481"/>
        <w:jc w:val="left"/>
        <w:rPr>
          <w:rFonts w:ascii="Times New Roman"/>
        </w:rPr>
      </w:pPr>
      <w:r>
        <w:rPr>
          <w:rFonts w:ascii="Times New Roman"/>
          <w:spacing w:val="-2"/>
        </w:rPr>
        <w:t>https:/</w:t>
      </w:r>
      <w:hyperlink r:id="rId138">
        <w:r>
          <w:rPr>
            <w:rFonts w:ascii="Times New Roman"/>
            <w:spacing w:val="-2"/>
          </w:rPr>
          <w:t>/www.cw.com.tw/article/5124568</w:t>
        </w:r>
      </w:hyperlink>
    </w:p>
    <w:p>
      <w:pPr>
        <w:pStyle w:val="BodyText"/>
        <w:spacing w:before="68"/>
        <w:ind w:left="0"/>
        <w:jc w:val="left"/>
        <w:rPr>
          <w:rFonts w:ascii="Times New Roman"/>
        </w:rPr>
      </w:pPr>
    </w:p>
    <w:p>
      <w:pPr>
        <w:pStyle w:val="BodyText"/>
        <w:ind w:left="2"/>
        <w:jc w:val="left"/>
        <w:rPr>
          <w:rFonts w:ascii="Times New Roman" w:eastAsia="Times New Roman"/>
        </w:rPr>
      </w:pPr>
      <w:r>
        <w:rPr>
          <w:spacing w:val="-26"/>
        </w:rPr>
        <w:t>商業週刊。</w:t>
      </w:r>
      <w:r>
        <w:rPr/>
        <w:t>（</w:t>
      </w:r>
      <w:r>
        <w:rPr>
          <w:rFonts w:ascii="Times New Roman" w:eastAsia="Times New Roman"/>
        </w:rPr>
        <w:t>2023</w:t>
      </w:r>
      <w:r>
        <w:rPr>
          <w:rFonts w:ascii="Times New Roman" w:eastAsia="Times New Roman"/>
          <w:spacing w:val="-15"/>
        </w:rPr>
        <w:t> </w:t>
      </w:r>
      <w:r>
        <w:rPr>
          <w:spacing w:val="-30"/>
        </w:rPr>
        <w:t>年 </w:t>
      </w:r>
      <w:r>
        <w:rPr>
          <w:rFonts w:ascii="Times New Roman" w:eastAsia="Times New Roman"/>
        </w:rPr>
        <w:t>2</w:t>
      </w:r>
      <w:r>
        <w:rPr>
          <w:rFonts w:ascii="Times New Roman" w:eastAsia="Times New Roman"/>
          <w:spacing w:val="-15"/>
        </w:rPr>
        <w:t> </w:t>
      </w:r>
      <w:r>
        <w:rPr>
          <w:spacing w:val="-30"/>
        </w:rPr>
        <w:t>月 </w:t>
      </w:r>
      <w:r>
        <w:rPr>
          <w:rFonts w:ascii="Times New Roman" w:eastAsia="Times New Roman"/>
        </w:rPr>
        <w:t>9</w:t>
      </w:r>
      <w:r>
        <w:rPr>
          <w:rFonts w:ascii="Times New Roman" w:eastAsia="Times New Roman"/>
          <w:spacing w:val="-6"/>
        </w:rPr>
        <w:t> </w:t>
      </w:r>
      <w:r>
        <w:rPr/>
        <w:t>日</w:t>
      </w:r>
      <w:r>
        <w:rPr>
          <w:spacing w:val="-130"/>
        </w:rPr>
        <w:t>）</w:t>
      </w:r>
      <w:r>
        <w:rPr>
          <w:spacing w:val="-15"/>
        </w:rPr>
        <w:t>。【卓越經營】諾亞克科技超強服務打造臺灣 </w:t>
      </w:r>
      <w:r>
        <w:rPr>
          <w:rFonts w:ascii="Times New Roman" w:eastAsia="Times New Roman"/>
          <w:spacing w:val="-4"/>
        </w:rPr>
        <w:t>NO.1</w:t>
      </w:r>
    </w:p>
    <w:p>
      <w:pPr>
        <w:pStyle w:val="BodyText"/>
        <w:spacing w:before="233"/>
        <w:ind w:left="481"/>
        <w:jc w:val="left"/>
      </w:pPr>
      <w:r>
        <w:rPr>
          <w:spacing w:val="-1"/>
        </w:rPr>
        <w:t>長照資訊平臺。檢自：</w:t>
      </w:r>
    </w:p>
    <w:p>
      <w:pPr>
        <w:pStyle w:val="BodyText"/>
        <w:spacing w:before="61"/>
        <w:ind w:left="0"/>
        <w:jc w:val="left"/>
      </w:pPr>
    </w:p>
    <w:p>
      <w:pPr>
        <w:pStyle w:val="BodyText"/>
        <w:ind w:left="481"/>
        <w:jc w:val="left"/>
        <w:rPr>
          <w:rFonts w:ascii="Times New Roman"/>
        </w:rPr>
      </w:pPr>
      <w:r>
        <w:rPr>
          <w:rFonts w:ascii="Times New Roman"/>
        </w:rPr>
        <w:drawing>
          <wp:anchor distT="0" distB="0" distL="0" distR="0" allowOverlap="1" layoutInCell="1" locked="0" behindDoc="1" simplePos="0" relativeHeight="485842944">
            <wp:simplePos x="0" y="0"/>
            <wp:positionH relativeFrom="page">
              <wp:posOffset>3312414</wp:posOffset>
            </wp:positionH>
            <wp:positionV relativeFrom="paragraph">
              <wp:posOffset>166141</wp:posOffset>
            </wp:positionV>
            <wp:extent cx="929640" cy="978408"/>
            <wp:effectExtent l="0" t="0" r="0" b="0"/>
            <wp:wrapNone/>
            <wp:docPr id="279" name="Image 279"/>
            <wp:cNvGraphicFramePr>
              <a:graphicFrameLocks/>
            </wp:cNvGraphicFramePr>
            <a:graphic>
              <a:graphicData uri="http://schemas.openxmlformats.org/drawingml/2006/picture">
                <pic:pic>
                  <pic:nvPicPr>
                    <pic:cNvPr id="279" name="Image 279"/>
                    <pic:cNvPicPr/>
                  </pic:nvPicPr>
                  <pic:blipFill>
                    <a:blip r:embed="rId6" cstate="print"/>
                    <a:stretch>
                      <a:fillRect/>
                    </a:stretch>
                  </pic:blipFill>
                  <pic:spPr>
                    <a:xfrm>
                      <a:off x="0" y="0"/>
                      <a:ext cx="929640" cy="978408"/>
                    </a:xfrm>
                    <a:prstGeom prst="rect">
                      <a:avLst/>
                    </a:prstGeom>
                  </pic:spPr>
                </pic:pic>
              </a:graphicData>
            </a:graphic>
          </wp:anchor>
        </w:drawing>
      </w:r>
      <w:r>
        <w:rPr>
          <w:rFonts w:ascii="Times New Roman"/>
          <w:spacing w:val="-2"/>
        </w:rPr>
        <w:t>https:/</w:t>
      </w:r>
      <w:hyperlink r:id="rId140">
        <w:r>
          <w:rPr>
            <w:rFonts w:ascii="Times New Roman"/>
            <w:spacing w:val="-2"/>
          </w:rPr>
          <w:t>/www.businessweekly.com.tw/business/indep/1003134</w:t>
        </w:r>
      </w:hyperlink>
    </w:p>
    <w:p>
      <w:pPr>
        <w:pStyle w:val="BodyText"/>
        <w:spacing w:before="68"/>
        <w:ind w:left="0"/>
        <w:jc w:val="left"/>
        <w:rPr>
          <w:rFonts w:ascii="Times New Roman"/>
        </w:rPr>
      </w:pPr>
    </w:p>
    <w:p>
      <w:pPr>
        <w:pStyle w:val="BodyText"/>
        <w:spacing w:line="422" w:lineRule="auto"/>
        <w:ind w:left="481" w:right="398" w:hanging="480"/>
        <w:jc w:val="left"/>
      </w:pPr>
      <w:r>
        <w:rPr>
          <w:spacing w:val="-33"/>
        </w:rPr>
        <w:t>鄭詩靜。</w:t>
      </w:r>
      <w:r>
        <w:rPr/>
        <w:t>（</w:t>
      </w:r>
      <w:r>
        <w:rPr>
          <w:rFonts w:ascii="Times New Roman" w:eastAsia="Times New Roman"/>
        </w:rPr>
        <w:t>2022</w:t>
      </w:r>
      <w:r>
        <w:rPr>
          <w:rFonts w:ascii="Times New Roman" w:eastAsia="Times New Roman"/>
          <w:spacing w:val="-15"/>
        </w:rPr>
        <w:t> </w:t>
      </w:r>
      <w:r>
        <w:rPr>
          <w:spacing w:val="-30"/>
        </w:rPr>
        <w:t>年 </w:t>
      </w:r>
      <w:r>
        <w:rPr>
          <w:rFonts w:ascii="Times New Roman" w:eastAsia="Times New Roman"/>
        </w:rPr>
        <w:t>11</w:t>
      </w:r>
      <w:r>
        <w:rPr>
          <w:rFonts w:ascii="Times New Roman" w:eastAsia="Times New Roman"/>
          <w:spacing w:val="-15"/>
        </w:rPr>
        <w:t> </w:t>
      </w:r>
      <w:r>
        <w:rPr>
          <w:spacing w:val="-30"/>
        </w:rPr>
        <w:t>月 </w:t>
      </w:r>
      <w:r>
        <w:rPr>
          <w:rFonts w:ascii="Times New Roman" w:eastAsia="Times New Roman"/>
        </w:rPr>
        <w:t>18</w:t>
      </w:r>
      <w:r>
        <w:rPr>
          <w:rFonts w:ascii="Times New Roman" w:eastAsia="Times New Roman"/>
          <w:spacing w:val="-15"/>
        </w:rPr>
        <w:t> </w:t>
      </w:r>
      <w:r>
        <w:rPr/>
        <w:t>日</w:t>
      </w:r>
      <w:r>
        <w:rPr>
          <w:spacing w:val="-132"/>
        </w:rPr>
        <w:t>）</w:t>
      </w:r>
      <w:r>
        <w:rPr>
          <w:spacing w:val="-13"/>
        </w:rPr>
        <w:t>。【科技達人專欄】組建長照資訊大艦隊 諾亞克攜</w:t>
      </w:r>
      <w:r>
        <w:rPr>
          <w:spacing w:val="-3"/>
        </w:rPr>
        <w:t>手生態成員擴大 </w:t>
      </w:r>
      <w:r>
        <w:rPr>
          <w:rFonts w:ascii="Times New Roman" w:eastAsia="Times New Roman"/>
        </w:rPr>
        <w:t>ARPU </w:t>
      </w:r>
      <w:r>
        <w:rPr/>
        <w:t>效益。檢自：</w:t>
      </w:r>
    </w:p>
    <w:p>
      <w:pPr>
        <w:pStyle w:val="BodyText"/>
        <w:spacing w:before="134"/>
        <w:ind w:left="481"/>
        <w:jc w:val="left"/>
        <w:rPr>
          <w:rFonts w:ascii="Times New Roman"/>
        </w:rPr>
      </w:pPr>
      <w:r>
        <w:rPr>
          <w:rFonts w:ascii="Times New Roman"/>
          <w:spacing w:val="-2"/>
        </w:rPr>
        <w:t>https:/</w:t>
      </w:r>
      <w:hyperlink r:id="rId141">
        <w:r>
          <w:rPr>
            <w:rFonts w:ascii="Times New Roman"/>
            <w:spacing w:val="-2"/>
          </w:rPr>
          <w:t>/www.ankecare.com/article/2278-2022-11-18-10-37-</w:t>
        </w:r>
        <w:r>
          <w:rPr>
            <w:rFonts w:ascii="Times New Roman"/>
            <w:spacing w:val="-5"/>
          </w:rPr>
          <w:t>14</w:t>
        </w:r>
      </w:hyperlink>
    </w:p>
    <w:p>
      <w:pPr>
        <w:pStyle w:val="BodyText"/>
        <w:spacing w:before="68"/>
        <w:ind w:left="0"/>
        <w:jc w:val="left"/>
        <w:rPr>
          <w:rFonts w:ascii="Times New Roman"/>
        </w:rPr>
      </w:pPr>
    </w:p>
    <w:p>
      <w:pPr>
        <w:pStyle w:val="BodyText"/>
        <w:ind w:left="2"/>
        <w:jc w:val="left"/>
      </w:pPr>
      <w:r>
        <w:rPr>
          <w:spacing w:val="-24"/>
        </w:rPr>
        <w:t>安可照護。</w:t>
      </w:r>
      <w:r>
        <w:rPr/>
        <w:t>（</w:t>
      </w:r>
      <w:r>
        <w:rPr>
          <w:rFonts w:ascii="Times New Roman" w:eastAsia="Times New Roman"/>
        </w:rPr>
        <w:t>2024</w:t>
      </w:r>
      <w:r>
        <w:rPr>
          <w:rFonts w:ascii="Times New Roman" w:eastAsia="Times New Roman"/>
          <w:spacing w:val="8"/>
        </w:rPr>
        <w:t> </w:t>
      </w:r>
      <w:r>
        <w:rPr>
          <w:spacing w:val="-25"/>
        </w:rPr>
        <w:t>年 </w:t>
      </w:r>
      <w:r>
        <w:rPr>
          <w:rFonts w:ascii="Times New Roman" w:eastAsia="Times New Roman"/>
        </w:rPr>
        <w:t>8</w:t>
      </w:r>
      <w:r>
        <w:rPr>
          <w:rFonts w:ascii="Times New Roman" w:eastAsia="Times New Roman"/>
          <w:spacing w:val="7"/>
        </w:rPr>
        <w:t> </w:t>
      </w:r>
      <w:r>
        <w:rPr>
          <w:spacing w:val="-26"/>
        </w:rPr>
        <w:t>月 </w:t>
      </w:r>
      <w:r>
        <w:rPr>
          <w:rFonts w:ascii="Times New Roman" w:eastAsia="Times New Roman"/>
        </w:rPr>
        <w:t>28</w:t>
      </w:r>
      <w:r>
        <w:rPr>
          <w:rFonts w:ascii="Times New Roman" w:eastAsia="Times New Roman"/>
          <w:spacing w:val="9"/>
        </w:rPr>
        <w:t> </w:t>
      </w:r>
      <w:r>
        <w:rPr/>
        <w:t>日</w:t>
      </w:r>
      <w:r>
        <w:rPr>
          <w:spacing w:val="-120"/>
        </w:rPr>
        <w:t>）</w:t>
      </w:r>
      <w:r>
        <w:rPr/>
        <w:t>。諾亞克興櫃</w:t>
      </w:r>
      <w:r>
        <w:rPr>
          <w:spacing w:val="58"/>
          <w:w w:val="150"/>
        </w:rPr>
        <w:t> </w:t>
      </w:r>
      <w:r>
        <w:rPr>
          <w:spacing w:val="-1"/>
        </w:rPr>
        <w:t>進軍美國打造「醫療保健產業的</w:t>
      </w:r>
    </w:p>
    <w:p>
      <w:pPr>
        <w:pStyle w:val="BodyText"/>
        <w:spacing w:before="233"/>
        <w:ind w:left="481"/>
        <w:jc w:val="left"/>
      </w:pPr>
      <w:r>
        <w:rPr>
          <w:rFonts w:ascii="Times New Roman" w:eastAsia="Times New Roman"/>
          <w:spacing w:val="-2"/>
        </w:rPr>
        <w:t>Amazon</w:t>
      </w:r>
      <w:r>
        <w:rPr>
          <w:spacing w:val="-28"/>
        </w:rPr>
        <w:t>」。檢自：</w:t>
      </w:r>
    </w:p>
    <w:p>
      <w:pPr>
        <w:pStyle w:val="BodyText"/>
        <w:spacing w:before="60"/>
        <w:ind w:left="0"/>
        <w:jc w:val="left"/>
      </w:pPr>
    </w:p>
    <w:p>
      <w:pPr>
        <w:pStyle w:val="BodyText"/>
        <w:ind w:left="481"/>
        <w:jc w:val="left"/>
        <w:rPr>
          <w:rFonts w:ascii="Times New Roman"/>
        </w:rPr>
      </w:pPr>
      <w:r>
        <w:rPr>
          <w:rFonts w:ascii="Times New Roman"/>
          <w:spacing w:val="-2"/>
        </w:rPr>
        <w:t>https:/</w:t>
      </w:r>
      <w:hyperlink r:id="rId142">
        <w:r>
          <w:rPr>
            <w:rFonts w:ascii="Times New Roman"/>
            <w:spacing w:val="-2"/>
          </w:rPr>
          <w:t>/www.ankecare.com/article/3280-2024-08-28-08-39-</w:t>
        </w:r>
        <w:r>
          <w:rPr>
            <w:rFonts w:ascii="Times New Roman"/>
            <w:spacing w:val="-5"/>
          </w:rPr>
          <w:t>39</w:t>
        </w:r>
      </w:hyperlink>
    </w:p>
    <w:p>
      <w:pPr>
        <w:pStyle w:val="BodyText"/>
        <w:spacing w:before="68"/>
        <w:ind w:left="0"/>
        <w:jc w:val="left"/>
        <w:rPr>
          <w:rFonts w:ascii="Times New Roman"/>
        </w:rPr>
      </w:pPr>
    </w:p>
    <w:p>
      <w:pPr>
        <w:pStyle w:val="BodyText"/>
        <w:spacing w:line="422" w:lineRule="auto" w:before="1"/>
        <w:ind w:left="481" w:right="398" w:hanging="480"/>
        <w:jc w:val="left"/>
      </w:pPr>
      <w:r>
        <w:rPr>
          <w:spacing w:val="-27"/>
        </w:rPr>
        <w:t>天下雜誌。</w:t>
      </w:r>
      <w:r>
        <w:rPr/>
        <w:t>（</w:t>
      </w:r>
      <w:r>
        <w:rPr>
          <w:rFonts w:ascii="Times New Roman" w:eastAsia="Times New Roman"/>
        </w:rPr>
        <w:t>2023</w:t>
      </w:r>
      <w:r>
        <w:rPr>
          <w:rFonts w:ascii="Times New Roman" w:eastAsia="Times New Roman"/>
          <w:spacing w:val="-15"/>
        </w:rPr>
        <w:t> </w:t>
      </w:r>
      <w:r>
        <w:rPr>
          <w:spacing w:val="-30"/>
        </w:rPr>
        <w:t>年 </w:t>
      </w:r>
      <w:r>
        <w:rPr>
          <w:rFonts w:ascii="Times New Roman" w:eastAsia="Times New Roman"/>
        </w:rPr>
        <w:t>10</w:t>
      </w:r>
      <w:r>
        <w:rPr>
          <w:rFonts w:ascii="Times New Roman" w:eastAsia="Times New Roman"/>
          <w:spacing w:val="-15"/>
        </w:rPr>
        <w:t> </w:t>
      </w:r>
      <w:r>
        <w:rPr>
          <w:spacing w:val="-30"/>
        </w:rPr>
        <w:t>月 </w:t>
      </w:r>
      <w:r>
        <w:rPr>
          <w:rFonts w:ascii="Times New Roman" w:eastAsia="Times New Roman"/>
        </w:rPr>
        <w:t>3</w:t>
      </w:r>
      <w:r>
        <w:rPr>
          <w:rFonts w:ascii="Times New Roman" w:eastAsia="Times New Roman"/>
          <w:spacing w:val="-15"/>
        </w:rPr>
        <w:t> </w:t>
      </w:r>
      <w:r>
        <w:rPr/>
        <w:t>日</w:t>
      </w:r>
      <w:r>
        <w:rPr>
          <w:spacing w:val="-135"/>
        </w:rPr>
        <w:t>）</w:t>
      </w:r>
      <w:r>
        <w:rPr>
          <w:spacing w:val="-12"/>
        </w:rPr>
        <w:t>。建構以 </w:t>
      </w:r>
      <w:r>
        <w:rPr>
          <w:rFonts w:ascii="Times New Roman" w:eastAsia="Times New Roman"/>
        </w:rPr>
        <w:t>AI</w:t>
      </w:r>
      <w:r>
        <w:rPr>
          <w:rFonts w:ascii="Times New Roman" w:eastAsia="Times New Roman"/>
          <w:spacing w:val="-15"/>
        </w:rPr>
        <w:t> </w:t>
      </w:r>
      <w:r>
        <w:rPr/>
        <w:t>服務打造醫藥養生態圈服務方案。檢</w:t>
      </w:r>
      <w:r>
        <w:rPr>
          <w:spacing w:val="-6"/>
        </w:rPr>
        <w:t>自：</w:t>
      </w:r>
    </w:p>
    <w:p>
      <w:pPr>
        <w:pStyle w:val="BodyText"/>
        <w:spacing w:before="134"/>
        <w:ind w:left="481"/>
        <w:jc w:val="left"/>
        <w:rPr>
          <w:rFonts w:ascii="Times New Roman"/>
        </w:rPr>
      </w:pPr>
      <w:r>
        <w:rPr>
          <w:rFonts w:ascii="Times New Roman"/>
          <w:spacing w:val="-2"/>
        </w:rPr>
        <w:t>https:/</w:t>
      </w:r>
      <w:hyperlink r:id="rId143">
        <w:r>
          <w:rPr>
            <w:rFonts w:ascii="Times New Roman"/>
            <w:spacing w:val="-2"/>
          </w:rPr>
          <w:t>/www.cw.com.tw/article/5127581</w:t>
        </w:r>
      </w:hyperlink>
    </w:p>
    <w:p>
      <w:pPr>
        <w:pStyle w:val="BodyText"/>
        <w:spacing w:before="68"/>
        <w:ind w:left="0"/>
        <w:jc w:val="left"/>
        <w:rPr>
          <w:rFonts w:ascii="Times New Roman"/>
        </w:rPr>
      </w:pPr>
    </w:p>
    <w:p>
      <w:pPr>
        <w:pStyle w:val="BodyText"/>
        <w:spacing w:line="422" w:lineRule="auto"/>
        <w:ind w:left="481" w:right="398" w:hanging="480"/>
        <w:jc w:val="left"/>
      </w:pPr>
      <w:r>
        <w:rPr>
          <w:spacing w:val="-30"/>
        </w:rPr>
        <w:t>風傳媒。</w:t>
      </w:r>
      <w:r>
        <w:rPr/>
        <w:t>（</w:t>
      </w:r>
      <w:r>
        <w:rPr>
          <w:rFonts w:ascii="Times New Roman" w:eastAsia="Times New Roman"/>
        </w:rPr>
        <w:t>2022</w:t>
      </w:r>
      <w:r>
        <w:rPr>
          <w:rFonts w:ascii="Times New Roman" w:eastAsia="Times New Roman"/>
          <w:spacing w:val="-7"/>
        </w:rPr>
        <w:t> </w:t>
      </w:r>
      <w:r>
        <w:rPr>
          <w:spacing w:val="-26"/>
        </w:rPr>
        <w:t>年 </w:t>
      </w:r>
      <w:r>
        <w:rPr>
          <w:rFonts w:ascii="Times New Roman" w:eastAsia="Times New Roman"/>
        </w:rPr>
        <w:t>11 </w:t>
      </w:r>
      <w:r>
        <w:rPr>
          <w:spacing w:val="-26"/>
        </w:rPr>
        <w:t>月 </w:t>
      </w:r>
      <w:r>
        <w:rPr>
          <w:rFonts w:ascii="Times New Roman" w:eastAsia="Times New Roman"/>
        </w:rPr>
        <w:t>30 </w:t>
      </w:r>
      <w:r>
        <w:rPr/>
        <w:t>日</w:t>
      </w:r>
      <w:r>
        <w:rPr>
          <w:spacing w:val="-120"/>
        </w:rPr>
        <w:t>）</w:t>
      </w:r>
      <w:r>
        <w:rPr>
          <w:spacing w:val="-1"/>
        </w:rPr>
        <w:t>。從「心」出發迎接高齡化社會 諾亞克進軍美國</w:t>
      </w:r>
      <w:r>
        <w:rPr>
          <w:spacing w:val="-2"/>
        </w:rPr>
        <w:t>長照市場！。檢自：</w:t>
      </w:r>
    </w:p>
    <w:p>
      <w:pPr>
        <w:pStyle w:val="BodyText"/>
        <w:spacing w:before="133"/>
        <w:ind w:left="481"/>
        <w:jc w:val="left"/>
        <w:rPr>
          <w:rFonts w:ascii="Times New Roman"/>
        </w:rPr>
      </w:pPr>
      <w:r>
        <w:rPr>
          <w:rFonts w:ascii="Times New Roman"/>
          <w:spacing w:val="-2"/>
        </w:rPr>
        <w:t>https:/</w:t>
      </w:r>
      <w:hyperlink r:id="rId144">
        <w:r>
          <w:rPr>
            <w:rFonts w:ascii="Times New Roman"/>
            <w:spacing w:val="-2"/>
          </w:rPr>
          <w:t>/www.storm.mg/localarticle/4638335</w:t>
        </w:r>
      </w:hyperlink>
    </w:p>
    <w:sectPr>
      <w:pgSz w:w="11910" w:h="16840"/>
      <w:pgMar w:header="0" w:footer="1197" w:top="1740" w:bottom="1380" w:left="1700"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5770752">
              <wp:simplePos x="0" y="0"/>
              <wp:positionH relativeFrom="page">
                <wp:posOffset>3660775</wp:posOffset>
              </wp:positionH>
              <wp:positionV relativeFrom="page">
                <wp:posOffset>9792468</wp:posOffset>
              </wp:positionV>
              <wp:extent cx="244475" cy="1657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4475" cy="165735"/>
                      </a:xfrm>
                      <a:prstGeom prst="rect">
                        <a:avLst/>
                      </a:prstGeom>
                    </wps:spPr>
                    <wps:txbx>
                      <w:txbxContent>
                        <w:p>
                          <w:pPr>
                            <w:spacing w:before="10"/>
                            <w:ind w:left="20" w:right="0" w:firstLine="0"/>
                            <w:jc w:val="left"/>
                            <w:rPr>
                              <w:rFonts w:ascii="Times New Roman"/>
                              <w:sz w:val="20"/>
                            </w:rPr>
                          </w:pPr>
                          <w:r>
                            <w:rPr>
                              <w:rFonts w:ascii="Times New Roman"/>
                              <w:spacing w:val="-4"/>
                              <w:sz w:val="20"/>
                            </w:rPr>
                            <w:fldChar w:fldCharType="begin"/>
                          </w:r>
                          <w:r>
                            <w:rPr>
                              <w:rFonts w:ascii="Times New Roman"/>
                              <w:spacing w:val="-4"/>
                              <w:sz w:val="20"/>
                            </w:rPr>
                            <w:instrText> PAGE  \* ROMAN </w:instrText>
                          </w:r>
                          <w:r>
                            <w:rPr>
                              <w:rFonts w:ascii="Times New Roman"/>
                              <w:spacing w:val="-4"/>
                              <w:sz w:val="20"/>
                            </w:rPr>
                            <w:fldChar w:fldCharType="separate"/>
                          </w:r>
                          <w:r>
                            <w:rPr>
                              <w:rFonts w:ascii="Times New Roman"/>
                              <w:spacing w:val="-4"/>
                              <w:sz w:val="20"/>
                            </w:rPr>
                            <w:t>VIII</w:t>
                          </w:r>
                          <w:r>
                            <w:rPr>
                              <w:rFonts w:ascii="Times New Roman"/>
                              <w:spacing w:val="-4"/>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8.25pt;margin-top:771.060486pt;width:19.25pt;height:13.05pt;mso-position-horizontal-relative:page;mso-position-vertical-relative:page;z-index:-17545728" type="#_x0000_t202" id="docshape3" filled="false" stroked="false">
              <v:textbox inset="0,0,0,0">
                <w:txbxContent>
                  <w:p>
                    <w:pPr>
                      <w:spacing w:before="10"/>
                      <w:ind w:left="20" w:right="0" w:firstLine="0"/>
                      <w:jc w:val="left"/>
                      <w:rPr>
                        <w:rFonts w:ascii="Times New Roman"/>
                        <w:sz w:val="20"/>
                      </w:rPr>
                    </w:pPr>
                    <w:r>
                      <w:rPr>
                        <w:rFonts w:ascii="Times New Roman"/>
                        <w:spacing w:val="-4"/>
                        <w:sz w:val="20"/>
                      </w:rPr>
                      <w:fldChar w:fldCharType="begin"/>
                    </w:r>
                    <w:r>
                      <w:rPr>
                        <w:rFonts w:ascii="Times New Roman"/>
                        <w:spacing w:val="-4"/>
                        <w:sz w:val="20"/>
                      </w:rPr>
                      <w:instrText> PAGE  \* ROMAN </w:instrText>
                    </w:r>
                    <w:r>
                      <w:rPr>
                        <w:rFonts w:ascii="Times New Roman"/>
                        <w:spacing w:val="-4"/>
                        <w:sz w:val="20"/>
                      </w:rPr>
                      <w:fldChar w:fldCharType="separate"/>
                    </w:r>
                    <w:r>
                      <w:rPr>
                        <w:rFonts w:ascii="Times New Roman"/>
                        <w:spacing w:val="-4"/>
                        <w:sz w:val="20"/>
                      </w:rPr>
                      <w:t>VIII</w:t>
                    </w:r>
                    <w:r>
                      <w:rPr>
                        <w:rFonts w:ascii="Times New Roman"/>
                        <w:spacing w:val="-4"/>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5771264">
              <wp:simplePos x="0" y="0"/>
              <wp:positionH relativeFrom="page">
                <wp:posOffset>3706495</wp:posOffset>
              </wp:positionH>
              <wp:positionV relativeFrom="page">
                <wp:posOffset>9792468</wp:posOffset>
              </wp:positionV>
              <wp:extent cx="153670" cy="16573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3670" cy="165735"/>
                      </a:xfrm>
                      <a:prstGeom prst="rect">
                        <a:avLst/>
                      </a:prstGeom>
                    </wps:spPr>
                    <wps:txbx>
                      <w:txbxContent>
                        <w:p>
                          <w:pPr>
                            <w:spacing w:before="10"/>
                            <w:ind w:left="2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wps:txbx>
                    <wps:bodyPr wrap="square" lIns="0" tIns="0" rIns="0" bIns="0" rtlCol="0">
                      <a:noAutofit/>
                    </wps:bodyPr>
                  </wps:wsp>
                </a:graphicData>
              </a:graphic>
            </wp:anchor>
          </w:drawing>
        </mc:Choice>
        <mc:Fallback>
          <w:pict>
            <v:shape style="position:absolute;margin-left:291.850006pt;margin-top:771.060486pt;width:12.1pt;height:13.05pt;mso-position-horizontal-relative:page;mso-position-vertical-relative:page;z-index:-17545216" type="#_x0000_t202" id="docshape4" filled="false" stroked="false">
              <v:textbox inset="0,0,0,0">
                <w:txbxContent>
                  <w:p>
                    <w:pPr>
                      <w:spacing w:before="10"/>
                      <w:ind w:left="2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5771776">
              <wp:simplePos x="0" y="0"/>
              <wp:positionH relativeFrom="page">
                <wp:posOffset>5246242</wp:posOffset>
              </wp:positionH>
              <wp:positionV relativeFrom="page">
                <wp:posOffset>6660648</wp:posOffset>
              </wp:positionV>
              <wp:extent cx="217170" cy="16573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17170" cy="165735"/>
                      </a:xfrm>
                      <a:prstGeom prst="rect">
                        <a:avLst/>
                      </a:prstGeom>
                    </wps:spPr>
                    <wps:txbx>
                      <w:txbxContent>
                        <w:p>
                          <w:pPr>
                            <w:spacing w:before="10"/>
                            <w:ind w:left="6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97</w:t>
                          </w:r>
                          <w:r>
                            <w:rPr>
                              <w:rFonts w:ascii="Times New Roman"/>
                              <w:spacing w:val="-5"/>
                              <w:sz w:val="20"/>
                            </w:rPr>
                            <w:fldChar w:fldCharType="end"/>
                          </w:r>
                        </w:p>
                      </w:txbxContent>
                    </wps:txbx>
                    <wps:bodyPr wrap="square" lIns="0" tIns="0" rIns="0" bIns="0" rtlCol="0">
                      <a:noAutofit/>
                    </wps:bodyPr>
                  </wps:wsp>
                </a:graphicData>
              </a:graphic>
            </wp:anchor>
          </w:drawing>
        </mc:Choice>
        <mc:Fallback>
          <w:pict>
            <v:shape style="position:absolute;margin-left:413.089996pt;margin-top:524.46051pt;width:17.1pt;height:13.05pt;mso-position-horizontal-relative:page;mso-position-vertical-relative:page;z-index:-17544704" type="#_x0000_t202" id="docshape36" filled="false" stroked="false">
              <v:textbox inset="0,0,0,0">
                <w:txbxContent>
                  <w:p>
                    <w:pPr>
                      <w:spacing w:before="10"/>
                      <w:ind w:left="6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97</w:t>
                    </w:r>
                    <w:r>
                      <w:rPr>
                        <w:rFonts w:ascii="Times New Roman"/>
                        <w:spacing w:val="-5"/>
                        <w:sz w:val="2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5772288">
              <wp:simplePos x="0" y="0"/>
              <wp:positionH relativeFrom="page">
                <wp:posOffset>3649090</wp:posOffset>
              </wp:positionH>
              <wp:positionV relativeFrom="page">
                <wp:posOffset>9792468</wp:posOffset>
              </wp:positionV>
              <wp:extent cx="281305" cy="16573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81305" cy="165735"/>
                      </a:xfrm>
                      <a:prstGeom prst="rect">
                        <a:avLst/>
                      </a:prstGeom>
                    </wps:spPr>
                    <wps:txbx>
                      <w:txbxContent>
                        <w:p>
                          <w:pPr>
                            <w:spacing w:before="10"/>
                            <w:ind w:left="6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100</w:t>
                          </w:r>
                          <w:r>
                            <w:rPr>
                              <w:rFonts w:ascii="Times New Roman"/>
                              <w:spacing w:val="-5"/>
                              <w:sz w:val="20"/>
                            </w:rPr>
                            <w:fldChar w:fldCharType="end"/>
                          </w:r>
                        </w:p>
                      </w:txbxContent>
                    </wps:txbx>
                    <wps:bodyPr wrap="square" lIns="0" tIns="0" rIns="0" bIns="0" rtlCol="0">
                      <a:noAutofit/>
                    </wps:bodyPr>
                  </wps:wsp>
                </a:graphicData>
              </a:graphic>
            </wp:anchor>
          </w:drawing>
        </mc:Choice>
        <mc:Fallback>
          <w:pict>
            <v:shape style="position:absolute;margin-left:287.329987pt;margin-top:771.060486pt;width:22.15pt;height:13.05pt;mso-position-horizontal-relative:page;mso-position-vertical-relative:page;z-index:-17544192" type="#_x0000_t202" id="docshape43" filled="false" stroked="false">
              <v:textbox inset="0,0,0,0">
                <w:txbxContent>
                  <w:p>
                    <w:pPr>
                      <w:spacing w:before="10"/>
                      <w:ind w:left="60" w:right="0" w:firstLine="0"/>
                      <w:jc w:val="left"/>
                      <w:rPr>
                        <w:rFonts w:ascii="Times New Roman"/>
                        <w:sz w:val="20"/>
                      </w:rPr>
                    </w:pPr>
                    <w:r>
                      <w:rPr>
                        <w:rFonts w:ascii="Times New Roman"/>
                        <w:spacing w:val="-5"/>
                        <w:sz w:val="20"/>
                      </w:rPr>
                      <w:fldChar w:fldCharType="begin"/>
                    </w:r>
                    <w:r>
                      <w:rPr>
                        <w:rFonts w:ascii="Times New Roman"/>
                        <w:spacing w:val="-5"/>
                        <w:sz w:val="20"/>
                      </w:rPr>
                      <w:instrText> PAGE </w:instrText>
                    </w:r>
                    <w:r>
                      <w:rPr>
                        <w:rFonts w:ascii="Times New Roman"/>
                        <w:spacing w:val="-5"/>
                        <w:sz w:val="20"/>
                      </w:rPr>
                      <w:fldChar w:fldCharType="separate"/>
                    </w:r>
                    <w:r>
                      <w:rPr>
                        <w:rFonts w:ascii="Times New Roman"/>
                        <w:spacing w:val="-5"/>
                        <w:sz w:val="20"/>
                      </w:rPr>
                      <w:t>100</w:t>
                    </w:r>
                    <w:r>
                      <w:rPr>
                        <w:rFonts w:ascii="Times New Roman"/>
                        <w:spacing w:val="-5"/>
                        <w:sz w:val="20"/>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962" w:hanging="480"/>
        <w:jc w:val="left"/>
      </w:pPr>
      <w:rPr>
        <w:rFonts w:hint="default" w:ascii="Times New Roman" w:hAnsi="Times New Roman" w:eastAsia="Times New Roman" w:cs="Times New Roman"/>
        <w:b/>
        <w:bCs/>
        <w:i w:val="0"/>
        <w:iCs w:val="0"/>
        <w:spacing w:val="0"/>
        <w:w w:val="100"/>
        <w:sz w:val="24"/>
        <w:szCs w:val="24"/>
        <w:lang w:val="et-EE" w:eastAsia="en-US" w:bidi="ar-SA"/>
      </w:rPr>
    </w:lvl>
    <w:lvl w:ilvl="1">
      <w:start w:val="0"/>
      <w:numFmt w:val="bullet"/>
      <w:lvlText w:val="•"/>
      <w:lvlJc w:val="left"/>
      <w:pPr>
        <w:ind w:left="1742" w:hanging="480"/>
      </w:pPr>
      <w:rPr>
        <w:rFonts w:hint="default"/>
        <w:lang w:val="et-EE" w:eastAsia="en-US" w:bidi="ar-SA"/>
      </w:rPr>
    </w:lvl>
    <w:lvl w:ilvl="2">
      <w:start w:val="0"/>
      <w:numFmt w:val="bullet"/>
      <w:lvlText w:val="•"/>
      <w:lvlJc w:val="left"/>
      <w:pPr>
        <w:ind w:left="2525" w:hanging="480"/>
      </w:pPr>
      <w:rPr>
        <w:rFonts w:hint="default"/>
        <w:lang w:val="et-EE" w:eastAsia="en-US" w:bidi="ar-SA"/>
      </w:rPr>
    </w:lvl>
    <w:lvl w:ilvl="3">
      <w:start w:val="0"/>
      <w:numFmt w:val="bullet"/>
      <w:lvlText w:val="•"/>
      <w:lvlJc w:val="left"/>
      <w:pPr>
        <w:ind w:left="3308" w:hanging="480"/>
      </w:pPr>
      <w:rPr>
        <w:rFonts w:hint="default"/>
        <w:lang w:val="et-EE" w:eastAsia="en-US" w:bidi="ar-SA"/>
      </w:rPr>
    </w:lvl>
    <w:lvl w:ilvl="4">
      <w:start w:val="0"/>
      <w:numFmt w:val="bullet"/>
      <w:lvlText w:val="•"/>
      <w:lvlJc w:val="left"/>
      <w:pPr>
        <w:ind w:left="4091" w:hanging="480"/>
      </w:pPr>
      <w:rPr>
        <w:rFonts w:hint="default"/>
        <w:lang w:val="et-EE" w:eastAsia="en-US" w:bidi="ar-SA"/>
      </w:rPr>
    </w:lvl>
    <w:lvl w:ilvl="5">
      <w:start w:val="0"/>
      <w:numFmt w:val="bullet"/>
      <w:lvlText w:val="•"/>
      <w:lvlJc w:val="left"/>
      <w:pPr>
        <w:ind w:left="4874" w:hanging="480"/>
      </w:pPr>
      <w:rPr>
        <w:rFonts w:hint="default"/>
        <w:lang w:val="et-EE" w:eastAsia="en-US" w:bidi="ar-SA"/>
      </w:rPr>
    </w:lvl>
    <w:lvl w:ilvl="6">
      <w:start w:val="0"/>
      <w:numFmt w:val="bullet"/>
      <w:lvlText w:val="•"/>
      <w:lvlJc w:val="left"/>
      <w:pPr>
        <w:ind w:left="5657" w:hanging="480"/>
      </w:pPr>
      <w:rPr>
        <w:rFonts w:hint="default"/>
        <w:lang w:val="et-EE" w:eastAsia="en-US" w:bidi="ar-SA"/>
      </w:rPr>
    </w:lvl>
    <w:lvl w:ilvl="7">
      <w:start w:val="0"/>
      <w:numFmt w:val="bullet"/>
      <w:lvlText w:val="•"/>
      <w:lvlJc w:val="left"/>
      <w:pPr>
        <w:ind w:left="6440" w:hanging="480"/>
      </w:pPr>
      <w:rPr>
        <w:rFonts w:hint="default"/>
        <w:lang w:val="et-EE" w:eastAsia="en-US" w:bidi="ar-SA"/>
      </w:rPr>
    </w:lvl>
    <w:lvl w:ilvl="8">
      <w:start w:val="0"/>
      <w:numFmt w:val="bullet"/>
      <w:lvlText w:val="•"/>
      <w:lvlJc w:val="left"/>
      <w:pPr>
        <w:ind w:left="7223" w:hanging="480"/>
      </w:pPr>
      <w:rPr>
        <w:rFonts w:hint="default"/>
        <w:lang w:val="et-EE" w:eastAsia="en-US" w:bidi="ar-SA"/>
      </w:rPr>
    </w:lvl>
  </w:abstractNum>
  <w:abstractNum w:abstractNumId="36">
    <w:multiLevelType w:val="hybridMultilevel"/>
    <w:lvl w:ilvl="0">
      <w:start w:val="6"/>
      <w:numFmt w:val="decimal"/>
      <w:lvlText w:val="%1"/>
      <w:lvlJc w:val="left"/>
      <w:pPr>
        <w:ind w:left="482" w:hanging="480"/>
        <w:jc w:val="left"/>
      </w:pPr>
      <w:rPr>
        <w:rFonts w:hint="default"/>
        <w:lang w:val="et-EE" w:eastAsia="en-US" w:bidi="ar-SA"/>
      </w:rPr>
    </w:lvl>
    <w:lvl w:ilvl="1">
      <w:start w:val="1"/>
      <w:numFmt w:val="decimal"/>
      <w:lvlText w:val="%1.%2"/>
      <w:lvlJc w:val="left"/>
      <w:pPr>
        <w:ind w:left="482"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1"/>
      <w:numFmt w:val="decimal"/>
      <w:lvlText w:val="%3."/>
      <w:lvlJc w:val="left"/>
      <w:pPr>
        <w:ind w:left="851" w:hanging="360"/>
        <w:jc w:val="left"/>
      </w:pPr>
      <w:rPr>
        <w:rFonts w:hint="default" w:ascii="Times New Roman" w:hAnsi="Times New Roman" w:eastAsia="Times New Roman" w:cs="Times New Roman"/>
        <w:b/>
        <w:bCs/>
        <w:i w:val="0"/>
        <w:iCs w:val="0"/>
        <w:spacing w:val="0"/>
        <w:w w:val="100"/>
        <w:sz w:val="24"/>
        <w:szCs w:val="24"/>
        <w:lang w:val="et-EE" w:eastAsia="en-US" w:bidi="ar-SA"/>
      </w:rPr>
    </w:lvl>
    <w:lvl w:ilvl="3">
      <w:start w:val="0"/>
      <w:numFmt w:val="bullet"/>
      <w:lvlText w:val="•"/>
      <w:lvlJc w:val="left"/>
      <w:pPr>
        <w:ind w:left="980" w:hanging="360"/>
      </w:pPr>
      <w:rPr>
        <w:rFonts w:hint="default"/>
        <w:lang w:val="et-EE" w:eastAsia="en-US" w:bidi="ar-SA"/>
      </w:rPr>
    </w:lvl>
    <w:lvl w:ilvl="4">
      <w:start w:val="0"/>
      <w:numFmt w:val="bullet"/>
      <w:lvlText w:val="•"/>
      <w:lvlJc w:val="left"/>
      <w:pPr>
        <w:ind w:left="2095" w:hanging="360"/>
      </w:pPr>
      <w:rPr>
        <w:rFonts w:hint="default"/>
        <w:lang w:val="et-EE" w:eastAsia="en-US" w:bidi="ar-SA"/>
      </w:rPr>
    </w:lvl>
    <w:lvl w:ilvl="5">
      <w:start w:val="0"/>
      <w:numFmt w:val="bullet"/>
      <w:lvlText w:val="•"/>
      <w:lvlJc w:val="left"/>
      <w:pPr>
        <w:ind w:left="3211" w:hanging="360"/>
      </w:pPr>
      <w:rPr>
        <w:rFonts w:hint="default"/>
        <w:lang w:val="et-EE" w:eastAsia="en-US" w:bidi="ar-SA"/>
      </w:rPr>
    </w:lvl>
    <w:lvl w:ilvl="6">
      <w:start w:val="0"/>
      <w:numFmt w:val="bullet"/>
      <w:lvlText w:val="•"/>
      <w:lvlJc w:val="left"/>
      <w:pPr>
        <w:ind w:left="4326" w:hanging="360"/>
      </w:pPr>
      <w:rPr>
        <w:rFonts w:hint="default"/>
        <w:lang w:val="et-EE" w:eastAsia="en-US" w:bidi="ar-SA"/>
      </w:rPr>
    </w:lvl>
    <w:lvl w:ilvl="7">
      <w:start w:val="0"/>
      <w:numFmt w:val="bullet"/>
      <w:lvlText w:val="•"/>
      <w:lvlJc w:val="left"/>
      <w:pPr>
        <w:ind w:left="5442" w:hanging="360"/>
      </w:pPr>
      <w:rPr>
        <w:rFonts w:hint="default"/>
        <w:lang w:val="et-EE" w:eastAsia="en-US" w:bidi="ar-SA"/>
      </w:rPr>
    </w:lvl>
    <w:lvl w:ilvl="8">
      <w:start w:val="0"/>
      <w:numFmt w:val="bullet"/>
      <w:lvlText w:val="•"/>
      <w:lvlJc w:val="left"/>
      <w:pPr>
        <w:ind w:left="6558" w:hanging="360"/>
      </w:pPr>
      <w:rPr>
        <w:rFonts w:hint="default"/>
        <w:lang w:val="et-EE" w:eastAsia="en-US" w:bidi="ar-SA"/>
      </w:rPr>
    </w:lvl>
  </w:abstractNum>
  <w:abstractNum w:abstractNumId="35">
    <w:multiLevelType w:val="hybridMultilevel"/>
    <w:lvl w:ilvl="0">
      <w:start w:val="0"/>
      <w:numFmt w:val="bullet"/>
      <w:lvlText w:val=""/>
      <w:lvlJc w:val="left"/>
      <w:pPr>
        <w:ind w:left="216"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466" w:hanging="113"/>
      </w:pPr>
      <w:rPr>
        <w:rFonts w:hint="default"/>
        <w:lang w:val="et-EE" w:eastAsia="en-US" w:bidi="ar-SA"/>
      </w:rPr>
    </w:lvl>
    <w:lvl w:ilvl="2">
      <w:start w:val="0"/>
      <w:numFmt w:val="bullet"/>
      <w:lvlText w:val="•"/>
      <w:lvlJc w:val="left"/>
      <w:pPr>
        <w:ind w:left="712" w:hanging="113"/>
      </w:pPr>
      <w:rPr>
        <w:rFonts w:hint="default"/>
        <w:lang w:val="et-EE" w:eastAsia="en-US" w:bidi="ar-SA"/>
      </w:rPr>
    </w:lvl>
    <w:lvl w:ilvl="3">
      <w:start w:val="0"/>
      <w:numFmt w:val="bullet"/>
      <w:lvlText w:val="•"/>
      <w:lvlJc w:val="left"/>
      <w:pPr>
        <w:ind w:left="959" w:hanging="113"/>
      </w:pPr>
      <w:rPr>
        <w:rFonts w:hint="default"/>
        <w:lang w:val="et-EE" w:eastAsia="en-US" w:bidi="ar-SA"/>
      </w:rPr>
    </w:lvl>
    <w:lvl w:ilvl="4">
      <w:start w:val="0"/>
      <w:numFmt w:val="bullet"/>
      <w:lvlText w:val="•"/>
      <w:lvlJc w:val="left"/>
      <w:pPr>
        <w:ind w:left="1205" w:hanging="113"/>
      </w:pPr>
      <w:rPr>
        <w:rFonts w:hint="default"/>
        <w:lang w:val="et-EE" w:eastAsia="en-US" w:bidi="ar-SA"/>
      </w:rPr>
    </w:lvl>
    <w:lvl w:ilvl="5">
      <w:start w:val="0"/>
      <w:numFmt w:val="bullet"/>
      <w:lvlText w:val="•"/>
      <w:lvlJc w:val="left"/>
      <w:pPr>
        <w:ind w:left="1452" w:hanging="113"/>
      </w:pPr>
      <w:rPr>
        <w:rFonts w:hint="default"/>
        <w:lang w:val="et-EE" w:eastAsia="en-US" w:bidi="ar-SA"/>
      </w:rPr>
    </w:lvl>
    <w:lvl w:ilvl="6">
      <w:start w:val="0"/>
      <w:numFmt w:val="bullet"/>
      <w:lvlText w:val="•"/>
      <w:lvlJc w:val="left"/>
      <w:pPr>
        <w:ind w:left="1698" w:hanging="113"/>
      </w:pPr>
      <w:rPr>
        <w:rFonts w:hint="default"/>
        <w:lang w:val="et-EE" w:eastAsia="en-US" w:bidi="ar-SA"/>
      </w:rPr>
    </w:lvl>
    <w:lvl w:ilvl="7">
      <w:start w:val="0"/>
      <w:numFmt w:val="bullet"/>
      <w:lvlText w:val="•"/>
      <w:lvlJc w:val="left"/>
      <w:pPr>
        <w:ind w:left="1944" w:hanging="113"/>
      </w:pPr>
      <w:rPr>
        <w:rFonts w:hint="default"/>
        <w:lang w:val="et-EE" w:eastAsia="en-US" w:bidi="ar-SA"/>
      </w:rPr>
    </w:lvl>
    <w:lvl w:ilvl="8">
      <w:start w:val="0"/>
      <w:numFmt w:val="bullet"/>
      <w:lvlText w:val="•"/>
      <w:lvlJc w:val="left"/>
      <w:pPr>
        <w:ind w:left="2191" w:hanging="113"/>
      </w:pPr>
      <w:rPr>
        <w:rFonts w:hint="default"/>
        <w:lang w:val="et-EE" w:eastAsia="en-US" w:bidi="ar-SA"/>
      </w:rPr>
    </w:lvl>
  </w:abstractNum>
  <w:abstractNum w:abstractNumId="34">
    <w:multiLevelType w:val="hybridMultilevel"/>
    <w:lvl w:ilvl="0">
      <w:start w:val="0"/>
      <w:numFmt w:val="bullet"/>
      <w:lvlText w:val=""/>
      <w:lvlJc w:val="left"/>
      <w:pPr>
        <w:ind w:left="218"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8" w:hanging="113"/>
      </w:pPr>
      <w:rPr>
        <w:rFonts w:hint="default"/>
        <w:lang w:val="et-EE" w:eastAsia="en-US" w:bidi="ar-SA"/>
      </w:rPr>
    </w:lvl>
    <w:lvl w:ilvl="2">
      <w:start w:val="0"/>
      <w:numFmt w:val="bullet"/>
      <w:lvlText w:val="•"/>
      <w:lvlJc w:val="left"/>
      <w:pPr>
        <w:ind w:left="797" w:hanging="113"/>
      </w:pPr>
      <w:rPr>
        <w:rFonts w:hint="default"/>
        <w:lang w:val="et-EE" w:eastAsia="en-US" w:bidi="ar-SA"/>
      </w:rPr>
    </w:lvl>
    <w:lvl w:ilvl="3">
      <w:start w:val="0"/>
      <w:numFmt w:val="bullet"/>
      <w:lvlText w:val="•"/>
      <w:lvlJc w:val="left"/>
      <w:pPr>
        <w:ind w:left="1086" w:hanging="113"/>
      </w:pPr>
      <w:rPr>
        <w:rFonts w:hint="default"/>
        <w:lang w:val="et-EE" w:eastAsia="en-US" w:bidi="ar-SA"/>
      </w:rPr>
    </w:lvl>
    <w:lvl w:ilvl="4">
      <w:start w:val="0"/>
      <w:numFmt w:val="bullet"/>
      <w:lvlText w:val="•"/>
      <w:lvlJc w:val="left"/>
      <w:pPr>
        <w:ind w:left="1375" w:hanging="113"/>
      </w:pPr>
      <w:rPr>
        <w:rFonts w:hint="default"/>
        <w:lang w:val="et-EE" w:eastAsia="en-US" w:bidi="ar-SA"/>
      </w:rPr>
    </w:lvl>
    <w:lvl w:ilvl="5">
      <w:start w:val="0"/>
      <w:numFmt w:val="bullet"/>
      <w:lvlText w:val="•"/>
      <w:lvlJc w:val="left"/>
      <w:pPr>
        <w:ind w:left="1664" w:hanging="113"/>
      </w:pPr>
      <w:rPr>
        <w:rFonts w:hint="default"/>
        <w:lang w:val="et-EE" w:eastAsia="en-US" w:bidi="ar-SA"/>
      </w:rPr>
    </w:lvl>
    <w:lvl w:ilvl="6">
      <w:start w:val="0"/>
      <w:numFmt w:val="bullet"/>
      <w:lvlText w:val="•"/>
      <w:lvlJc w:val="left"/>
      <w:pPr>
        <w:ind w:left="1953" w:hanging="113"/>
      </w:pPr>
      <w:rPr>
        <w:rFonts w:hint="default"/>
        <w:lang w:val="et-EE" w:eastAsia="en-US" w:bidi="ar-SA"/>
      </w:rPr>
    </w:lvl>
    <w:lvl w:ilvl="7">
      <w:start w:val="0"/>
      <w:numFmt w:val="bullet"/>
      <w:lvlText w:val="•"/>
      <w:lvlJc w:val="left"/>
      <w:pPr>
        <w:ind w:left="2242" w:hanging="113"/>
      </w:pPr>
      <w:rPr>
        <w:rFonts w:hint="default"/>
        <w:lang w:val="et-EE" w:eastAsia="en-US" w:bidi="ar-SA"/>
      </w:rPr>
    </w:lvl>
    <w:lvl w:ilvl="8">
      <w:start w:val="0"/>
      <w:numFmt w:val="bullet"/>
      <w:lvlText w:val="•"/>
      <w:lvlJc w:val="left"/>
      <w:pPr>
        <w:ind w:left="2531" w:hanging="113"/>
      </w:pPr>
      <w:rPr>
        <w:rFonts w:hint="default"/>
        <w:lang w:val="et-EE" w:eastAsia="en-US" w:bidi="ar-SA"/>
      </w:rPr>
    </w:lvl>
  </w:abstractNum>
  <w:abstractNum w:abstractNumId="33">
    <w:multiLevelType w:val="hybridMultilevel"/>
    <w:lvl w:ilvl="0">
      <w:start w:val="0"/>
      <w:numFmt w:val="bullet"/>
      <w:lvlText w:val=""/>
      <w:lvlJc w:val="left"/>
      <w:pPr>
        <w:ind w:left="216"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466" w:hanging="113"/>
      </w:pPr>
      <w:rPr>
        <w:rFonts w:hint="default"/>
        <w:lang w:val="et-EE" w:eastAsia="en-US" w:bidi="ar-SA"/>
      </w:rPr>
    </w:lvl>
    <w:lvl w:ilvl="2">
      <w:start w:val="0"/>
      <w:numFmt w:val="bullet"/>
      <w:lvlText w:val="•"/>
      <w:lvlJc w:val="left"/>
      <w:pPr>
        <w:ind w:left="712" w:hanging="113"/>
      </w:pPr>
      <w:rPr>
        <w:rFonts w:hint="default"/>
        <w:lang w:val="et-EE" w:eastAsia="en-US" w:bidi="ar-SA"/>
      </w:rPr>
    </w:lvl>
    <w:lvl w:ilvl="3">
      <w:start w:val="0"/>
      <w:numFmt w:val="bullet"/>
      <w:lvlText w:val="•"/>
      <w:lvlJc w:val="left"/>
      <w:pPr>
        <w:ind w:left="959" w:hanging="113"/>
      </w:pPr>
      <w:rPr>
        <w:rFonts w:hint="default"/>
        <w:lang w:val="et-EE" w:eastAsia="en-US" w:bidi="ar-SA"/>
      </w:rPr>
    </w:lvl>
    <w:lvl w:ilvl="4">
      <w:start w:val="0"/>
      <w:numFmt w:val="bullet"/>
      <w:lvlText w:val="•"/>
      <w:lvlJc w:val="left"/>
      <w:pPr>
        <w:ind w:left="1205" w:hanging="113"/>
      </w:pPr>
      <w:rPr>
        <w:rFonts w:hint="default"/>
        <w:lang w:val="et-EE" w:eastAsia="en-US" w:bidi="ar-SA"/>
      </w:rPr>
    </w:lvl>
    <w:lvl w:ilvl="5">
      <w:start w:val="0"/>
      <w:numFmt w:val="bullet"/>
      <w:lvlText w:val="•"/>
      <w:lvlJc w:val="left"/>
      <w:pPr>
        <w:ind w:left="1452" w:hanging="113"/>
      </w:pPr>
      <w:rPr>
        <w:rFonts w:hint="default"/>
        <w:lang w:val="et-EE" w:eastAsia="en-US" w:bidi="ar-SA"/>
      </w:rPr>
    </w:lvl>
    <w:lvl w:ilvl="6">
      <w:start w:val="0"/>
      <w:numFmt w:val="bullet"/>
      <w:lvlText w:val="•"/>
      <w:lvlJc w:val="left"/>
      <w:pPr>
        <w:ind w:left="1698" w:hanging="113"/>
      </w:pPr>
      <w:rPr>
        <w:rFonts w:hint="default"/>
        <w:lang w:val="et-EE" w:eastAsia="en-US" w:bidi="ar-SA"/>
      </w:rPr>
    </w:lvl>
    <w:lvl w:ilvl="7">
      <w:start w:val="0"/>
      <w:numFmt w:val="bullet"/>
      <w:lvlText w:val="•"/>
      <w:lvlJc w:val="left"/>
      <w:pPr>
        <w:ind w:left="1944" w:hanging="113"/>
      </w:pPr>
      <w:rPr>
        <w:rFonts w:hint="default"/>
        <w:lang w:val="et-EE" w:eastAsia="en-US" w:bidi="ar-SA"/>
      </w:rPr>
    </w:lvl>
    <w:lvl w:ilvl="8">
      <w:start w:val="0"/>
      <w:numFmt w:val="bullet"/>
      <w:lvlText w:val="•"/>
      <w:lvlJc w:val="left"/>
      <w:pPr>
        <w:ind w:left="2191" w:hanging="113"/>
      </w:pPr>
      <w:rPr>
        <w:rFonts w:hint="default"/>
        <w:lang w:val="et-EE" w:eastAsia="en-US" w:bidi="ar-SA"/>
      </w:rPr>
    </w:lvl>
  </w:abstractNum>
  <w:abstractNum w:abstractNumId="32">
    <w:multiLevelType w:val="hybridMultilevel"/>
    <w:lvl w:ilvl="0">
      <w:start w:val="0"/>
      <w:numFmt w:val="bullet"/>
      <w:lvlText w:val=""/>
      <w:lvlJc w:val="left"/>
      <w:pPr>
        <w:ind w:left="217" w:hanging="113"/>
      </w:pPr>
      <w:rPr>
        <w:rFonts w:hint="default" w:ascii="Wingdings" w:hAnsi="Wingdings" w:eastAsia="Wingdings" w:cs="Wingdings"/>
        <w:b w:val="0"/>
        <w:bCs w:val="0"/>
        <w:i w:val="0"/>
        <w:iCs w:val="0"/>
        <w:spacing w:val="3"/>
        <w:w w:val="88"/>
        <w:sz w:val="22"/>
        <w:szCs w:val="22"/>
        <w:lang w:val="et-EE" w:eastAsia="en-US" w:bidi="ar-SA"/>
      </w:rPr>
    </w:lvl>
    <w:lvl w:ilvl="1">
      <w:start w:val="0"/>
      <w:numFmt w:val="bullet"/>
      <w:lvlText w:val="•"/>
      <w:lvlJc w:val="left"/>
      <w:pPr>
        <w:ind w:left="509" w:hanging="113"/>
      </w:pPr>
      <w:rPr>
        <w:rFonts w:hint="default"/>
        <w:lang w:val="et-EE" w:eastAsia="en-US" w:bidi="ar-SA"/>
      </w:rPr>
    </w:lvl>
    <w:lvl w:ilvl="2">
      <w:start w:val="0"/>
      <w:numFmt w:val="bullet"/>
      <w:lvlText w:val="•"/>
      <w:lvlJc w:val="left"/>
      <w:pPr>
        <w:ind w:left="798" w:hanging="113"/>
      </w:pPr>
      <w:rPr>
        <w:rFonts w:hint="default"/>
        <w:lang w:val="et-EE" w:eastAsia="en-US" w:bidi="ar-SA"/>
      </w:rPr>
    </w:lvl>
    <w:lvl w:ilvl="3">
      <w:start w:val="0"/>
      <w:numFmt w:val="bullet"/>
      <w:lvlText w:val="•"/>
      <w:lvlJc w:val="left"/>
      <w:pPr>
        <w:ind w:left="1087" w:hanging="113"/>
      </w:pPr>
      <w:rPr>
        <w:rFonts w:hint="default"/>
        <w:lang w:val="et-EE" w:eastAsia="en-US" w:bidi="ar-SA"/>
      </w:rPr>
    </w:lvl>
    <w:lvl w:ilvl="4">
      <w:start w:val="0"/>
      <w:numFmt w:val="bullet"/>
      <w:lvlText w:val="•"/>
      <w:lvlJc w:val="left"/>
      <w:pPr>
        <w:ind w:left="1376" w:hanging="113"/>
      </w:pPr>
      <w:rPr>
        <w:rFonts w:hint="default"/>
        <w:lang w:val="et-EE" w:eastAsia="en-US" w:bidi="ar-SA"/>
      </w:rPr>
    </w:lvl>
    <w:lvl w:ilvl="5">
      <w:start w:val="0"/>
      <w:numFmt w:val="bullet"/>
      <w:lvlText w:val="•"/>
      <w:lvlJc w:val="left"/>
      <w:pPr>
        <w:ind w:left="1665" w:hanging="113"/>
      </w:pPr>
      <w:rPr>
        <w:rFonts w:hint="default"/>
        <w:lang w:val="et-EE" w:eastAsia="en-US" w:bidi="ar-SA"/>
      </w:rPr>
    </w:lvl>
    <w:lvl w:ilvl="6">
      <w:start w:val="0"/>
      <w:numFmt w:val="bullet"/>
      <w:lvlText w:val="•"/>
      <w:lvlJc w:val="left"/>
      <w:pPr>
        <w:ind w:left="1954" w:hanging="113"/>
      </w:pPr>
      <w:rPr>
        <w:rFonts w:hint="default"/>
        <w:lang w:val="et-EE" w:eastAsia="en-US" w:bidi="ar-SA"/>
      </w:rPr>
    </w:lvl>
    <w:lvl w:ilvl="7">
      <w:start w:val="0"/>
      <w:numFmt w:val="bullet"/>
      <w:lvlText w:val="•"/>
      <w:lvlJc w:val="left"/>
      <w:pPr>
        <w:ind w:left="2243" w:hanging="113"/>
      </w:pPr>
      <w:rPr>
        <w:rFonts w:hint="default"/>
        <w:lang w:val="et-EE" w:eastAsia="en-US" w:bidi="ar-SA"/>
      </w:rPr>
    </w:lvl>
    <w:lvl w:ilvl="8">
      <w:start w:val="0"/>
      <w:numFmt w:val="bullet"/>
      <w:lvlText w:val="•"/>
      <w:lvlJc w:val="left"/>
      <w:pPr>
        <w:ind w:left="2532" w:hanging="113"/>
      </w:pPr>
      <w:rPr>
        <w:rFonts w:hint="default"/>
        <w:lang w:val="et-EE" w:eastAsia="en-US" w:bidi="ar-SA"/>
      </w:rPr>
    </w:lvl>
  </w:abstractNum>
  <w:abstractNum w:abstractNumId="31">
    <w:multiLevelType w:val="hybridMultilevel"/>
    <w:lvl w:ilvl="0">
      <w:start w:val="0"/>
      <w:numFmt w:val="bullet"/>
      <w:lvlText w:val=""/>
      <w:lvlJc w:val="left"/>
      <w:pPr>
        <w:ind w:left="218"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8" w:hanging="113"/>
      </w:pPr>
      <w:rPr>
        <w:rFonts w:hint="default"/>
        <w:lang w:val="et-EE" w:eastAsia="en-US" w:bidi="ar-SA"/>
      </w:rPr>
    </w:lvl>
    <w:lvl w:ilvl="2">
      <w:start w:val="0"/>
      <w:numFmt w:val="bullet"/>
      <w:lvlText w:val="•"/>
      <w:lvlJc w:val="left"/>
      <w:pPr>
        <w:ind w:left="797" w:hanging="113"/>
      </w:pPr>
      <w:rPr>
        <w:rFonts w:hint="default"/>
        <w:lang w:val="et-EE" w:eastAsia="en-US" w:bidi="ar-SA"/>
      </w:rPr>
    </w:lvl>
    <w:lvl w:ilvl="3">
      <w:start w:val="0"/>
      <w:numFmt w:val="bullet"/>
      <w:lvlText w:val="•"/>
      <w:lvlJc w:val="left"/>
      <w:pPr>
        <w:ind w:left="1086" w:hanging="113"/>
      </w:pPr>
      <w:rPr>
        <w:rFonts w:hint="default"/>
        <w:lang w:val="et-EE" w:eastAsia="en-US" w:bidi="ar-SA"/>
      </w:rPr>
    </w:lvl>
    <w:lvl w:ilvl="4">
      <w:start w:val="0"/>
      <w:numFmt w:val="bullet"/>
      <w:lvlText w:val="•"/>
      <w:lvlJc w:val="left"/>
      <w:pPr>
        <w:ind w:left="1375" w:hanging="113"/>
      </w:pPr>
      <w:rPr>
        <w:rFonts w:hint="default"/>
        <w:lang w:val="et-EE" w:eastAsia="en-US" w:bidi="ar-SA"/>
      </w:rPr>
    </w:lvl>
    <w:lvl w:ilvl="5">
      <w:start w:val="0"/>
      <w:numFmt w:val="bullet"/>
      <w:lvlText w:val="•"/>
      <w:lvlJc w:val="left"/>
      <w:pPr>
        <w:ind w:left="1664" w:hanging="113"/>
      </w:pPr>
      <w:rPr>
        <w:rFonts w:hint="default"/>
        <w:lang w:val="et-EE" w:eastAsia="en-US" w:bidi="ar-SA"/>
      </w:rPr>
    </w:lvl>
    <w:lvl w:ilvl="6">
      <w:start w:val="0"/>
      <w:numFmt w:val="bullet"/>
      <w:lvlText w:val="•"/>
      <w:lvlJc w:val="left"/>
      <w:pPr>
        <w:ind w:left="1953" w:hanging="113"/>
      </w:pPr>
      <w:rPr>
        <w:rFonts w:hint="default"/>
        <w:lang w:val="et-EE" w:eastAsia="en-US" w:bidi="ar-SA"/>
      </w:rPr>
    </w:lvl>
    <w:lvl w:ilvl="7">
      <w:start w:val="0"/>
      <w:numFmt w:val="bullet"/>
      <w:lvlText w:val="•"/>
      <w:lvlJc w:val="left"/>
      <w:pPr>
        <w:ind w:left="2242" w:hanging="113"/>
      </w:pPr>
      <w:rPr>
        <w:rFonts w:hint="default"/>
        <w:lang w:val="et-EE" w:eastAsia="en-US" w:bidi="ar-SA"/>
      </w:rPr>
    </w:lvl>
    <w:lvl w:ilvl="8">
      <w:start w:val="0"/>
      <w:numFmt w:val="bullet"/>
      <w:lvlText w:val="•"/>
      <w:lvlJc w:val="left"/>
      <w:pPr>
        <w:ind w:left="2531" w:hanging="113"/>
      </w:pPr>
      <w:rPr>
        <w:rFonts w:hint="default"/>
        <w:lang w:val="et-EE" w:eastAsia="en-US" w:bidi="ar-SA"/>
      </w:rPr>
    </w:lvl>
  </w:abstractNum>
  <w:abstractNum w:abstractNumId="30">
    <w:multiLevelType w:val="hybridMultilevel"/>
    <w:lvl w:ilvl="0">
      <w:start w:val="0"/>
      <w:numFmt w:val="bullet"/>
      <w:lvlText w:val=""/>
      <w:lvlJc w:val="left"/>
      <w:pPr>
        <w:ind w:left="216"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466" w:hanging="113"/>
      </w:pPr>
      <w:rPr>
        <w:rFonts w:hint="default"/>
        <w:lang w:val="et-EE" w:eastAsia="en-US" w:bidi="ar-SA"/>
      </w:rPr>
    </w:lvl>
    <w:lvl w:ilvl="2">
      <w:start w:val="0"/>
      <w:numFmt w:val="bullet"/>
      <w:lvlText w:val="•"/>
      <w:lvlJc w:val="left"/>
      <w:pPr>
        <w:ind w:left="712" w:hanging="113"/>
      </w:pPr>
      <w:rPr>
        <w:rFonts w:hint="default"/>
        <w:lang w:val="et-EE" w:eastAsia="en-US" w:bidi="ar-SA"/>
      </w:rPr>
    </w:lvl>
    <w:lvl w:ilvl="3">
      <w:start w:val="0"/>
      <w:numFmt w:val="bullet"/>
      <w:lvlText w:val="•"/>
      <w:lvlJc w:val="left"/>
      <w:pPr>
        <w:ind w:left="959" w:hanging="113"/>
      </w:pPr>
      <w:rPr>
        <w:rFonts w:hint="default"/>
        <w:lang w:val="et-EE" w:eastAsia="en-US" w:bidi="ar-SA"/>
      </w:rPr>
    </w:lvl>
    <w:lvl w:ilvl="4">
      <w:start w:val="0"/>
      <w:numFmt w:val="bullet"/>
      <w:lvlText w:val="•"/>
      <w:lvlJc w:val="left"/>
      <w:pPr>
        <w:ind w:left="1205" w:hanging="113"/>
      </w:pPr>
      <w:rPr>
        <w:rFonts w:hint="default"/>
        <w:lang w:val="et-EE" w:eastAsia="en-US" w:bidi="ar-SA"/>
      </w:rPr>
    </w:lvl>
    <w:lvl w:ilvl="5">
      <w:start w:val="0"/>
      <w:numFmt w:val="bullet"/>
      <w:lvlText w:val="•"/>
      <w:lvlJc w:val="left"/>
      <w:pPr>
        <w:ind w:left="1452" w:hanging="113"/>
      </w:pPr>
      <w:rPr>
        <w:rFonts w:hint="default"/>
        <w:lang w:val="et-EE" w:eastAsia="en-US" w:bidi="ar-SA"/>
      </w:rPr>
    </w:lvl>
    <w:lvl w:ilvl="6">
      <w:start w:val="0"/>
      <w:numFmt w:val="bullet"/>
      <w:lvlText w:val="•"/>
      <w:lvlJc w:val="left"/>
      <w:pPr>
        <w:ind w:left="1698" w:hanging="113"/>
      </w:pPr>
      <w:rPr>
        <w:rFonts w:hint="default"/>
        <w:lang w:val="et-EE" w:eastAsia="en-US" w:bidi="ar-SA"/>
      </w:rPr>
    </w:lvl>
    <w:lvl w:ilvl="7">
      <w:start w:val="0"/>
      <w:numFmt w:val="bullet"/>
      <w:lvlText w:val="•"/>
      <w:lvlJc w:val="left"/>
      <w:pPr>
        <w:ind w:left="1944" w:hanging="113"/>
      </w:pPr>
      <w:rPr>
        <w:rFonts w:hint="default"/>
        <w:lang w:val="et-EE" w:eastAsia="en-US" w:bidi="ar-SA"/>
      </w:rPr>
    </w:lvl>
    <w:lvl w:ilvl="8">
      <w:start w:val="0"/>
      <w:numFmt w:val="bullet"/>
      <w:lvlText w:val="•"/>
      <w:lvlJc w:val="left"/>
      <w:pPr>
        <w:ind w:left="2191" w:hanging="113"/>
      </w:pPr>
      <w:rPr>
        <w:rFonts w:hint="default"/>
        <w:lang w:val="et-EE" w:eastAsia="en-US" w:bidi="ar-SA"/>
      </w:rPr>
    </w:lvl>
  </w:abstractNum>
  <w:abstractNum w:abstractNumId="29">
    <w:multiLevelType w:val="hybridMultilevel"/>
    <w:lvl w:ilvl="0">
      <w:start w:val="0"/>
      <w:numFmt w:val="bullet"/>
      <w:lvlText w:val=""/>
      <w:lvlJc w:val="left"/>
      <w:pPr>
        <w:ind w:left="217"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9" w:hanging="113"/>
      </w:pPr>
      <w:rPr>
        <w:rFonts w:hint="default"/>
        <w:lang w:val="et-EE" w:eastAsia="en-US" w:bidi="ar-SA"/>
      </w:rPr>
    </w:lvl>
    <w:lvl w:ilvl="2">
      <w:start w:val="0"/>
      <w:numFmt w:val="bullet"/>
      <w:lvlText w:val="•"/>
      <w:lvlJc w:val="left"/>
      <w:pPr>
        <w:ind w:left="798" w:hanging="113"/>
      </w:pPr>
      <w:rPr>
        <w:rFonts w:hint="default"/>
        <w:lang w:val="et-EE" w:eastAsia="en-US" w:bidi="ar-SA"/>
      </w:rPr>
    </w:lvl>
    <w:lvl w:ilvl="3">
      <w:start w:val="0"/>
      <w:numFmt w:val="bullet"/>
      <w:lvlText w:val="•"/>
      <w:lvlJc w:val="left"/>
      <w:pPr>
        <w:ind w:left="1087" w:hanging="113"/>
      </w:pPr>
      <w:rPr>
        <w:rFonts w:hint="default"/>
        <w:lang w:val="et-EE" w:eastAsia="en-US" w:bidi="ar-SA"/>
      </w:rPr>
    </w:lvl>
    <w:lvl w:ilvl="4">
      <w:start w:val="0"/>
      <w:numFmt w:val="bullet"/>
      <w:lvlText w:val="•"/>
      <w:lvlJc w:val="left"/>
      <w:pPr>
        <w:ind w:left="1376" w:hanging="113"/>
      </w:pPr>
      <w:rPr>
        <w:rFonts w:hint="default"/>
        <w:lang w:val="et-EE" w:eastAsia="en-US" w:bidi="ar-SA"/>
      </w:rPr>
    </w:lvl>
    <w:lvl w:ilvl="5">
      <w:start w:val="0"/>
      <w:numFmt w:val="bullet"/>
      <w:lvlText w:val="•"/>
      <w:lvlJc w:val="left"/>
      <w:pPr>
        <w:ind w:left="1665" w:hanging="113"/>
      </w:pPr>
      <w:rPr>
        <w:rFonts w:hint="default"/>
        <w:lang w:val="et-EE" w:eastAsia="en-US" w:bidi="ar-SA"/>
      </w:rPr>
    </w:lvl>
    <w:lvl w:ilvl="6">
      <w:start w:val="0"/>
      <w:numFmt w:val="bullet"/>
      <w:lvlText w:val="•"/>
      <w:lvlJc w:val="left"/>
      <w:pPr>
        <w:ind w:left="1954" w:hanging="113"/>
      </w:pPr>
      <w:rPr>
        <w:rFonts w:hint="default"/>
        <w:lang w:val="et-EE" w:eastAsia="en-US" w:bidi="ar-SA"/>
      </w:rPr>
    </w:lvl>
    <w:lvl w:ilvl="7">
      <w:start w:val="0"/>
      <w:numFmt w:val="bullet"/>
      <w:lvlText w:val="•"/>
      <w:lvlJc w:val="left"/>
      <w:pPr>
        <w:ind w:left="2243" w:hanging="113"/>
      </w:pPr>
      <w:rPr>
        <w:rFonts w:hint="default"/>
        <w:lang w:val="et-EE" w:eastAsia="en-US" w:bidi="ar-SA"/>
      </w:rPr>
    </w:lvl>
    <w:lvl w:ilvl="8">
      <w:start w:val="0"/>
      <w:numFmt w:val="bullet"/>
      <w:lvlText w:val="•"/>
      <w:lvlJc w:val="left"/>
      <w:pPr>
        <w:ind w:left="2532" w:hanging="113"/>
      </w:pPr>
      <w:rPr>
        <w:rFonts w:hint="default"/>
        <w:lang w:val="et-EE" w:eastAsia="en-US" w:bidi="ar-SA"/>
      </w:rPr>
    </w:lvl>
  </w:abstractNum>
  <w:abstractNum w:abstractNumId="28">
    <w:multiLevelType w:val="hybridMultilevel"/>
    <w:lvl w:ilvl="0">
      <w:start w:val="0"/>
      <w:numFmt w:val="bullet"/>
      <w:lvlText w:val=""/>
      <w:lvlJc w:val="left"/>
      <w:pPr>
        <w:ind w:left="217"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9" w:hanging="113"/>
      </w:pPr>
      <w:rPr>
        <w:rFonts w:hint="default"/>
        <w:lang w:val="et-EE" w:eastAsia="en-US" w:bidi="ar-SA"/>
      </w:rPr>
    </w:lvl>
    <w:lvl w:ilvl="2">
      <w:start w:val="0"/>
      <w:numFmt w:val="bullet"/>
      <w:lvlText w:val="•"/>
      <w:lvlJc w:val="left"/>
      <w:pPr>
        <w:ind w:left="798" w:hanging="113"/>
      </w:pPr>
      <w:rPr>
        <w:rFonts w:hint="default"/>
        <w:lang w:val="et-EE" w:eastAsia="en-US" w:bidi="ar-SA"/>
      </w:rPr>
    </w:lvl>
    <w:lvl w:ilvl="3">
      <w:start w:val="0"/>
      <w:numFmt w:val="bullet"/>
      <w:lvlText w:val="•"/>
      <w:lvlJc w:val="left"/>
      <w:pPr>
        <w:ind w:left="1087" w:hanging="113"/>
      </w:pPr>
      <w:rPr>
        <w:rFonts w:hint="default"/>
        <w:lang w:val="et-EE" w:eastAsia="en-US" w:bidi="ar-SA"/>
      </w:rPr>
    </w:lvl>
    <w:lvl w:ilvl="4">
      <w:start w:val="0"/>
      <w:numFmt w:val="bullet"/>
      <w:lvlText w:val="•"/>
      <w:lvlJc w:val="left"/>
      <w:pPr>
        <w:ind w:left="1376" w:hanging="113"/>
      </w:pPr>
      <w:rPr>
        <w:rFonts w:hint="default"/>
        <w:lang w:val="et-EE" w:eastAsia="en-US" w:bidi="ar-SA"/>
      </w:rPr>
    </w:lvl>
    <w:lvl w:ilvl="5">
      <w:start w:val="0"/>
      <w:numFmt w:val="bullet"/>
      <w:lvlText w:val="•"/>
      <w:lvlJc w:val="left"/>
      <w:pPr>
        <w:ind w:left="1665" w:hanging="113"/>
      </w:pPr>
      <w:rPr>
        <w:rFonts w:hint="default"/>
        <w:lang w:val="et-EE" w:eastAsia="en-US" w:bidi="ar-SA"/>
      </w:rPr>
    </w:lvl>
    <w:lvl w:ilvl="6">
      <w:start w:val="0"/>
      <w:numFmt w:val="bullet"/>
      <w:lvlText w:val="•"/>
      <w:lvlJc w:val="left"/>
      <w:pPr>
        <w:ind w:left="1954" w:hanging="113"/>
      </w:pPr>
      <w:rPr>
        <w:rFonts w:hint="default"/>
        <w:lang w:val="et-EE" w:eastAsia="en-US" w:bidi="ar-SA"/>
      </w:rPr>
    </w:lvl>
    <w:lvl w:ilvl="7">
      <w:start w:val="0"/>
      <w:numFmt w:val="bullet"/>
      <w:lvlText w:val="•"/>
      <w:lvlJc w:val="left"/>
      <w:pPr>
        <w:ind w:left="2243" w:hanging="113"/>
      </w:pPr>
      <w:rPr>
        <w:rFonts w:hint="default"/>
        <w:lang w:val="et-EE" w:eastAsia="en-US" w:bidi="ar-SA"/>
      </w:rPr>
    </w:lvl>
    <w:lvl w:ilvl="8">
      <w:start w:val="0"/>
      <w:numFmt w:val="bullet"/>
      <w:lvlText w:val="•"/>
      <w:lvlJc w:val="left"/>
      <w:pPr>
        <w:ind w:left="2532" w:hanging="113"/>
      </w:pPr>
      <w:rPr>
        <w:rFonts w:hint="default"/>
        <w:lang w:val="et-EE" w:eastAsia="en-US" w:bidi="ar-SA"/>
      </w:rPr>
    </w:lvl>
  </w:abstractNum>
  <w:abstractNum w:abstractNumId="27">
    <w:multiLevelType w:val="hybridMultilevel"/>
    <w:lvl w:ilvl="0">
      <w:start w:val="0"/>
      <w:numFmt w:val="bullet"/>
      <w:lvlText w:val=""/>
      <w:lvlJc w:val="left"/>
      <w:pPr>
        <w:ind w:left="218"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8" w:hanging="113"/>
      </w:pPr>
      <w:rPr>
        <w:rFonts w:hint="default"/>
        <w:lang w:val="et-EE" w:eastAsia="en-US" w:bidi="ar-SA"/>
      </w:rPr>
    </w:lvl>
    <w:lvl w:ilvl="2">
      <w:start w:val="0"/>
      <w:numFmt w:val="bullet"/>
      <w:lvlText w:val="•"/>
      <w:lvlJc w:val="left"/>
      <w:pPr>
        <w:ind w:left="797" w:hanging="113"/>
      </w:pPr>
      <w:rPr>
        <w:rFonts w:hint="default"/>
        <w:lang w:val="et-EE" w:eastAsia="en-US" w:bidi="ar-SA"/>
      </w:rPr>
    </w:lvl>
    <w:lvl w:ilvl="3">
      <w:start w:val="0"/>
      <w:numFmt w:val="bullet"/>
      <w:lvlText w:val="•"/>
      <w:lvlJc w:val="left"/>
      <w:pPr>
        <w:ind w:left="1086" w:hanging="113"/>
      </w:pPr>
      <w:rPr>
        <w:rFonts w:hint="default"/>
        <w:lang w:val="et-EE" w:eastAsia="en-US" w:bidi="ar-SA"/>
      </w:rPr>
    </w:lvl>
    <w:lvl w:ilvl="4">
      <w:start w:val="0"/>
      <w:numFmt w:val="bullet"/>
      <w:lvlText w:val="•"/>
      <w:lvlJc w:val="left"/>
      <w:pPr>
        <w:ind w:left="1375" w:hanging="113"/>
      </w:pPr>
      <w:rPr>
        <w:rFonts w:hint="default"/>
        <w:lang w:val="et-EE" w:eastAsia="en-US" w:bidi="ar-SA"/>
      </w:rPr>
    </w:lvl>
    <w:lvl w:ilvl="5">
      <w:start w:val="0"/>
      <w:numFmt w:val="bullet"/>
      <w:lvlText w:val="•"/>
      <w:lvlJc w:val="left"/>
      <w:pPr>
        <w:ind w:left="1664" w:hanging="113"/>
      </w:pPr>
      <w:rPr>
        <w:rFonts w:hint="default"/>
        <w:lang w:val="et-EE" w:eastAsia="en-US" w:bidi="ar-SA"/>
      </w:rPr>
    </w:lvl>
    <w:lvl w:ilvl="6">
      <w:start w:val="0"/>
      <w:numFmt w:val="bullet"/>
      <w:lvlText w:val="•"/>
      <w:lvlJc w:val="left"/>
      <w:pPr>
        <w:ind w:left="1953" w:hanging="113"/>
      </w:pPr>
      <w:rPr>
        <w:rFonts w:hint="default"/>
        <w:lang w:val="et-EE" w:eastAsia="en-US" w:bidi="ar-SA"/>
      </w:rPr>
    </w:lvl>
    <w:lvl w:ilvl="7">
      <w:start w:val="0"/>
      <w:numFmt w:val="bullet"/>
      <w:lvlText w:val="•"/>
      <w:lvlJc w:val="left"/>
      <w:pPr>
        <w:ind w:left="2242" w:hanging="113"/>
      </w:pPr>
      <w:rPr>
        <w:rFonts w:hint="default"/>
        <w:lang w:val="et-EE" w:eastAsia="en-US" w:bidi="ar-SA"/>
      </w:rPr>
    </w:lvl>
    <w:lvl w:ilvl="8">
      <w:start w:val="0"/>
      <w:numFmt w:val="bullet"/>
      <w:lvlText w:val="•"/>
      <w:lvlJc w:val="left"/>
      <w:pPr>
        <w:ind w:left="2531" w:hanging="113"/>
      </w:pPr>
      <w:rPr>
        <w:rFonts w:hint="default"/>
        <w:lang w:val="et-EE" w:eastAsia="en-US" w:bidi="ar-SA"/>
      </w:rPr>
    </w:lvl>
  </w:abstractNum>
  <w:abstractNum w:abstractNumId="26">
    <w:multiLevelType w:val="hybridMultilevel"/>
    <w:lvl w:ilvl="0">
      <w:start w:val="0"/>
      <w:numFmt w:val="bullet"/>
      <w:lvlText w:val=""/>
      <w:lvlJc w:val="left"/>
      <w:pPr>
        <w:ind w:left="216"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466" w:hanging="113"/>
      </w:pPr>
      <w:rPr>
        <w:rFonts w:hint="default"/>
        <w:lang w:val="et-EE" w:eastAsia="en-US" w:bidi="ar-SA"/>
      </w:rPr>
    </w:lvl>
    <w:lvl w:ilvl="2">
      <w:start w:val="0"/>
      <w:numFmt w:val="bullet"/>
      <w:lvlText w:val="•"/>
      <w:lvlJc w:val="left"/>
      <w:pPr>
        <w:ind w:left="712" w:hanging="113"/>
      </w:pPr>
      <w:rPr>
        <w:rFonts w:hint="default"/>
        <w:lang w:val="et-EE" w:eastAsia="en-US" w:bidi="ar-SA"/>
      </w:rPr>
    </w:lvl>
    <w:lvl w:ilvl="3">
      <w:start w:val="0"/>
      <w:numFmt w:val="bullet"/>
      <w:lvlText w:val="•"/>
      <w:lvlJc w:val="left"/>
      <w:pPr>
        <w:ind w:left="959" w:hanging="113"/>
      </w:pPr>
      <w:rPr>
        <w:rFonts w:hint="default"/>
        <w:lang w:val="et-EE" w:eastAsia="en-US" w:bidi="ar-SA"/>
      </w:rPr>
    </w:lvl>
    <w:lvl w:ilvl="4">
      <w:start w:val="0"/>
      <w:numFmt w:val="bullet"/>
      <w:lvlText w:val="•"/>
      <w:lvlJc w:val="left"/>
      <w:pPr>
        <w:ind w:left="1205" w:hanging="113"/>
      </w:pPr>
      <w:rPr>
        <w:rFonts w:hint="default"/>
        <w:lang w:val="et-EE" w:eastAsia="en-US" w:bidi="ar-SA"/>
      </w:rPr>
    </w:lvl>
    <w:lvl w:ilvl="5">
      <w:start w:val="0"/>
      <w:numFmt w:val="bullet"/>
      <w:lvlText w:val="•"/>
      <w:lvlJc w:val="left"/>
      <w:pPr>
        <w:ind w:left="1452" w:hanging="113"/>
      </w:pPr>
      <w:rPr>
        <w:rFonts w:hint="default"/>
        <w:lang w:val="et-EE" w:eastAsia="en-US" w:bidi="ar-SA"/>
      </w:rPr>
    </w:lvl>
    <w:lvl w:ilvl="6">
      <w:start w:val="0"/>
      <w:numFmt w:val="bullet"/>
      <w:lvlText w:val="•"/>
      <w:lvlJc w:val="left"/>
      <w:pPr>
        <w:ind w:left="1698" w:hanging="113"/>
      </w:pPr>
      <w:rPr>
        <w:rFonts w:hint="default"/>
        <w:lang w:val="et-EE" w:eastAsia="en-US" w:bidi="ar-SA"/>
      </w:rPr>
    </w:lvl>
    <w:lvl w:ilvl="7">
      <w:start w:val="0"/>
      <w:numFmt w:val="bullet"/>
      <w:lvlText w:val="•"/>
      <w:lvlJc w:val="left"/>
      <w:pPr>
        <w:ind w:left="1944" w:hanging="113"/>
      </w:pPr>
      <w:rPr>
        <w:rFonts w:hint="default"/>
        <w:lang w:val="et-EE" w:eastAsia="en-US" w:bidi="ar-SA"/>
      </w:rPr>
    </w:lvl>
    <w:lvl w:ilvl="8">
      <w:start w:val="0"/>
      <w:numFmt w:val="bullet"/>
      <w:lvlText w:val="•"/>
      <w:lvlJc w:val="left"/>
      <w:pPr>
        <w:ind w:left="2191" w:hanging="113"/>
      </w:pPr>
      <w:rPr>
        <w:rFonts w:hint="default"/>
        <w:lang w:val="et-EE" w:eastAsia="en-US" w:bidi="ar-SA"/>
      </w:rPr>
    </w:lvl>
  </w:abstractNum>
  <w:abstractNum w:abstractNumId="25">
    <w:multiLevelType w:val="hybridMultilevel"/>
    <w:lvl w:ilvl="0">
      <w:start w:val="0"/>
      <w:numFmt w:val="bullet"/>
      <w:lvlText w:val=""/>
      <w:lvlJc w:val="left"/>
      <w:pPr>
        <w:ind w:left="218"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8" w:hanging="113"/>
      </w:pPr>
      <w:rPr>
        <w:rFonts w:hint="default"/>
        <w:lang w:val="et-EE" w:eastAsia="en-US" w:bidi="ar-SA"/>
      </w:rPr>
    </w:lvl>
    <w:lvl w:ilvl="2">
      <w:start w:val="0"/>
      <w:numFmt w:val="bullet"/>
      <w:lvlText w:val="•"/>
      <w:lvlJc w:val="left"/>
      <w:pPr>
        <w:ind w:left="797" w:hanging="113"/>
      </w:pPr>
      <w:rPr>
        <w:rFonts w:hint="default"/>
        <w:lang w:val="et-EE" w:eastAsia="en-US" w:bidi="ar-SA"/>
      </w:rPr>
    </w:lvl>
    <w:lvl w:ilvl="3">
      <w:start w:val="0"/>
      <w:numFmt w:val="bullet"/>
      <w:lvlText w:val="•"/>
      <w:lvlJc w:val="left"/>
      <w:pPr>
        <w:ind w:left="1086" w:hanging="113"/>
      </w:pPr>
      <w:rPr>
        <w:rFonts w:hint="default"/>
        <w:lang w:val="et-EE" w:eastAsia="en-US" w:bidi="ar-SA"/>
      </w:rPr>
    </w:lvl>
    <w:lvl w:ilvl="4">
      <w:start w:val="0"/>
      <w:numFmt w:val="bullet"/>
      <w:lvlText w:val="•"/>
      <w:lvlJc w:val="left"/>
      <w:pPr>
        <w:ind w:left="1375" w:hanging="113"/>
      </w:pPr>
      <w:rPr>
        <w:rFonts w:hint="default"/>
        <w:lang w:val="et-EE" w:eastAsia="en-US" w:bidi="ar-SA"/>
      </w:rPr>
    </w:lvl>
    <w:lvl w:ilvl="5">
      <w:start w:val="0"/>
      <w:numFmt w:val="bullet"/>
      <w:lvlText w:val="•"/>
      <w:lvlJc w:val="left"/>
      <w:pPr>
        <w:ind w:left="1664" w:hanging="113"/>
      </w:pPr>
      <w:rPr>
        <w:rFonts w:hint="default"/>
        <w:lang w:val="et-EE" w:eastAsia="en-US" w:bidi="ar-SA"/>
      </w:rPr>
    </w:lvl>
    <w:lvl w:ilvl="6">
      <w:start w:val="0"/>
      <w:numFmt w:val="bullet"/>
      <w:lvlText w:val="•"/>
      <w:lvlJc w:val="left"/>
      <w:pPr>
        <w:ind w:left="1953" w:hanging="113"/>
      </w:pPr>
      <w:rPr>
        <w:rFonts w:hint="default"/>
        <w:lang w:val="et-EE" w:eastAsia="en-US" w:bidi="ar-SA"/>
      </w:rPr>
    </w:lvl>
    <w:lvl w:ilvl="7">
      <w:start w:val="0"/>
      <w:numFmt w:val="bullet"/>
      <w:lvlText w:val="•"/>
      <w:lvlJc w:val="left"/>
      <w:pPr>
        <w:ind w:left="2242" w:hanging="113"/>
      </w:pPr>
      <w:rPr>
        <w:rFonts w:hint="default"/>
        <w:lang w:val="et-EE" w:eastAsia="en-US" w:bidi="ar-SA"/>
      </w:rPr>
    </w:lvl>
    <w:lvl w:ilvl="8">
      <w:start w:val="0"/>
      <w:numFmt w:val="bullet"/>
      <w:lvlText w:val="•"/>
      <w:lvlJc w:val="left"/>
      <w:pPr>
        <w:ind w:left="2531" w:hanging="113"/>
      </w:pPr>
      <w:rPr>
        <w:rFonts w:hint="default"/>
        <w:lang w:val="et-EE" w:eastAsia="en-US" w:bidi="ar-SA"/>
      </w:rPr>
    </w:lvl>
  </w:abstractNum>
  <w:abstractNum w:abstractNumId="24">
    <w:multiLevelType w:val="hybridMultilevel"/>
    <w:lvl w:ilvl="0">
      <w:start w:val="0"/>
      <w:numFmt w:val="bullet"/>
      <w:lvlText w:val=""/>
      <w:lvlJc w:val="left"/>
      <w:pPr>
        <w:ind w:left="217"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37" w:hanging="113"/>
      </w:pPr>
      <w:rPr>
        <w:rFonts w:hint="default"/>
        <w:lang w:val="et-EE" w:eastAsia="en-US" w:bidi="ar-SA"/>
      </w:rPr>
    </w:lvl>
    <w:lvl w:ilvl="2">
      <w:start w:val="0"/>
      <w:numFmt w:val="bullet"/>
      <w:lvlText w:val="•"/>
      <w:lvlJc w:val="left"/>
      <w:pPr>
        <w:ind w:left="854" w:hanging="113"/>
      </w:pPr>
      <w:rPr>
        <w:rFonts w:hint="default"/>
        <w:lang w:val="et-EE" w:eastAsia="en-US" w:bidi="ar-SA"/>
      </w:rPr>
    </w:lvl>
    <w:lvl w:ilvl="3">
      <w:start w:val="0"/>
      <w:numFmt w:val="bullet"/>
      <w:lvlText w:val="•"/>
      <w:lvlJc w:val="left"/>
      <w:pPr>
        <w:ind w:left="1171" w:hanging="113"/>
      </w:pPr>
      <w:rPr>
        <w:rFonts w:hint="default"/>
        <w:lang w:val="et-EE" w:eastAsia="en-US" w:bidi="ar-SA"/>
      </w:rPr>
    </w:lvl>
    <w:lvl w:ilvl="4">
      <w:start w:val="0"/>
      <w:numFmt w:val="bullet"/>
      <w:lvlText w:val="•"/>
      <w:lvlJc w:val="left"/>
      <w:pPr>
        <w:ind w:left="1489" w:hanging="113"/>
      </w:pPr>
      <w:rPr>
        <w:rFonts w:hint="default"/>
        <w:lang w:val="et-EE" w:eastAsia="en-US" w:bidi="ar-SA"/>
      </w:rPr>
    </w:lvl>
    <w:lvl w:ilvl="5">
      <w:start w:val="0"/>
      <w:numFmt w:val="bullet"/>
      <w:lvlText w:val="•"/>
      <w:lvlJc w:val="left"/>
      <w:pPr>
        <w:ind w:left="1806" w:hanging="113"/>
      </w:pPr>
      <w:rPr>
        <w:rFonts w:hint="default"/>
        <w:lang w:val="et-EE" w:eastAsia="en-US" w:bidi="ar-SA"/>
      </w:rPr>
    </w:lvl>
    <w:lvl w:ilvl="6">
      <w:start w:val="0"/>
      <w:numFmt w:val="bullet"/>
      <w:lvlText w:val="•"/>
      <w:lvlJc w:val="left"/>
      <w:pPr>
        <w:ind w:left="2123" w:hanging="113"/>
      </w:pPr>
      <w:rPr>
        <w:rFonts w:hint="default"/>
        <w:lang w:val="et-EE" w:eastAsia="en-US" w:bidi="ar-SA"/>
      </w:rPr>
    </w:lvl>
    <w:lvl w:ilvl="7">
      <w:start w:val="0"/>
      <w:numFmt w:val="bullet"/>
      <w:lvlText w:val="•"/>
      <w:lvlJc w:val="left"/>
      <w:pPr>
        <w:ind w:left="2441" w:hanging="113"/>
      </w:pPr>
      <w:rPr>
        <w:rFonts w:hint="default"/>
        <w:lang w:val="et-EE" w:eastAsia="en-US" w:bidi="ar-SA"/>
      </w:rPr>
    </w:lvl>
    <w:lvl w:ilvl="8">
      <w:start w:val="0"/>
      <w:numFmt w:val="bullet"/>
      <w:lvlText w:val="•"/>
      <w:lvlJc w:val="left"/>
      <w:pPr>
        <w:ind w:left="2758" w:hanging="113"/>
      </w:pPr>
      <w:rPr>
        <w:rFonts w:hint="default"/>
        <w:lang w:val="et-EE" w:eastAsia="en-US" w:bidi="ar-SA"/>
      </w:rPr>
    </w:lvl>
  </w:abstractNum>
  <w:abstractNum w:abstractNumId="23">
    <w:multiLevelType w:val="hybridMultilevel"/>
    <w:lvl w:ilvl="0">
      <w:start w:val="0"/>
      <w:numFmt w:val="bullet"/>
      <w:lvlText w:val=""/>
      <w:lvlJc w:val="left"/>
      <w:pPr>
        <w:ind w:left="217"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9" w:hanging="113"/>
      </w:pPr>
      <w:rPr>
        <w:rFonts w:hint="default"/>
        <w:lang w:val="et-EE" w:eastAsia="en-US" w:bidi="ar-SA"/>
      </w:rPr>
    </w:lvl>
    <w:lvl w:ilvl="2">
      <w:start w:val="0"/>
      <w:numFmt w:val="bullet"/>
      <w:lvlText w:val="•"/>
      <w:lvlJc w:val="left"/>
      <w:pPr>
        <w:ind w:left="798" w:hanging="113"/>
      </w:pPr>
      <w:rPr>
        <w:rFonts w:hint="default"/>
        <w:lang w:val="et-EE" w:eastAsia="en-US" w:bidi="ar-SA"/>
      </w:rPr>
    </w:lvl>
    <w:lvl w:ilvl="3">
      <w:start w:val="0"/>
      <w:numFmt w:val="bullet"/>
      <w:lvlText w:val="•"/>
      <w:lvlJc w:val="left"/>
      <w:pPr>
        <w:ind w:left="1087" w:hanging="113"/>
      </w:pPr>
      <w:rPr>
        <w:rFonts w:hint="default"/>
        <w:lang w:val="et-EE" w:eastAsia="en-US" w:bidi="ar-SA"/>
      </w:rPr>
    </w:lvl>
    <w:lvl w:ilvl="4">
      <w:start w:val="0"/>
      <w:numFmt w:val="bullet"/>
      <w:lvlText w:val="•"/>
      <w:lvlJc w:val="left"/>
      <w:pPr>
        <w:ind w:left="1376" w:hanging="113"/>
      </w:pPr>
      <w:rPr>
        <w:rFonts w:hint="default"/>
        <w:lang w:val="et-EE" w:eastAsia="en-US" w:bidi="ar-SA"/>
      </w:rPr>
    </w:lvl>
    <w:lvl w:ilvl="5">
      <w:start w:val="0"/>
      <w:numFmt w:val="bullet"/>
      <w:lvlText w:val="•"/>
      <w:lvlJc w:val="left"/>
      <w:pPr>
        <w:ind w:left="1665" w:hanging="113"/>
      </w:pPr>
      <w:rPr>
        <w:rFonts w:hint="default"/>
        <w:lang w:val="et-EE" w:eastAsia="en-US" w:bidi="ar-SA"/>
      </w:rPr>
    </w:lvl>
    <w:lvl w:ilvl="6">
      <w:start w:val="0"/>
      <w:numFmt w:val="bullet"/>
      <w:lvlText w:val="•"/>
      <w:lvlJc w:val="left"/>
      <w:pPr>
        <w:ind w:left="1954" w:hanging="113"/>
      </w:pPr>
      <w:rPr>
        <w:rFonts w:hint="default"/>
        <w:lang w:val="et-EE" w:eastAsia="en-US" w:bidi="ar-SA"/>
      </w:rPr>
    </w:lvl>
    <w:lvl w:ilvl="7">
      <w:start w:val="0"/>
      <w:numFmt w:val="bullet"/>
      <w:lvlText w:val="•"/>
      <w:lvlJc w:val="left"/>
      <w:pPr>
        <w:ind w:left="2243" w:hanging="113"/>
      </w:pPr>
      <w:rPr>
        <w:rFonts w:hint="default"/>
        <w:lang w:val="et-EE" w:eastAsia="en-US" w:bidi="ar-SA"/>
      </w:rPr>
    </w:lvl>
    <w:lvl w:ilvl="8">
      <w:start w:val="0"/>
      <w:numFmt w:val="bullet"/>
      <w:lvlText w:val="•"/>
      <w:lvlJc w:val="left"/>
      <w:pPr>
        <w:ind w:left="2532" w:hanging="113"/>
      </w:pPr>
      <w:rPr>
        <w:rFonts w:hint="default"/>
        <w:lang w:val="et-EE" w:eastAsia="en-US" w:bidi="ar-SA"/>
      </w:rPr>
    </w:lvl>
  </w:abstractNum>
  <w:abstractNum w:abstractNumId="22">
    <w:multiLevelType w:val="hybridMultilevel"/>
    <w:lvl w:ilvl="0">
      <w:start w:val="0"/>
      <w:numFmt w:val="bullet"/>
      <w:lvlText w:val=""/>
      <w:lvlJc w:val="left"/>
      <w:pPr>
        <w:ind w:left="218" w:hanging="113"/>
      </w:pPr>
      <w:rPr>
        <w:rFonts w:hint="default" w:ascii="Wingdings" w:hAnsi="Wingdings" w:eastAsia="Wingdings" w:cs="Wingdings"/>
        <w:b w:val="0"/>
        <w:bCs w:val="0"/>
        <w:i w:val="0"/>
        <w:iCs w:val="0"/>
        <w:spacing w:val="3"/>
        <w:w w:val="89"/>
        <w:sz w:val="22"/>
        <w:szCs w:val="22"/>
        <w:lang w:val="et-EE" w:eastAsia="en-US" w:bidi="ar-SA"/>
      </w:rPr>
    </w:lvl>
    <w:lvl w:ilvl="1">
      <w:start w:val="0"/>
      <w:numFmt w:val="bullet"/>
      <w:lvlText w:val="•"/>
      <w:lvlJc w:val="left"/>
      <w:pPr>
        <w:ind w:left="508" w:hanging="113"/>
      </w:pPr>
      <w:rPr>
        <w:rFonts w:hint="default"/>
        <w:lang w:val="et-EE" w:eastAsia="en-US" w:bidi="ar-SA"/>
      </w:rPr>
    </w:lvl>
    <w:lvl w:ilvl="2">
      <w:start w:val="0"/>
      <w:numFmt w:val="bullet"/>
      <w:lvlText w:val="•"/>
      <w:lvlJc w:val="left"/>
      <w:pPr>
        <w:ind w:left="797" w:hanging="113"/>
      </w:pPr>
      <w:rPr>
        <w:rFonts w:hint="default"/>
        <w:lang w:val="et-EE" w:eastAsia="en-US" w:bidi="ar-SA"/>
      </w:rPr>
    </w:lvl>
    <w:lvl w:ilvl="3">
      <w:start w:val="0"/>
      <w:numFmt w:val="bullet"/>
      <w:lvlText w:val="•"/>
      <w:lvlJc w:val="left"/>
      <w:pPr>
        <w:ind w:left="1086" w:hanging="113"/>
      </w:pPr>
      <w:rPr>
        <w:rFonts w:hint="default"/>
        <w:lang w:val="et-EE" w:eastAsia="en-US" w:bidi="ar-SA"/>
      </w:rPr>
    </w:lvl>
    <w:lvl w:ilvl="4">
      <w:start w:val="0"/>
      <w:numFmt w:val="bullet"/>
      <w:lvlText w:val="•"/>
      <w:lvlJc w:val="left"/>
      <w:pPr>
        <w:ind w:left="1375" w:hanging="113"/>
      </w:pPr>
      <w:rPr>
        <w:rFonts w:hint="default"/>
        <w:lang w:val="et-EE" w:eastAsia="en-US" w:bidi="ar-SA"/>
      </w:rPr>
    </w:lvl>
    <w:lvl w:ilvl="5">
      <w:start w:val="0"/>
      <w:numFmt w:val="bullet"/>
      <w:lvlText w:val="•"/>
      <w:lvlJc w:val="left"/>
      <w:pPr>
        <w:ind w:left="1664" w:hanging="113"/>
      </w:pPr>
      <w:rPr>
        <w:rFonts w:hint="default"/>
        <w:lang w:val="et-EE" w:eastAsia="en-US" w:bidi="ar-SA"/>
      </w:rPr>
    </w:lvl>
    <w:lvl w:ilvl="6">
      <w:start w:val="0"/>
      <w:numFmt w:val="bullet"/>
      <w:lvlText w:val="•"/>
      <w:lvlJc w:val="left"/>
      <w:pPr>
        <w:ind w:left="1953" w:hanging="113"/>
      </w:pPr>
      <w:rPr>
        <w:rFonts w:hint="default"/>
        <w:lang w:val="et-EE" w:eastAsia="en-US" w:bidi="ar-SA"/>
      </w:rPr>
    </w:lvl>
    <w:lvl w:ilvl="7">
      <w:start w:val="0"/>
      <w:numFmt w:val="bullet"/>
      <w:lvlText w:val="•"/>
      <w:lvlJc w:val="left"/>
      <w:pPr>
        <w:ind w:left="2242" w:hanging="113"/>
      </w:pPr>
      <w:rPr>
        <w:rFonts w:hint="default"/>
        <w:lang w:val="et-EE" w:eastAsia="en-US" w:bidi="ar-SA"/>
      </w:rPr>
    </w:lvl>
    <w:lvl w:ilvl="8">
      <w:start w:val="0"/>
      <w:numFmt w:val="bullet"/>
      <w:lvlText w:val="•"/>
      <w:lvlJc w:val="left"/>
      <w:pPr>
        <w:ind w:left="2531" w:hanging="113"/>
      </w:pPr>
      <w:rPr>
        <w:rFonts w:hint="default"/>
        <w:lang w:val="et-EE" w:eastAsia="en-US" w:bidi="ar-SA"/>
      </w:rPr>
    </w:lvl>
  </w:abstractNum>
  <w:abstractNum w:abstractNumId="21">
    <w:multiLevelType w:val="hybridMultilevel"/>
    <w:lvl w:ilvl="0">
      <w:start w:val="5"/>
      <w:numFmt w:val="decimal"/>
      <w:lvlText w:val="%1"/>
      <w:lvlJc w:val="left"/>
      <w:pPr>
        <w:ind w:left="1049" w:hanging="480"/>
        <w:jc w:val="left"/>
      </w:pPr>
      <w:rPr>
        <w:rFonts w:hint="default"/>
        <w:lang w:val="et-EE" w:eastAsia="en-US" w:bidi="ar-SA"/>
      </w:rPr>
    </w:lvl>
    <w:lvl w:ilvl="1">
      <w:start w:val="1"/>
      <w:numFmt w:val="decimal"/>
      <w:lvlText w:val="%1.%2"/>
      <w:lvlJc w:val="left"/>
      <w:pPr>
        <w:ind w:left="1049"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0"/>
      <w:numFmt w:val="bullet"/>
      <w:lvlText w:val="•"/>
      <w:lvlJc w:val="left"/>
      <w:pPr>
        <w:ind w:left="2760" w:hanging="480"/>
      </w:pPr>
      <w:rPr>
        <w:rFonts w:hint="default"/>
        <w:lang w:val="et-EE" w:eastAsia="en-US" w:bidi="ar-SA"/>
      </w:rPr>
    </w:lvl>
    <w:lvl w:ilvl="3">
      <w:start w:val="0"/>
      <w:numFmt w:val="bullet"/>
      <w:lvlText w:val="•"/>
      <w:lvlJc w:val="left"/>
      <w:pPr>
        <w:ind w:left="3620" w:hanging="480"/>
      </w:pPr>
      <w:rPr>
        <w:rFonts w:hint="default"/>
        <w:lang w:val="et-EE" w:eastAsia="en-US" w:bidi="ar-SA"/>
      </w:rPr>
    </w:lvl>
    <w:lvl w:ilvl="4">
      <w:start w:val="0"/>
      <w:numFmt w:val="bullet"/>
      <w:lvlText w:val="•"/>
      <w:lvlJc w:val="left"/>
      <w:pPr>
        <w:ind w:left="4480" w:hanging="480"/>
      </w:pPr>
      <w:rPr>
        <w:rFonts w:hint="default"/>
        <w:lang w:val="et-EE" w:eastAsia="en-US" w:bidi="ar-SA"/>
      </w:rPr>
    </w:lvl>
    <w:lvl w:ilvl="5">
      <w:start w:val="0"/>
      <w:numFmt w:val="bullet"/>
      <w:lvlText w:val="•"/>
      <w:lvlJc w:val="left"/>
      <w:pPr>
        <w:ind w:left="5340" w:hanging="480"/>
      </w:pPr>
      <w:rPr>
        <w:rFonts w:hint="default"/>
        <w:lang w:val="et-EE" w:eastAsia="en-US" w:bidi="ar-SA"/>
      </w:rPr>
    </w:lvl>
    <w:lvl w:ilvl="6">
      <w:start w:val="0"/>
      <w:numFmt w:val="bullet"/>
      <w:lvlText w:val="•"/>
      <w:lvlJc w:val="left"/>
      <w:pPr>
        <w:ind w:left="6200" w:hanging="480"/>
      </w:pPr>
      <w:rPr>
        <w:rFonts w:hint="default"/>
        <w:lang w:val="et-EE" w:eastAsia="en-US" w:bidi="ar-SA"/>
      </w:rPr>
    </w:lvl>
    <w:lvl w:ilvl="7">
      <w:start w:val="0"/>
      <w:numFmt w:val="bullet"/>
      <w:lvlText w:val="•"/>
      <w:lvlJc w:val="left"/>
      <w:pPr>
        <w:ind w:left="7060" w:hanging="480"/>
      </w:pPr>
      <w:rPr>
        <w:rFonts w:hint="default"/>
        <w:lang w:val="et-EE" w:eastAsia="en-US" w:bidi="ar-SA"/>
      </w:rPr>
    </w:lvl>
    <w:lvl w:ilvl="8">
      <w:start w:val="0"/>
      <w:numFmt w:val="bullet"/>
      <w:lvlText w:val="•"/>
      <w:lvlJc w:val="left"/>
      <w:pPr>
        <w:ind w:left="7920" w:hanging="480"/>
      </w:pPr>
      <w:rPr>
        <w:rFonts w:hint="default"/>
        <w:lang w:val="et-EE" w:eastAsia="en-US" w:bidi="ar-SA"/>
      </w:rPr>
    </w:lvl>
  </w:abstractNum>
  <w:abstractNum w:abstractNumId="20">
    <w:multiLevelType w:val="hybridMultilevel"/>
    <w:lvl w:ilvl="0">
      <w:start w:val="4"/>
      <w:numFmt w:val="decimal"/>
      <w:lvlText w:val="%1"/>
      <w:lvlJc w:val="left"/>
      <w:pPr>
        <w:ind w:left="1049" w:hanging="480"/>
        <w:jc w:val="left"/>
      </w:pPr>
      <w:rPr>
        <w:rFonts w:hint="default"/>
        <w:lang w:val="et-EE" w:eastAsia="en-US" w:bidi="ar-SA"/>
      </w:rPr>
    </w:lvl>
    <w:lvl w:ilvl="1">
      <w:start w:val="1"/>
      <w:numFmt w:val="decimal"/>
      <w:lvlText w:val="%1.%2"/>
      <w:lvlJc w:val="left"/>
      <w:pPr>
        <w:ind w:left="1049"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1"/>
      <w:numFmt w:val="decimal"/>
      <w:lvlText w:val="%3."/>
      <w:lvlJc w:val="left"/>
      <w:pPr>
        <w:ind w:left="1529" w:hanging="480"/>
        <w:jc w:val="left"/>
      </w:pPr>
      <w:rPr>
        <w:rFonts w:hint="default" w:ascii="Times New Roman" w:hAnsi="Times New Roman" w:eastAsia="Times New Roman" w:cs="Times New Roman"/>
        <w:b/>
        <w:bCs/>
        <w:i w:val="0"/>
        <w:iCs w:val="0"/>
        <w:spacing w:val="0"/>
        <w:w w:val="100"/>
        <w:sz w:val="24"/>
        <w:szCs w:val="24"/>
        <w:lang w:val="et-EE" w:eastAsia="en-US" w:bidi="ar-SA"/>
      </w:rPr>
    </w:lvl>
    <w:lvl w:ilvl="3">
      <w:start w:val="0"/>
      <w:numFmt w:val="bullet"/>
      <w:lvlText w:val="•"/>
      <w:lvlJc w:val="left"/>
      <w:pPr>
        <w:ind w:left="3324" w:hanging="480"/>
      </w:pPr>
      <w:rPr>
        <w:rFonts w:hint="default"/>
        <w:lang w:val="et-EE" w:eastAsia="en-US" w:bidi="ar-SA"/>
      </w:rPr>
    </w:lvl>
    <w:lvl w:ilvl="4">
      <w:start w:val="0"/>
      <w:numFmt w:val="bullet"/>
      <w:lvlText w:val="•"/>
      <w:lvlJc w:val="left"/>
      <w:pPr>
        <w:ind w:left="4226" w:hanging="480"/>
      </w:pPr>
      <w:rPr>
        <w:rFonts w:hint="default"/>
        <w:lang w:val="et-EE" w:eastAsia="en-US" w:bidi="ar-SA"/>
      </w:rPr>
    </w:lvl>
    <w:lvl w:ilvl="5">
      <w:start w:val="0"/>
      <w:numFmt w:val="bullet"/>
      <w:lvlText w:val="•"/>
      <w:lvlJc w:val="left"/>
      <w:pPr>
        <w:ind w:left="5129" w:hanging="480"/>
      </w:pPr>
      <w:rPr>
        <w:rFonts w:hint="default"/>
        <w:lang w:val="et-EE" w:eastAsia="en-US" w:bidi="ar-SA"/>
      </w:rPr>
    </w:lvl>
    <w:lvl w:ilvl="6">
      <w:start w:val="0"/>
      <w:numFmt w:val="bullet"/>
      <w:lvlText w:val="•"/>
      <w:lvlJc w:val="left"/>
      <w:pPr>
        <w:ind w:left="6031" w:hanging="480"/>
      </w:pPr>
      <w:rPr>
        <w:rFonts w:hint="default"/>
        <w:lang w:val="et-EE" w:eastAsia="en-US" w:bidi="ar-SA"/>
      </w:rPr>
    </w:lvl>
    <w:lvl w:ilvl="7">
      <w:start w:val="0"/>
      <w:numFmt w:val="bullet"/>
      <w:lvlText w:val="•"/>
      <w:lvlJc w:val="left"/>
      <w:pPr>
        <w:ind w:left="6933" w:hanging="480"/>
      </w:pPr>
      <w:rPr>
        <w:rFonts w:hint="default"/>
        <w:lang w:val="et-EE" w:eastAsia="en-US" w:bidi="ar-SA"/>
      </w:rPr>
    </w:lvl>
    <w:lvl w:ilvl="8">
      <w:start w:val="0"/>
      <w:numFmt w:val="bullet"/>
      <w:lvlText w:val="•"/>
      <w:lvlJc w:val="left"/>
      <w:pPr>
        <w:ind w:left="7835" w:hanging="480"/>
      </w:pPr>
      <w:rPr>
        <w:rFonts w:hint="default"/>
        <w:lang w:val="et-EE" w:eastAsia="en-US" w:bidi="ar-SA"/>
      </w:rPr>
    </w:lvl>
  </w:abstractNum>
  <w:abstractNum w:abstractNumId="19">
    <w:multiLevelType w:val="hybridMultilevel"/>
    <w:lvl w:ilvl="0">
      <w:start w:val="1"/>
      <w:numFmt w:val="decimal"/>
      <w:lvlText w:val="%1."/>
      <w:lvlJc w:val="left"/>
      <w:pPr>
        <w:ind w:left="1538" w:hanging="48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1">
      <w:start w:val="0"/>
      <w:numFmt w:val="bullet"/>
      <w:lvlText w:val="•"/>
      <w:lvlJc w:val="left"/>
      <w:pPr>
        <w:ind w:left="2350" w:hanging="480"/>
      </w:pPr>
      <w:rPr>
        <w:rFonts w:hint="default"/>
        <w:lang w:val="et-EE" w:eastAsia="en-US" w:bidi="ar-SA"/>
      </w:rPr>
    </w:lvl>
    <w:lvl w:ilvl="2">
      <w:start w:val="0"/>
      <w:numFmt w:val="bullet"/>
      <w:lvlText w:val="•"/>
      <w:lvlJc w:val="left"/>
      <w:pPr>
        <w:ind w:left="3160" w:hanging="480"/>
      </w:pPr>
      <w:rPr>
        <w:rFonts w:hint="default"/>
        <w:lang w:val="et-EE" w:eastAsia="en-US" w:bidi="ar-SA"/>
      </w:rPr>
    </w:lvl>
    <w:lvl w:ilvl="3">
      <w:start w:val="0"/>
      <w:numFmt w:val="bullet"/>
      <w:lvlText w:val="•"/>
      <w:lvlJc w:val="left"/>
      <w:pPr>
        <w:ind w:left="3970" w:hanging="480"/>
      </w:pPr>
      <w:rPr>
        <w:rFonts w:hint="default"/>
        <w:lang w:val="et-EE" w:eastAsia="en-US" w:bidi="ar-SA"/>
      </w:rPr>
    </w:lvl>
    <w:lvl w:ilvl="4">
      <w:start w:val="0"/>
      <w:numFmt w:val="bullet"/>
      <w:lvlText w:val="•"/>
      <w:lvlJc w:val="left"/>
      <w:pPr>
        <w:ind w:left="4780" w:hanging="480"/>
      </w:pPr>
      <w:rPr>
        <w:rFonts w:hint="default"/>
        <w:lang w:val="et-EE" w:eastAsia="en-US" w:bidi="ar-SA"/>
      </w:rPr>
    </w:lvl>
    <w:lvl w:ilvl="5">
      <w:start w:val="0"/>
      <w:numFmt w:val="bullet"/>
      <w:lvlText w:val="•"/>
      <w:lvlJc w:val="left"/>
      <w:pPr>
        <w:ind w:left="5590" w:hanging="480"/>
      </w:pPr>
      <w:rPr>
        <w:rFonts w:hint="default"/>
        <w:lang w:val="et-EE" w:eastAsia="en-US" w:bidi="ar-SA"/>
      </w:rPr>
    </w:lvl>
    <w:lvl w:ilvl="6">
      <w:start w:val="0"/>
      <w:numFmt w:val="bullet"/>
      <w:lvlText w:val="•"/>
      <w:lvlJc w:val="left"/>
      <w:pPr>
        <w:ind w:left="6400" w:hanging="480"/>
      </w:pPr>
      <w:rPr>
        <w:rFonts w:hint="default"/>
        <w:lang w:val="et-EE" w:eastAsia="en-US" w:bidi="ar-SA"/>
      </w:rPr>
    </w:lvl>
    <w:lvl w:ilvl="7">
      <w:start w:val="0"/>
      <w:numFmt w:val="bullet"/>
      <w:lvlText w:val="•"/>
      <w:lvlJc w:val="left"/>
      <w:pPr>
        <w:ind w:left="7210" w:hanging="480"/>
      </w:pPr>
      <w:rPr>
        <w:rFonts w:hint="default"/>
        <w:lang w:val="et-EE" w:eastAsia="en-US" w:bidi="ar-SA"/>
      </w:rPr>
    </w:lvl>
    <w:lvl w:ilvl="8">
      <w:start w:val="0"/>
      <w:numFmt w:val="bullet"/>
      <w:lvlText w:val="•"/>
      <w:lvlJc w:val="left"/>
      <w:pPr>
        <w:ind w:left="8020" w:hanging="480"/>
      </w:pPr>
      <w:rPr>
        <w:rFonts w:hint="default"/>
        <w:lang w:val="et-EE" w:eastAsia="en-US" w:bidi="ar-SA"/>
      </w:rPr>
    </w:lvl>
  </w:abstractNum>
  <w:abstractNum w:abstractNumId="18">
    <w:multiLevelType w:val="hybridMultilevel"/>
    <w:lvl w:ilvl="0">
      <w:start w:val="0"/>
      <w:numFmt w:val="bullet"/>
      <w:lvlText w:val=""/>
      <w:lvlJc w:val="left"/>
      <w:pPr>
        <w:ind w:left="588" w:hanging="481"/>
      </w:pPr>
      <w:rPr>
        <w:rFonts w:hint="default" w:ascii="Wingdings" w:hAnsi="Wingdings" w:eastAsia="Wingdings" w:cs="Wingdings"/>
        <w:b w:val="0"/>
        <w:bCs w:val="0"/>
        <w:i w:val="0"/>
        <w:iCs w:val="0"/>
        <w:spacing w:val="0"/>
        <w:w w:val="100"/>
        <w:sz w:val="24"/>
        <w:szCs w:val="24"/>
        <w:lang w:val="et-EE" w:eastAsia="en-US" w:bidi="ar-SA"/>
      </w:rPr>
    </w:lvl>
    <w:lvl w:ilvl="1">
      <w:start w:val="0"/>
      <w:numFmt w:val="bullet"/>
      <w:lvlText w:val="•"/>
      <w:lvlJc w:val="left"/>
      <w:pPr>
        <w:ind w:left="1257" w:hanging="481"/>
      </w:pPr>
      <w:rPr>
        <w:rFonts w:hint="default"/>
        <w:lang w:val="et-EE" w:eastAsia="en-US" w:bidi="ar-SA"/>
      </w:rPr>
    </w:lvl>
    <w:lvl w:ilvl="2">
      <w:start w:val="0"/>
      <w:numFmt w:val="bullet"/>
      <w:lvlText w:val="•"/>
      <w:lvlJc w:val="left"/>
      <w:pPr>
        <w:ind w:left="1935" w:hanging="481"/>
      </w:pPr>
      <w:rPr>
        <w:rFonts w:hint="default"/>
        <w:lang w:val="et-EE" w:eastAsia="en-US" w:bidi="ar-SA"/>
      </w:rPr>
    </w:lvl>
    <w:lvl w:ilvl="3">
      <w:start w:val="0"/>
      <w:numFmt w:val="bullet"/>
      <w:lvlText w:val="•"/>
      <w:lvlJc w:val="left"/>
      <w:pPr>
        <w:ind w:left="2613" w:hanging="481"/>
      </w:pPr>
      <w:rPr>
        <w:rFonts w:hint="default"/>
        <w:lang w:val="et-EE" w:eastAsia="en-US" w:bidi="ar-SA"/>
      </w:rPr>
    </w:lvl>
    <w:lvl w:ilvl="4">
      <w:start w:val="0"/>
      <w:numFmt w:val="bullet"/>
      <w:lvlText w:val="•"/>
      <w:lvlJc w:val="left"/>
      <w:pPr>
        <w:ind w:left="3291" w:hanging="481"/>
      </w:pPr>
      <w:rPr>
        <w:rFonts w:hint="default"/>
        <w:lang w:val="et-EE" w:eastAsia="en-US" w:bidi="ar-SA"/>
      </w:rPr>
    </w:lvl>
    <w:lvl w:ilvl="5">
      <w:start w:val="0"/>
      <w:numFmt w:val="bullet"/>
      <w:lvlText w:val="•"/>
      <w:lvlJc w:val="left"/>
      <w:pPr>
        <w:ind w:left="3969" w:hanging="481"/>
      </w:pPr>
      <w:rPr>
        <w:rFonts w:hint="default"/>
        <w:lang w:val="et-EE" w:eastAsia="en-US" w:bidi="ar-SA"/>
      </w:rPr>
    </w:lvl>
    <w:lvl w:ilvl="6">
      <w:start w:val="0"/>
      <w:numFmt w:val="bullet"/>
      <w:lvlText w:val="•"/>
      <w:lvlJc w:val="left"/>
      <w:pPr>
        <w:ind w:left="4646" w:hanging="481"/>
      </w:pPr>
      <w:rPr>
        <w:rFonts w:hint="default"/>
        <w:lang w:val="et-EE" w:eastAsia="en-US" w:bidi="ar-SA"/>
      </w:rPr>
    </w:lvl>
    <w:lvl w:ilvl="7">
      <w:start w:val="0"/>
      <w:numFmt w:val="bullet"/>
      <w:lvlText w:val="•"/>
      <w:lvlJc w:val="left"/>
      <w:pPr>
        <w:ind w:left="5324" w:hanging="481"/>
      </w:pPr>
      <w:rPr>
        <w:rFonts w:hint="default"/>
        <w:lang w:val="et-EE" w:eastAsia="en-US" w:bidi="ar-SA"/>
      </w:rPr>
    </w:lvl>
    <w:lvl w:ilvl="8">
      <w:start w:val="0"/>
      <w:numFmt w:val="bullet"/>
      <w:lvlText w:val="•"/>
      <w:lvlJc w:val="left"/>
      <w:pPr>
        <w:ind w:left="6002" w:hanging="481"/>
      </w:pPr>
      <w:rPr>
        <w:rFonts w:hint="default"/>
        <w:lang w:val="et-EE" w:eastAsia="en-US" w:bidi="ar-SA"/>
      </w:rPr>
    </w:lvl>
  </w:abstractNum>
  <w:abstractNum w:abstractNumId="17">
    <w:multiLevelType w:val="hybridMultilevel"/>
    <w:lvl w:ilvl="0">
      <w:start w:val="0"/>
      <w:numFmt w:val="bullet"/>
      <w:lvlText w:val=""/>
      <w:lvlJc w:val="left"/>
      <w:pPr>
        <w:ind w:left="588" w:hanging="481"/>
      </w:pPr>
      <w:rPr>
        <w:rFonts w:hint="default" w:ascii="Wingdings" w:hAnsi="Wingdings" w:eastAsia="Wingdings" w:cs="Wingdings"/>
        <w:b w:val="0"/>
        <w:bCs w:val="0"/>
        <w:i w:val="0"/>
        <w:iCs w:val="0"/>
        <w:spacing w:val="0"/>
        <w:w w:val="100"/>
        <w:sz w:val="24"/>
        <w:szCs w:val="24"/>
        <w:lang w:val="et-EE" w:eastAsia="en-US" w:bidi="ar-SA"/>
      </w:rPr>
    </w:lvl>
    <w:lvl w:ilvl="1">
      <w:start w:val="0"/>
      <w:numFmt w:val="bullet"/>
      <w:lvlText w:val="•"/>
      <w:lvlJc w:val="left"/>
      <w:pPr>
        <w:ind w:left="974" w:hanging="481"/>
      </w:pPr>
      <w:rPr>
        <w:rFonts w:hint="default"/>
        <w:lang w:val="et-EE" w:eastAsia="en-US" w:bidi="ar-SA"/>
      </w:rPr>
    </w:lvl>
    <w:lvl w:ilvl="2">
      <w:start w:val="0"/>
      <w:numFmt w:val="bullet"/>
      <w:lvlText w:val="•"/>
      <w:lvlJc w:val="left"/>
      <w:pPr>
        <w:ind w:left="1369" w:hanging="481"/>
      </w:pPr>
      <w:rPr>
        <w:rFonts w:hint="default"/>
        <w:lang w:val="et-EE" w:eastAsia="en-US" w:bidi="ar-SA"/>
      </w:rPr>
    </w:lvl>
    <w:lvl w:ilvl="3">
      <w:start w:val="0"/>
      <w:numFmt w:val="bullet"/>
      <w:lvlText w:val="•"/>
      <w:lvlJc w:val="left"/>
      <w:pPr>
        <w:ind w:left="1763" w:hanging="481"/>
      </w:pPr>
      <w:rPr>
        <w:rFonts w:hint="default"/>
        <w:lang w:val="et-EE" w:eastAsia="en-US" w:bidi="ar-SA"/>
      </w:rPr>
    </w:lvl>
    <w:lvl w:ilvl="4">
      <w:start w:val="0"/>
      <w:numFmt w:val="bullet"/>
      <w:lvlText w:val="•"/>
      <w:lvlJc w:val="left"/>
      <w:pPr>
        <w:ind w:left="2158" w:hanging="481"/>
      </w:pPr>
      <w:rPr>
        <w:rFonts w:hint="default"/>
        <w:lang w:val="et-EE" w:eastAsia="en-US" w:bidi="ar-SA"/>
      </w:rPr>
    </w:lvl>
    <w:lvl w:ilvl="5">
      <w:start w:val="0"/>
      <w:numFmt w:val="bullet"/>
      <w:lvlText w:val="•"/>
      <w:lvlJc w:val="left"/>
      <w:pPr>
        <w:ind w:left="2553" w:hanging="481"/>
      </w:pPr>
      <w:rPr>
        <w:rFonts w:hint="default"/>
        <w:lang w:val="et-EE" w:eastAsia="en-US" w:bidi="ar-SA"/>
      </w:rPr>
    </w:lvl>
    <w:lvl w:ilvl="6">
      <w:start w:val="0"/>
      <w:numFmt w:val="bullet"/>
      <w:lvlText w:val="•"/>
      <w:lvlJc w:val="left"/>
      <w:pPr>
        <w:ind w:left="2947" w:hanging="481"/>
      </w:pPr>
      <w:rPr>
        <w:rFonts w:hint="default"/>
        <w:lang w:val="et-EE" w:eastAsia="en-US" w:bidi="ar-SA"/>
      </w:rPr>
    </w:lvl>
    <w:lvl w:ilvl="7">
      <w:start w:val="0"/>
      <w:numFmt w:val="bullet"/>
      <w:lvlText w:val="•"/>
      <w:lvlJc w:val="left"/>
      <w:pPr>
        <w:ind w:left="3342" w:hanging="481"/>
      </w:pPr>
      <w:rPr>
        <w:rFonts w:hint="default"/>
        <w:lang w:val="et-EE" w:eastAsia="en-US" w:bidi="ar-SA"/>
      </w:rPr>
    </w:lvl>
    <w:lvl w:ilvl="8">
      <w:start w:val="0"/>
      <w:numFmt w:val="bullet"/>
      <w:lvlText w:val="•"/>
      <w:lvlJc w:val="left"/>
      <w:pPr>
        <w:ind w:left="3736" w:hanging="481"/>
      </w:pPr>
      <w:rPr>
        <w:rFonts w:hint="default"/>
        <w:lang w:val="et-EE" w:eastAsia="en-US" w:bidi="ar-SA"/>
      </w:rPr>
    </w:lvl>
  </w:abstractNum>
  <w:abstractNum w:abstractNumId="16">
    <w:multiLevelType w:val="hybridMultilevel"/>
    <w:lvl w:ilvl="0">
      <w:start w:val="0"/>
      <w:numFmt w:val="bullet"/>
      <w:lvlText w:val=""/>
      <w:lvlJc w:val="left"/>
      <w:pPr>
        <w:ind w:left="588" w:hanging="481"/>
      </w:pPr>
      <w:rPr>
        <w:rFonts w:hint="default" w:ascii="Wingdings" w:hAnsi="Wingdings" w:eastAsia="Wingdings" w:cs="Wingdings"/>
        <w:b w:val="0"/>
        <w:bCs w:val="0"/>
        <w:i w:val="0"/>
        <w:iCs w:val="0"/>
        <w:spacing w:val="0"/>
        <w:w w:val="100"/>
        <w:sz w:val="24"/>
        <w:szCs w:val="24"/>
        <w:lang w:val="et-EE" w:eastAsia="en-US" w:bidi="ar-SA"/>
      </w:rPr>
    </w:lvl>
    <w:lvl w:ilvl="1">
      <w:start w:val="0"/>
      <w:numFmt w:val="bullet"/>
      <w:lvlText w:val="•"/>
      <w:lvlJc w:val="left"/>
      <w:pPr>
        <w:ind w:left="974" w:hanging="481"/>
      </w:pPr>
      <w:rPr>
        <w:rFonts w:hint="default"/>
        <w:lang w:val="et-EE" w:eastAsia="en-US" w:bidi="ar-SA"/>
      </w:rPr>
    </w:lvl>
    <w:lvl w:ilvl="2">
      <w:start w:val="0"/>
      <w:numFmt w:val="bullet"/>
      <w:lvlText w:val="•"/>
      <w:lvlJc w:val="left"/>
      <w:pPr>
        <w:ind w:left="1369" w:hanging="481"/>
      </w:pPr>
      <w:rPr>
        <w:rFonts w:hint="default"/>
        <w:lang w:val="et-EE" w:eastAsia="en-US" w:bidi="ar-SA"/>
      </w:rPr>
    </w:lvl>
    <w:lvl w:ilvl="3">
      <w:start w:val="0"/>
      <w:numFmt w:val="bullet"/>
      <w:lvlText w:val="•"/>
      <w:lvlJc w:val="left"/>
      <w:pPr>
        <w:ind w:left="1763" w:hanging="481"/>
      </w:pPr>
      <w:rPr>
        <w:rFonts w:hint="default"/>
        <w:lang w:val="et-EE" w:eastAsia="en-US" w:bidi="ar-SA"/>
      </w:rPr>
    </w:lvl>
    <w:lvl w:ilvl="4">
      <w:start w:val="0"/>
      <w:numFmt w:val="bullet"/>
      <w:lvlText w:val="•"/>
      <w:lvlJc w:val="left"/>
      <w:pPr>
        <w:ind w:left="2158" w:hanging="481"/>
      </w:pPr>
      <w:rPr>
        <w:rFonts w:hint="default"/>
        <w:lang w:val="et-EE" w:eastAsia="en-US" w:bidi="ar-SA"/>
      </w:rPr>
    </w:lvl>
    <w:lvl w:ilvl="5">
      <w:start w:val="0"/>
      <w:numFmt w:val="bullet"/>
      <w:lvlText w:val="•"/>
      <w:lvlJc w:val="left"/>
      <w:pPr>
        <w:ind w:left="2553" w:hanging="481"/>
      </w:pPr>
      <w:rPr>
        <w:rFonts w:hint="default"/>
        <w:lang w:val="et-EE" w:eastAsia="en-US" w:bidi="ar-SA"/>
      </w:rPr>
    </w:lvl>
    <w:lvl w:ilvl="6">
      <w:start w:val="0"/>
      <w:numFmt w:val="bullet"/>
      <w:lvlText w:val="•"/>
      <w:lvlJc w:val="left"/>
      <w:pPr>
        <w:ind w:left="2947" w:hanging="481"/>
      </w:pPr>
      <w:rPr>
        <w:rFonts w:hint="default"/>
        <w:lang w:val="et-EE" w:eastAsia="en-US" w:bidi="ar-SA"/>
      </w:rPr>
    </w:lvl>
    <w:lvl w:ilvl="7">
      <w:start w:val="0"/>
      <w:numFmt w:val="bullet"/>
      <w:lvlText w:val="•"/>
      <w:lvlJc w:val="left"/>
      <w:pPr>
        <w:ind w:left="3342" w:hanging="481"/>
      </w:pPr>
      <w:rPr>
        <w:rFonts w:hint="default"/>
        <w:lang w:val="et-EE" w:eastAsia="en-US" w:bidi="ar-SA"/>
      </w:rPr>
    </w:lvl>
    <w:lvl w:ilvl="8">
      <w:start w:val="0"/>
      <w:numFmt w:val="bullet"/>
      <w:lvlText w:val="•"/>
      <w:lvlJc w:val="left"/>
      <w:pPr>
        <w:ind w:left="3736" w:hanging="481"/>
      </w:pPr>
      <w:rPr>
        <w:rFonts w:hint="default"/>
        <w:lang w:val="et-EE" w:eastAsia="en-US" w:bidi="ar-SA"/>
      </w:rPr>
    </w:lvl>
  </w:abstractNum>
  <w:abstractNum w:abstractNumId="15">
    <w:multiLevelType w:val="hybridMultilevel"/>
    <w:lvl w:ilvl="0">
      <w:start w:val="0"/>
      <w:numFmt w:val="bullet"/>
      <w:lvlText w:val=""/>
      <w:lvlJc w:val="left"/>
      <w:pPr>
        <w:ind w:left="588" w:hanging="481"/>
      </w:pPr>
      <w:rPr>
        <w:rFonts w:hint="default" w:ascii="Wingdings" w:hAnsi="Wingdings" w:eastAsia="Wingdings" w:cs="Wingdings"/>
        <w:b w:val="0"/>
        <w:bCs w:val="0"/>
        <w:i w:val="0"/>
        <w:iCs w:val="0"/>
        <w:spacing w:val="0"/>
        <w:w w:val="100"/>
        <w:sz w:val="24"/>
        <w:szCs w:val="24"/>
        <w:lang w:val="et-EE" w:eastAsia="en-US" w:bidi="ar-SA"/>
      </w:rPr>
    </w:lvl>
    <w:lvl w:ilvl="1">
      <w:start w:val="0"/>
      <w:numFmt w:val="bullet"/>
      <w:lvlText w:val="•"/>
      <w:lvlJc w:val="left"/>
      <w:pPr>
        <w:ind w:left="974" w:hanging="481"/>
      </w:pPr>
      <w:rPr>
        <w:rFonts w:hint="default"/>
        <w:lang w:val="et-EE" w:eastAsia="en-US" w:bidi="ar-SA"/>
      </w:rPr>
    </w:lvl>
    <w:lvl w:ilvl="2">
      <w:start w:val="0"/>
      <w:numFmt w:val="bullet"/>
      <w:lvlText w:val="•"/>
      <w:lvlJc w:val="left"/>
      <w:pPr>
        <w:ind w:left="1369" w:hanging="481"/>
      </w:pPr>
      <w:rPr>
        <w:rFonts w:hint="default"/>
        <w:lang w:val="et-EE" w:eastAsia="en-US" w:bidi="ar-SA"/>
      </w:rPr>
    </w:lvl>
    <w:lvl w:ilvl="3">
      <w:start w:val="0"/>
      <w:numFmt w:val="bullet"/>
      <w:lvlText w:val="•"/>
      <w:lvlJc w:val="left"/>
      <w:pPr>
        <w:ind w:left="1763" w:hanging="481"/>
      </w:pPr>
      <w:rPr>
        <w:rFonts w:hint="default"/>
        <w:lang w:val="et-EE" w:eastAsia="en-US" w:bidi="ar-SA"/>
      </w:rPr>
    </w:lvl>
    <w:lvl w:ilvl="4">
      <w:start w:val="0"/>
      <w:numFmt w:val="bullet"/>
      <w:lvlText w:val="•"/>
      <w:lvlJc w:val="left"/>
      <w:pPr>
        <w:ind w:left="2158" w:hanging="481"/>
      </w:pPr>
      <w:rPr>
        <w:rFonts w:hint="default"/>
        <w:lang w:val="et-EE" w:eastAsia="en-US" w:bidi="ar-SA"/>
      </w:rPr>
    </w:lvl>
    <w:lvl w:ilvl="5">
      <w:start w:val="0"/>
      <w:numFmt w:val="bullet"/>
      <w:lvlText w:val="•"/>
      <w:lvlJc w:val="left"/>
      <w:pPr>
        <w:ind w:left="2553" w:hanging="481"/>
      </w:pPr>
      <w:rPr>
        <w:rFonts w:hint="default"/>
        <w:lang w:val="et-EE" w:eastAsia="en-US" w:bidi="ar-SA"/>
      </w:rPr>
    </w:lvl>
    <w:lvl w:ilvl="6">
      <w:start w:val="0"/>
      <w:numFmt w:val="bullet"/>
      <w:lvlText w:val="•"/>
      <w:lvlJc w:val="left"/>
      <w:pPr>
        <w:ind w:left="2947" w:hanging="481"/>
      </w:pPr>
      <w:rPr>
        <w:rFonts w:hint="default"/>
        <w:lang w:val="et-EE" w:eastAsia="en-US" w:bidi="ar-SA"/>
      </w:rPr>
    </w:lvl>
    <w:lvl w:ilvl="7">
      <w:start w:val="0"/>
      <w:numFmt w:val="bullet"/>
      <w:lvlText w:val="•"/>
      <w:lvlJc w:val="left"/>
      <w:pPr>
        <w:ind w:left="3342" w:hanging="481"/>
      </w:pPr>
      <w:rPr>
        <w:rFonts w:hint="default"/>
        <w:lang w:val="et-EE" w:eastAsia="en-US" w:bidi="ar-SA"/>
      </w:rPr>
    </w:lvl>
    <w:lvl w:ilvl="8">
      <w:start w:val="0"/>
      <w:numFmt w:val="bullet"/>
      <w:lvlText w:val="•"/>
      <w:lvlJc w:val="left"/>
      <w:pPr>
        <w:ind w:left="3736" w:hanging="481"/>
      </w:pPr>
      <w:rPr>
        <w:rFonts w:hint="default"/>
        <w:lang w:val="et-EE" w:eastAsia="en-US" w:bidi="ar-SA"/>
      </w:rPr>
    </w:lvl>
  </w:abstractNum>
  <w:abstractNum w:abstractNumId="14">
    <w:multiLevelType w:val="hybridMultilevel"/>
    <w:lvl w:ilvl="0">
      <w:start w:val="0"/>
      <w:numFmt w:val="bullet"/>
      <w:lvlText w:val=""/>
      <w:lvlJc w:val="left"/>
      <w:pPr>
        <w:ind w:left="588" w:hanging="481"/>
      </w:pPr>
      <w:rPr>
        <w:rFonts w:hint="default" w:ascii="Wingdings" w:hAnsi="Wingdings" w:eastAsia="Wingdings" w:cs="Wingdings"/>
        <w:b w:val="0"/>
        <w:bCs w:val="0"/>
        <w:i w:val="0"/>
        <w:iCs w:val="0"/>
        <w:spacing w:val="0"/>
        <w:w w:val="100"/>
        <w:sz w:val="24"/>
        <w:szCs w:val="24"/>
        <w:lang w:val="et-EE" w:eastAsia="en-US" w:bidi="ar-SA"/>
      </w:rPr>
    </w:lvl>
    <w:lvl w:ilvl="1">
      <w:start w:val="0"/>
      <w:numFmt w:val="bullet"/>
      <w:lvlText w:val="•"/>
      <w:lvlJc w:val="left"/>
      <w:pPr>
        <w:ind w:left="974" w:hanging="481"/>
      </w:pPr>
      <w:rPr>
        <w:rFonts w:hint="default"/>
        <w:lang w:val="et-EE" w:eastAsia="en-US" w:bidi="ar-SA"/>
      </w:rPr>
    </w:lvl>
    <w:lvl w:ilvl="2">
      <w:start w:val="0"/>
      <w:numFmt w:val="bullet"/>
      <w:lvlText w:val="•"/>
      <w:lvlJc w:val="left"/>
      <w:pPr>
        <w:ind w:left="1369" w:hanging="481"/>
      </w:pPr>
      <w:rPr>
        <w:rFonts w:hint="default"/>
        <w:lang w:val="et-EE" w:eastAsia="en-US" w:bidi="ar-SA"/>
      </w:rPr>
    </w:lvl>
    <w:lvl w:ilvl="3">
      <w:start w:val="0"/>
      <w:numFmt w:val="bullet"/>
      <w:lvlText w:val="•"/>
      <w:lvlJc w:val="left"/>
      <w:pPr>
        <w:ind w:left="1763" w:hanging="481"/>
      </w:pPr>
      <w:rPr>
        <w:rFonts w:hint="default"/>
        <w:lang w:val="et-EE" w:eastAsia="en-US" w:bidi="ar-SA"/>
      </w:rPr>
    </w:lvl>
    <w:lvl w:ilvl="4">
      <w:start w:val="0"/>
      <w:numFmt w:val="bullet"/>
      <w:lvlText w:val="•"/>
      <w:lvlJc w:val="left"/>
      <w:pPr>
        <w:ind w:left="2158" w:hanging="481"/>
      </w:pPr>
      <w:rPr>
        <w:rFonts w:hint="default"/>
        <w:lang w:val="et-EE" w:eastAsia="en-US" w:bidi="ar-SA"/>
      </w:rPr>
    </w:lvl>
    <w:lvl w:ilvl="5">
      <w:start w:val="0"/>
      <w:numFmt w:val="bullet"/>
      <w:lvlText w:val="•"/>
      <w:lvlJc w:val="left"/>
      <w:pPr>
        <w:ind w:left="2553" w:hanging="481"/>
      </w:pPr>
      <w:rPr>
        <w:rFonts w:hint="default"/>
        <w:lang w:val="et-EE" w:eastAsia="en-US" w:bidi="ar-SA"/>
      </w:rPr>
    </w:lvl>
    <w:lvl w:ilvl="6">
      <w:start w:val="0"/>
      <w:numFmt w:val="bullet"/>
      <w:lvlText w:val="•"/>
      <w:lvlJc w:val="left"/>
      <w:pPr>
        <w:ind w:left="2947" w:hanging="481"/>
      </w:pPr>
      <w:rPr>
        <w:rFonts w:hint="default"/>
        <w:lang w:val="et-EE" w:eastAsia="en-US" w:bidi="ar-SA"/>
      </w:rPr>
    </w:lvl>
    <w:lvl w:ilvl="7">
      <w:start w:val="0"/>
      <w:numFmt w:val="bullet"/>
      <w:lvlText w:val="•"/>
      <w:lvlJc w:val="left"/>
      <w:pPr>
        <w:ind w:left="3342" w:hanging="481"/>
      </w:pPr>
      <w:rPr>
        <w:rFonts w:hint="default"/>
        <w:lang w:val="et-EE" w:eastAsia="en-US" w:bidi="ar-SA"/>
      </w:rPr>
    </w:lvl>
    <w:lvl w:ilvl="8">
      <w:start w:val="0"/>
      <w:numFmt w:val="bullet"/>
      <w:lvlText w:val="•"/>
      <w:lvlJc w:val="left"/>
      <w:pPr>
        <w:ind w:left="3736" w:hanging="481"/>
      </w:pPr>
      <w:rPr>
        <w:rFonts w:hint="default"/>
        <w:lang w:val="et-EE" w:eastAsia="en-US" w:bidi="ar-SA"/>
      </w:rPr>
    </w:lvl>
  </w:abstractNum>
  <w:abstractNum w:abstractNumId="13">
    <w:multiLevelType w:val="hybridMultilevel"/>
    <w:lvl w:ilvl="0">
      <w:start w:val="1"/>
      <w:numFmt w:val="decimal"/>
      <w:lvlText w:val="%1."/>
      <w:lvlJc w:val="left"/>
      <w:pPr>
        <w:ind w:left="1529" w:hanging="48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1">
      <w:start w:val="0"/>
      <w:numFmt w:val="bullet"/>
      <w:lvlText w:val="•"/>
      <w:lvlJc w:val="left"/>
      <w:pPr>
        <w:ind w:left="2332" w:hanging="480"/>
      </w:pPr>
      <w:rPr>
        <w:rFonts w:hint="default"/>
        <w:lang w:val="et-EE" w:eastAsia="en-US" w:bidi="ar-SA"/>
      </w:rPr>
    </w:lvl>
    <w:lvl w:ilvl="2">
      <w:start w:val="0"/>
      <w:numFmt w:val="bullet"/>
      <w:lvlText w:val="•"/>
      <w:lvlJc w:val="left"/>
      <w:pPr>
        <w:ind w:left="3144" w:hanging="480"/>
      </w:pPr>
      <w:rPr>
        <w:rFonts w:hint="default"/>
        <w:lang w:val="et-EE" w:eastAsia="en-US" w:bidi="ar-SA"/>
      </w:rPr>
    </w:lvl>
    <w:lvl w:ilvl="3">
      <w:start w:val="0"/>
      <w:numFmt w:val="bullet"/>
      <w:lvlText w:val="•"/>
      <w:lvlJc w:val="left"/>
      <w:pPr>
        <w:ind w:left="3956" w:hanging="480"/>
      </w:pPr>
      <w:rPr>
        <w:rFonts w:hint="default"/>
        <w:lang w:val="et-EE" w:eastAsia="en-US" w:bidi="ar-SA"/>
      </w:rPr>
    </w:lvl>
    <w:lvl w:ilvl="4">
      <w:start w:val="0"/>
      <w:numFmt w:val="bullet"/>
      <w:lvlText w:val="•"/>
      <w:lvlJc w:val="left"/>
      <w:pPr>
        <w:ind w:left="4768" w:hanging="480"/>
      </w:pPr>
      <w:rPr>
        <w:rFonts w:hint="default"/>
        <w:lang w:val="et-EE" w:eastAsia="en-US" w:bidi="ar-SA"/>
      </w:rPr>
    </w:lvl>
    <w:lvl w:ilvl="5">
      <w:start w:val="0"/>
      <w:numFmt w:val="bullet"/>
      <w:lvlText w:val="•"/>
      <w:lvlJc w:val="left"/>
      <w:pPr>
        <w:ind w:left="5580" w:hanging="480"/>
      </w:pPr>
      <w:rPr>
        <w:rFonts w:hint="default"/>
        <w:lang w:val="et-EE" w:eastAsia="en-US" w:bidi="ar-SA"/>
      </w:rPr>
    </w:lvl>
    <w:lvl w:ilvl="6">
      <w:start w:val="0"/>
      <w:numFmt w:val="bullet"/>
      <w:lvlText w:val="•"/>
      <w:lvlJc w:val="left"/>
      <w:pPr>
        <w:ind w:left="6392" w:hanging="480"/>
      </w:pPr>
      <w:rPr>
        <w:rFonts w:hint="default"/>
        <w:lang w:val="et-EE" w:eastAsia="en-US" w:bidi="ar-SA"/>
      </w:rPr>
    </w:lvl>
    <w:lvl w:ilvl="7">
      <w:start w:val="0"/>
      <w:numFmt w:val="bullet"/>
      <w:lvlText w:val="•"/>
      <w:lvlJc w:val="left"/>
      <w:pPr>
        <w:ind w:left="7204" w:hanging="480"/>
      </w:pPr>
      <w:rPr>
        <w:rFonts w:hint="default"/>
        <w:lang w:val="et-EE" w:eastAsia="en-US" w:bidi="ar-SA"/>
      </w:rPr>
    </w:lvl>
    <w:lvl w:ilvl="8">
      <w:start w:val="0"/>
      <w:numFmt w:val="bullet"/>
      <w:lvlText w:val="•"/>
      <w:lvlJc w:val="left"/>
      <w:pPr>
        <w:ind w:left="8016" w:hanging="480"/>
      </w:pPr>
      <w:rPr>
        <w:rFonts w:hint="default"/>
        <w:lang w:val="et-EE" w:eastAsia="en-US" w:bidi="ar-SA"/>
      </w:rPr>
    </w:lvl>
  </w:abstractNum>
  <w:abstractNum w:abstractNumId="12">
    <w:multiLevelType w:val="hybridMultilevel"/>
    <w:lvl w:ilvl="0">
      <w:start w:val="1"/>
      <w:numFmt w:val="decimal"/>
      <w:lvlText w:val="%1."/>
      <w:lvlJc w:val="left"/>
      <w:pPr>
        <w:ind w:left="1409" w:hanging="36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1">
      <w:start w:val="0"/>
      <w:numFmt w:val="bullet"/>
      <w:lvlText w:val="•"/>
      <w:lvlJc w:val="left"/>
      <w:pPr>
        <w:ind w:left="2224" w:hanging="360"/>
      </w:pPr>
      <w:rPr>
        <w:rFonts w:hint="default"/>
        <w:lang w:val="et-EE" w:eastAsia="en-US" w:bidi="ar-SA"/>
      </w:rPr>
    </w:lvl>
    <w:lvl w:ilvl="2">
      <w:start w:val="0"/>
      <w:numFmt w:val="bullet"/>
      <w:lvlText w:val="•"/>
      <w:lvlJc w:val="left"/>
      <w:pPr>
        <w:ind w:left="3048" w:hanging="360"/>
      </w:pPr>
      <w:rPr>
        <w:rFonts w:hint="default"/>
        <w:lang w:val="et-EE" w:eastAsia="en-US" w:bidi="ar-SA"/>
      </w:rPr>
    </w:lvl>
    <w:lvl w:ilvl="3">
      <w:start w:val="0"/>
      <w:numFmt w:val="bullet"/>
      <w:lvlText w:val="•"/>
      <w:lvlJc w:val="left"/>
      <w:pPr>
        <w:ind w:left="3872" w:hanging="360"/>
      </w:pPr>
      <w:rPr>
        <w:rFonts w:hint="default"/>
        <w:lang w:val="et-EE" w:eastAsia="en-US" w:bidi="ar-SA"/>
      </w:rPr>
    </w:lvl>
    <w:lvl w:ilvl="4">
      <w:start w:val="0"/>
      <w:numFmt w:val="bullet"/>
      <w:lvlText w:val="•"/>
      <w:lvlJc w:val="left"/>
      <w:pPr>
        <w:ind w:left="4696" w:hanging="360"/>
      </w:pPr>
      <w:rPr>
        <w:rFonts w:hint="default"/>
        <w:lang w:val="et-EE" w:eastAsia="en-US" w:bidi="ar-SA"/>
      </w:rPr>
    </w:lvl>
    <w:lvl w:ilvl="5">
      <w:start w:val="0"/>
      <w:numFmt w:val="bullet"/>
      <w:lvlText w:val="•"/>
      <w:lvlJc w:val="left"/>
      <w:pPr>
        <w:ind w:left="5520" w:hanging="360"/>
      </w:pPr>
      <w:rPr>
        <w:rFonts w:hint="default"/>
        <w:lang w:val="et-EE" w:eastAsia="en-US" w:bidi="ar-SA"/>
      </w:rPr>
    </w:lvl>
    <w:lvl w:ilvl="6">
      <w:start w:val="0"/>
      <w:numFmt w:val="bullet"/>
      <w:lvlText w:val="•"/>
      <w:lvlJc w:val="left"/>
      <w:pPr>
        <w:ind w:left="6344" w:hanging="360"/>
      </w:pPr>
      <w:rPr>
        <w:rFonts w:hint="default"/>
        <w:lang w:val="et-EE" w:eastAsia="en-US" w:bidi="ar-SA"/>
      </w:rPr>
    </w:lvl>
    <w:lvl w:ilvl="7">
      <w:start w:val="0"/>
      <w:numFmt w:val="bullet"/>
      <w:lvlText w:val="•"/>
      <w:lvlJc w:val="left"/>
      <w:pPr>
        <w:ind w:left="7168" w:hanging="360"/>
      </w:pPr>
      <w:rPr>
        <w:rFonts w:hint="default"/>
        <w:lang w:val="et-EE" w:eastAsia="en-US" w:bidi="ar-SA"/>
      </w:rPr>
    </w:lvl>
    <w:lvl w:ilvl="8">
      <w:start w:val="0"/>
      <w:numFmt w:val="bullet"/>
      <w:lvlText w:val="•"/>
      <w:lvlJc w:val="left"/>
      <w:pPr>
        <w:ind w:left="7992" w:hanging="360"/>
      </w:pPr>
      <w:rPr>
        <w:rFonts w:hint="default"/>
        <w:lang w:val="et-EE" w:eastAsia="en-US" w:bidi="ar-SA"/>
      </w:rPr>
    </w:lvl>
  </w:abstractNum>
  <w:abstractNum w:abstractNumId="11">
    <w:multiLevelType w:val="hybridMultilevel"/>
    <w:lvl w:ilvl="0">
      <w:start w:val="3"/>
      <w:numFmt w:val="decimal"/>
      <w:lvlText w:val="%1"/>
      <w:lvlJc w:val="left"/>
      <w:pPr>
        <w:ind w:left="1049" w:hanging="480"/>
        <w:jc w:val="left"/>
      </w:pPr>
      <w:rPr>
        <w:rFonts w:hint="default"/>
        <w:lang w:val="et-EE" w:eastAsia="en-US" w:bidi="ar-SA"/>
      </w:rPr>
    </w:lvl>
    <w:lvl w:ilvl="1">
      <w:start w:val="1"/>
      <w:numFmt w:val="decimal"/>
      <w:lvlText w:val="%1.%2"/>
      <w:lvlJc w:val="left"/>
      <w:pPr>
        <w:ind w:left="1049"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1"/>
      <w:numFmt w:val="decimal"/>
      <w:lvlText w:val="%3."/>
      <w:lvlJc w:val="left"/>
      <w:pPr>
        <w:ind w:left="1529" w:hanging="480"/>
        <w:jc w:val="left"/>
      </w:pPr>
      <w:rPr>
        <w:rFonts w:hint="default"/>
        <w:spacing w:val="0"/>
        <w:w w:val="100"/>
        <w:lang w:val="et-EE" w:eastAsia="en-US" w:bidi="ar-SA"/>
      </w:rPr>
    </w:lvl>
    <w:lvl w:ilvl="3">
      <w:start w:val="0"/>
      <w:numFmt w:val="bullet"/>
      <w:lvlText w:val="•"/>
      <w:lvlJc w:val="left"/>
      <w:pPr>
        <w:ind w:left="3324" w:hanging="480"/>
      </w:pPr>
      <w:rPr>
        <w:rFonts w:hint="default"/>
        <w:lang w:val="et-EE" w:eastAsia="en-US" w:bidi="ar-SA"/>
      </w:rPr>
    </w:lvl>
    <w:lvl w:ilvl="4">
      <w:start w:val="0"/>
      <w:numFmt w:val="bullet"/>
      <w:lvlText w:val="•"/>
      <w:lvlJc w:val="left"/>
      <w:pPr>
        <w:ind w:left="4226" w:hanging="480"/>
      </w:pPr>
      <w:rPr>
        <w:rFonts w:hint="default"/>
        <w:lang w:val="et-EE" w:eastAsia="en-US" w:bidi="ar-SA"/>
      </w:rPr>
    </w:lvl>
    <w:lvl w:ilvl="5">
      <w:start w:val="0"/>
      <w:numFmt w:val="bullet"/>
      <w:lvlText w:val="•"/>
      <w:lvlJc w:val="left"/>
      <w:pPr>
        <w:ind w:left="5129" w:hanging="480"/>
      </w:pPr>
      <w:rPr>
        <w:rFonts w:hint="default"/>
        <w:lang w:val="et-EE" w:eastAsia="en-US" w:bidi="ar-SA"/>
      </w:rPr>
    </w:lvl>
    <w:lvl w:ilvl="6">
      <w:start w:val="0"/>
      <w:numFmt w:val="bullet"/>
      <w:lvlText w:val="•"/>
      <w:lvlJc w:val="left"/>
      <w:pPr>
        <w:ind w:left="6031" w:hanging="480"/>
      </w:pPr>
      <w:rPr>
        <w:rFonts w:hint="default"/>
        <w:lang w:val="et-EE" w:eastAsia="en-US" w:bidi="ar-SA"/>
      </w:rPr>
    </w:lvl>
    <w:lvl w:ilvl="7">
      <w:start w:val="0"/>
      <w:numFmt w:val="bullet"/>
      <w:lvlText w:val="•"/>
      <w:lvlJc w:val="left"/>
      <w:pPr>
        <w:ind w:left="6933" w:hanging="480"/>
      </w:pPr>
      <w:rPr>
        <w:rFonts w:hint="default"/>
        <w:lang w:val="et-EE" w:eastAsia="en-US" w:bidi="ar-SA"/>
      </w:rPr>
    </w:lvl>
    <w:lvl w:ilvl="8">
      <w:start w:val="0"/>
      <w:numFmt w:val="bullet"/>
      <w:lvlText w:val="•"/>
      <w:lvlJc w:val="left"/>
      <w:pPr>
        <w:ind w:left="7835" w:hanging="480"/>
      </w:pPr>
      <w:rPr>
        <w:rFonts w:hint="default"/>
        <w:lang w:val="et-EE" w:eastAsia="en-US" w:bidi="ar-SA"/>
      </w:rPr>
    </w:lvl>
  </w:abstractNum>
  <w:abstractNum w:abstractNumId="10">
    <w:multiLevelType w:val="hybridMultilevel"/>
    <w:lvl w:ilvl="0">
      <w:start w:val="1"/>
      <w:numFmt w:val="decimal"/>
      <w:lvlText w:val="%1."/>
      <w:lvlJc w:val="left"/>
      <w:pPr>
        <w:ind w:left="1409" w:hanging="360"/>
        <w:jc w:val="left"/>
      </w:pPr>
      <w:rPr>
        <w:rFonts w:hint="default" w:ascii="Times New Roman" w:hAnsi="Times New Roman" w:eastAsia="Times New Roman" w:cs="Times New Roman"/>
        <w:b/>
        <w:bCs/>
        <w:i w:val="0"/>
        <w:iCs w:val="0"/>
        <w:spacing w:val="0"/>
        <w:w w:val="100"/>
        <w:sz w:val="24"/>
        <w:szCs w:val="24"/>
        <w:lang w:val="et-EE" w:eastAsia="en-US" w:bidi="ar-SA"/>
      </w:rPr>
    </w:lvl>
    <w:lvl w:ilvl="1">
      <w:start w:val="0"/>
      <w:numFmt w:val="bullet"/>
      <w:lvlText w:val="•"/>
      <w:lvlJc w:val="left"/>
      <w:pPr>
        <w:ind w:left="2224" w:hanging="360"/>
      </w:pPr>
      <w:rPr>
        <w:rFonts w:hint="default"/>
        <w:lang w:val="et-EE" w:eastAsia="en-US" w:bidi="ar-SA"/>
      </w:rPr>
    </w:lvl>
    <w:lvl w:ilvl="2">
      <w:start w:val="0"/>
      <w:numFmt w:val="bullet"/>
      <w:lvlText w:val="•"/>
      <w:lvlJc w:val="left"/>
      <w:pPr>
        <w:ind w:left="3048" w:hanging="360"/>
      </w:pPr>
      <w:rPr>
        <w:rFonts w:hint="default"/>
        <w:lang w:val="et-EE" w:eastAsia="en-US" w:bidi="ar-SA"/>
      </w:rPr>
    </w:lvl>
    <w:lvl w:ilvl="3">
      <w:start w:val="0"/>
      <w:numFmt w:val="bullet"/>
      <w:lvlText w:val="•"/>
      <w:lvlJc w:val="left"/>
      <w:pPr>
        <w:ind w:left="3872" w:hanging="360"/>
      </w:pPr>
      <w:rPr>
        <w:rFonts w:hint="default"/>
        <w:lang w:val="et-EE" w:eastAsia="en-US" w:bidi="ar-SA"/>
      </w:rPr>
    </w:lvl>
    <w:lvl w:ilvl="4">
      <w:start w:val="0"/>
      <w:numFmt w:val="bullet"/>
      <w:lvlText w:val="•"/>
      <w:lvlJc w:val="left"/>
      <w:pPr>
        <w:ind w:left="4696" w:hanging="360"/>
      </w:pPr>
      <w:rPr>
        <w:rFonts w:hint="default"/>
        <w:lang w:val="et-EE" w:eastAsia="en-US" w:bidi="ar-SA"/>
      </w:rPr>
    </w:lvl>
    <w:lvl w:ilvl="5">
      <w:start w:val="0"/>
      <w:numFmt w:val="bullet"/>
      <w:lvlText w:val="•"/>
      <w:lvlJc w:val="left"/>
      <w:pPr>
        <w:ind w:left="5520" w:hanging="360"/>
      </w:pPr>
      <w:rPr>
        <w:rFonts w:hint="default"/>
        <w:lang w:val="et-EE" w:eastAsia="en-US" w:bidi="ar-SA"/>
      </w:rPr>
    </w:lvl>
    <w:lvl w:ilvl="6">
      <w:start w:val="0"/>
      <w:numFmt w:val="bullet"/>
      <w:lvlText w:val="•"/>
      <w:lvlJc w:val="left"/>
      <w:pPr>
        <w:ind w:left="6344" w:hanging="360"/>
      </w:pPr>
      <w:rPr>
        <w:rFonts w:hint="default"/>
        <w:lang w:val="et-EE" w:eastAsia="en-US" w:bidi="ar-SA"/>
      </w:rPr>
    </w:lvl>
    <w:lvl w:ilvl="7">
      <w:start w:val="0"/>
      <w:numFmt w:val="bullet"/>
      <w:lvlText w:val="•"/>
      <w:lvlJc w:val="left"/>
      <w:pPr>
        <w:ind w:left="7168" w:hanging="360"/>
      </w:pPr>
      <w:rPr>
        <w:rFonts w:hint="default"/>
        <w:lang w:val="et-EE" w:eastAsia="en-US" w:bidi="ar-SA"/>
      </w:rPr>
    </w:lvl>
    <w:lvl w:ilvl="8">
      <w:start w:val="0"/>
      <w:numFmt w:val="bullet"/>
      <w:lvlText w:val="•"/>
      <w:lvlJc w:val="left"/>
      <w:pPr>
        <w:ind w:left="7992" w:hanging="360"/>
      </w:pPr>
      <w:rPr>
        <w:rFonts w:hint="default"/>
        <w:lang w:val="et-EE" w:eastAsia="en-US" w:bidi="ar-SA"/>
      </w:rPr>
    </w:lvl>
  </w:abstractNum>
  <w:abstractNum w:abstractNumId="9">
    <w:multiLevelType w:val="hybridMultilevel"/>
    <w:lvl w:ilvl="0">
      <w:start w:val="1"/>
      <w:numFmt w:val="decimal"/>
      <w:lvlText w:val="%1."/>
      <w:lvlJc w:val="left"/>
      <w:pPr>
        <w:ind w:left="1529" w:hanging="480"/>
        <w:jc w:val="left"/>
      </w:pPr>
      <w:rPr>
        <w:rFonts w:hint="default" w:ascii="Times New Roman" w:hAnsi="Times New Roman" w:eastAsia="Times New Roman" w:cs="Times New Roman"/>
        <w:b/>
        <w:bCs/>
        <w:i w:val="0"/>
        <w:iCs w:val="0"/>
        <w:spacing w:val="0"/>
        <w:w w:val="100"/>
        <w:sz w:val="24"/>
        <w:szCs w:val="24"/>
        <w:lang w:val="et-EE" w:eastAsia="en-US" w:bidi="ar-SA"/>
      </w:rPr>
    </w:lvl>
    <w:lvl w:ilvl="1">
      <w:start w:val="0"/>
      <w:numFmt w:val="bullet"/>
      <w:lvlText w:val="•"/>
      <w:lvlJc w:val="left"/>
      <w:pPr>
        <w:ind w:left="2332" w:hanging="480"/>
      </w:pPr>
      <w:rPr>
        <w:rFonts w:hint="default"/>
        <w:lang w:val="et-EE" w:eastAsia="en-US" w:bidi="ar-SA"/>
      </w:rPr>
    </w:lvl>
    <w:lvl w:ilvl="2">
      <w:start w:val="0"/>
      <w:numFmt w:val="bullet"/>
      <w:lvlText w:val="•"/>
      <w:lvlJc w:val="left"/>
      <w:pPr>
        <w:ind w:left="3144" w:hanging="480"/>
      </w:pPr>
      <w:rPr>
        <w:rFonts w:hint="default"/>
        <w:lang w:val="et-EE" w:eastAsia="en-US" w:bidi="ar-SA"/>
      </w:rPr>
    </w:lvl>
    <w:lvl w:ilvl="3">
      <w:start w:val="0"/>
      <w:numFmt w:val="bullet"/>
      <w:lvlText w:val="•"/>
      <w:lvlJc w:val="left"/>
      <w:pPr>
        <w:ind w:left="3956" w:hanging="480"/>
      </w:pPr>
      <w:rPr>
        <w:rFonts w:hint="default"/>
        <w:lang w:val="et-EE" w:eastAsia="en-US" w:bidi="ar-SA"/>
      </w:rPr>
    </w:lvl>
    <w:lvl w:ilvl="4">
      <w:start w:val="0"/>
      <w:numFmt w:val="bullet"/>
      <w:lvlText w:val="•"/>
      <w:lvlJc w:val="left"/>
      <w:pPr>
        <w:ind w:left="4768" w:hanging="480"/>
      </w:pPr>
      <w:rPr>
        <w:rFonts w:hint="default"/>
        <w:lang w:val="et-EE" w:eastAsia="en-US" w:bidi="ar-SA"/>
      </w:rPr>
    </w:lvl>
    <w:lvl w:ilvl="5">
      <w:start w:val="0"/>
      <w:numFmt w:val="bullet"/>
      <w:lvlText w:val="•"/>
      <w:lvlJc w:val="left"/>
      <w:pPr>
        <w:ind w:left="5580" w:hanging="480"/>
      </w:pPr>
      <w:rPr>
        <w:rFonts w:hint="default"/>
        <w:lang w:val="et-EE" w:eastAsia="en-US" w:bidi="ar-SA"/>
      </w:rPr>
    </w:lvl>
    <w:lvl w:ilvl="6">
      <w:start w:val="0"/>
      <w:numFmt w:val="bullet"/>
      <w:lvlText w:val="•"/>
      <w:lvlJc w:val="left"/>
      <w:pPr>
        <w:ind w:left="6392" w:hanging="480"/>
      </w:pPr>
      <w:rPr>
        <w:rFonts w:hint="default"/>
        <w:lang w:val="et-EE" w:eastAsia="en-US" w:bidi="ar-SA"/>
      </w:rPr>
    </w:lvl>
    <w:lvl w:ilvl="7">
      <w:start w:val="0"/>
      <w:numFmt w:val="bullet"/>
      <w:lvlText w:val="•"/>
      <w:lvlJc w:val="left"/>
      <w:pPr>
        <w:ind w:left="7204" w:hanging="480"/>
      </w:pPr>
      <w:rPr>
        <w:rFonts w:hint="default"/>
        <w:lang w:val="et-EE" w:eastAsia="en-US" w:bidi="ar-SA"/>
      </w:rPr>
    </w:lvl>
    <w:lvl w:ilvl="8">
      <w:start w:val="0"/>
      <w:numFmt w:val="bullet"/>
      <w:lvlText w:val="•"/>
      <w:lvlJc w:val="left"/>
      <w:pPr>
        <w:ind w:left="8016" w:hanging="480"/>
      </w:pPr>
      <w:rPr>
        <w:rFonts w:hint="default"/>
        <w:lang w:val="et-EE" w:eastAsia="en-US" w:bidi="ar-SA"/>
      </w:rPr>
    </w:lvl>
  </w:abstractNum>
  <w:abstractNum w:abstractNumId="8">
    <w:multiLevelType w:val="hybridMultilevel"/>
    <w:lvl w:ilvl="0">
      <w:start w:val="2"/>
      <w:numFmt w:val="decimal"/>
      <w:lvlText w:val="%1"/>
      <w:lvlJc w:val="left"/>
      <w:pPr>
        <w:ind w:left="1049" w:hanging="480"/>
        <w:jc w:val="left"/>
      </w:pPr>
      <w:rPr>
        <w:rFonts w:hint="default"/>
        <w:lang w:val="et-EE" w:eastAsia="en-US" w:bidi="ar-SA"/>
      </w:rPr>
    </w:lvl>
    <w:lvl w:ilvl="1">
      <w:start w:val="1"/>
      <w:numFmt w:val="decimal"/>
      <w:lvlText w:val="%1.%2"/>
      <w:lvlJc w:val="left"/>
      <w:pPr>
        <w:ind w:left="1049"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1"/>
      <w:numFmt w:val="decimal"/>
      <w:lvlText w:val="%3."/>
      <w:lvlJc w:val="left"/>
      <w:pPr>
        <w:ind w:left="1409" w:hanging="360"/>
        <w:jc w:val="left"/>
      </w:pPr>
      <w:rPr>
        <w:rFonts w:hint="default"/>
        <w:spacing w:val="0"/>
        <w:w w:val="100"/>
        <w:lang w:val="et-EE" w:eastAsia="en-US" w:bidi="ar-SA"/>
      </w:rPr>
    </w:lvl>
    <w:lvl w:ilvl="3">
      <w:start w:val="0"/>
      <w:numFmt w:val="bullet"/>
      <w:lvlText w:val="•"/>
      <w:lvlJc w:val="left"/>
      <w:pPr>
        <w:ind w:left="2535" w:hanging="360"/>
      </w:pPr>
      <w:rPr>
        <w:rFonts w:hint="default"/>
        <w:lang w:val="et-EE" w:eastAsia="en-US" w:bidi="ar-SA"/>
      </w:rPr>
    </w:lvl>
    <w:lvl w:ilvl="4">
      <w:start w:val="0"/>
      <w:numFmt w:val="bullet"/>
      <w:lvlText w:val="•"/>
      <w:lvlJc w:val="left"/>
      <w:pPr>
        <w:ind w:left="3550" w:hanging="360"/>
      </w:pPr>
      <w:rPr>
        <w:rFonts w:hint="default"/>
        <w:lang w:val="et-EE" w:eastAsia="en-US" w:bidi="ar-SA"/>
      </w:rPr>
    </w:lvl>
    <w:lvl w:ilvl="5">
      <w:start w:val="0"/>
      <w:numFmt w:val="bullet"/>
      <w:lvlText w:val="•"/>
      <w:lvlJc w:val="left"/>
      <w:pPr>
        <w:ind w:left="4565" w:hanging="360"/>
      </w:pPr>
      <w:rPr>
        <w:rFonts w:hint="default"/>
        <w:lang w:val="et-EE" w:eastAsia="en-US" w:bidi="ar-SA"/>
      </w:rPr>
    </w:lvl>
    <w:lvl w:ilvl="6">
      <w:start w:val="0"/>
      <w:numFmt w:val="bullet"/>
      <w:lvlText w:val="•"/>
      <w:lvlJc w:val="left"/>
      <w:pPr>
        <w:ind w:left="5580" w:hanging="360"/>
      </w:pPr>
      <w:rPr>
        <w:rFonts w:hint="default"/>
        <w:lang w:val="et-EE" w:eastAsia="en-US" w:bidi="ar-SA"/>
      </w:rPr>
    </w:lvl>
    <w:lvl w:ilvl="7">
      <w:start w:val="0"/>
      <w:numFmt w:val="bullet"/>
      <w:lvlText w:val="•"/>
      <w:lvlJc w:val="left"/>
      <w:pPr>
        <w:ind w:left="6595" w:hanging="360"/>
      </w:pPr>
      <w:rPr>
        <w:rFonts w:hint="default"/>
        <w:lang w:val="et-EE" w:eastAsia="en-US" w:bidi="ar-SA"/>
      </w:rPr>
    </w:lvl>
    <w:lvl w:ilvl="8">
      <w:start w:val="0"/>
      <w:numFmt w:val="bullet"/>
      <w:lvlText w:val="•"/>
      <w:lvlJc w:val="left"/>
      <w:pPr>
        <w:ind w:left="7610" w:hanging="360"/>
      </w:pPr>
      <w:rPr>
        <w:rFonts w:hint="default"/>
        <w:lang w:val="et-EE" w:eastAsia="en-US" w:bidi="ar-SA"/>
      </w:rPr>
    </w:lvl>
  </w:abstractNum>
  <w:abstractNum w:abstractNumId="7">
    <w:multiLevelType w:val="hybridMultilevel"/>
    <w:lvl w:ilvl="0">
      <w:start w:val="1"/>
      <w:numFmt w:val="decimal"/>
      <w:lvlText w:val="%1."/>
      <w:lvlJc w:val="left"/>
      <w:pPr>
        <w:ind w:left="1529" w:hanging="24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1">
      <w:start w:val="0"/>
      <w:numFmt w:val="bullet"/>
      <w:lvlText w:val="•"/>
      <w:lvlJc w:val="left"/>
      <w:pPr>
        <w:ind w:left="2332" w:hanging="240"/>
      </w:pPr>
      <w:rPr>
        <w:rFonts w:hint="default"/>
        <w:lang w:val="et-EE" w:eastAsia="en-US" w:bidi="ar-SA"/>
      </w:rPr>
    </w:lvl>
    <w:lvl w:ilvl="2">
      <w:start w:val="0"/>
      <w:numFmt w:val="bullet"/>
      <w:lvlText w:val="•"/>
      <w:lvlJc w:val="left"/>
      <w:pPr>
        <w:ind w:left="3144" w:hanging="240"/>
      </w:pPr>
      <w:rPr>
        <w:rFonts w:hint="default"/>
        <w:lang w:val="et-EE" w:eastAsia="en-US" w:bidi="ar-SA"/>
      </w:rPr>
    </w:lvl>
    <w:lvl w:ilvl="3">
      <w:start w:val="0"/>
      <w:numFmt w:val="bullet"/>
      <w:lvlText w:val="•"/>
      <w:lvlJc w:val="left"/>
      <w:pPr>
        <w:ind w:left="3956" w:hanging="240"/>
      </w:pPr>
      <w:rPr>
        <w:rFonts w:hint="default"/>
        <w:lang w:val="et-EE" w:eastAsia="en-US" w:bidi="ar-SA"/>
      </w:rPr>
    </w:lvl>
    <w:lvl w:ilvl="4">
      <w:start w:val="0"/>
      <w:numFmt w:val="bullet"/>
      <w:lvlText w:val="•"/>
      <w:lvlJc w:val="left"/>
      <w:pPr>
        <w:ind w:left="4768" w:hanging="240"/>
      </w:pPr>
      <w:rPr>
        <w:rFonts w:hint="default"/>
        <w:lang w:val="et-EE" w:eastAsia="en-US" w:bidi="ar-SA"/>
      </w:rPr>
    </w:lvl>
    <w:lvl w:ilvl="5">
      <w:start w:val="0"/>
      <w:numFmt w:val="bullet"/>
      <w:lvlText w:val="•"/>
      <w:lvlJc w:val="left"/>
      <w:pPr>
        <w:ind w:left="5580" w:hanging="240"/>
      </w:pPr>
      <w:rPr>
        <w:rFonts w:hint="default"/>
        <w:lang w:val="et-EE" w:eastAsia="en-US" w:bidi="ar-SA"/>
      </w:rPr>
    </w:lvl>
    <w:lvl w:ilvl="6">
      <w:start w:val="0"/>
      <w:numFmt w:val="bullet"/>
      <w:lvlText w:val="•"/>
      <w:lvlJc w:val="left"/>
      <w:pPr>
        <w:ind w:left="6392" w:hanging="240"/>
      </w:pPr>
      <w:rPr>
        <w:rFonts w:hint="default"/>
        <w:lang w:val="et-EE" w:eastAsia="en-US" w:bidi="ar-SA"/>
      </w:rPr>
    </w:lvl>
    <w:lvl w:ilvl="7">
      <w:start w:val="0"/>
      <w:numFmt w:val="bullet"/>
      <w:lvlText w:val="•"/>
      <w:lvlJc w:val="left"/>
      <w:pPr>
        <w:ind w:left="7204" w:hanging="240"/>
      </w:pPr>
      <w:rPr>
        <w:rFonts w:hint="default"/>
        <w:lang w:val="et-EE" w:eastAsia="en-US" w:bidi="ar-SA"/>
      </w:rPr>
    </w:lvl>
    <w:lvl w:ilvl="8">
      <w:start w:val="0"/>
      <w:numFmt w:val="bullet"/>
      <w:lvlText w:val="•"/>
      <w:lvlJc w:val="left"/>
      <w:pPr>
        <w:ind w:left="8016" w:hanging="240"/>
      </w:pPr>
      <w:rPr>
        <w:rFonts w:hint="default"/>
        <w:lang w:val="et-EE" w:eastAsia="en-US" w:bidi="ar-SA"/>
      </w:rPr>
    </w:lvl>
  </w:abstractNum>
  <w:abstractNum w:abstractNumId="6">
    <w:multiLevelType w:val="hybridMultilevel"/>
    <w:lvl w:ilvl="0">
      <w:start w:val="1"/>
      <w:numFmt w:val="decimal"/>
      <w:lvlText w:val="%1"/>
      <w:lvlJc w:val="left"/>
      <w:pPr>
        <w:ind w:left="1049" w:hanging="480"/>
        <w:jc w:val="left"/>
      </w:pPr>
      <w:rPr>
        <w:rFonts w:hint="default"/>
        <w:lang w:val="et-EE" w:eastAsia="en-US" w:bidi="ar-SA"/>
      </w:rPr>
    </w:lvl>
    <w:lvl w:ilvl="1">
      <w:start w:val="1"/>
      <w:numFmt w:val="decimal"/>
      <w:lvlText w:val="%1.%2"/>
      <w:lvlJc w:val="left"/>
      <w:pPr>
        <w:ind w:left="1049" w:hanging="480"/>
        <w:jc w:val="left"/>
      </w:pPr>
      <w:rPr>
        <w:rFonts w:hint="default" w:ascii="Times New Roman" w:hAnsi="Times New Roman" w:eastAsia="Times New Roman" w:cs="Times New Roman"/>
        <w:b/>
        <w:bCs/>
        <w:i w:val="0"/>
        <w:iCs w:val="0"/>
        <w:spacing w:val="0"/>
        <w:w w:val="99"/>
        <w:sz w:val="32"/>
        <w:szCs w:val="32"/>
        <w:lang w:val="et-EE" w:eastAsia="en-US" w:bidi="ar-SA"/>
      </w:rPr>
    </w:lvl>
    <w:lvl w:ilvl="2">
      <w:start w:val="1"/>
      <w:numFmt w:val="decimal"/>
      <w:lvlText w:val="%3."/>
      <w:lvlJc w:val="left"/>
      <w:pPr>
        <w:ind w:left="1289" w:hanging="240"/>
        <w:jc w:val="right"/>
      </w:pPr>
      <w:rPr>
        <w:rFonts w:hint="default"/>
        <w:spacing w:val="0"/>
        <w:w w:val="100"/>
        <w:lang w:val="et-EE" w:eastAsia="en-US" w:bidi="ar-SA"/>
      </w:rPr>
    </w:lvl>
    <w:lvl w:ilvl="3">
      <w:start w:val="0"/>
      <w:numFmt w:val="bullet"/>
      <w:lvlText w:val="•"/>
      <w:lvlJc w:val="left"/>
      <w:pPr>
        <w:ind w:left="2535" w:hanging="240"/>
      </w:pPr>
      <w:rPr>
        <w:rFonts w:hint="default"/>
        <w:lang w:val="et-EE" w:eastAsia="en-US" w:bidi="ar-SA"/>
      </w:rPr>
    </w:lvl>
    <w:lvl w:ilvl="4">
      <w:start w:val="0"/>
      <w:numFmt w:val="bullet"/>
      <w:lvlText w:val="•"/>
      <w:lvlJc w:val="left"/>
      <w:pPr>
        <w:ind w:left="3550" w:hanging="240"/>
      </w:pPr>
      <w:rPr>
        <w:rFonts w:hint="default"/>
        <w:lang w:val="et-EE" w:eastAsia="en-US" w:bidi="ar-SA"/>
      </w:rPr>
    </w:lvl>
    <w:lvl w:ilvl="5">
      <w:start w:val="0"/>
      <w:numFmt w:val="bullet"/>
      <w:lvlText w:val="•"/>
      <w:lvlJc w:val="left"/>
      <w:pPr>
        <w:ind w:left="4565" w:hanging="240"/>
      </w:pPr>
      <w:rPr>
        <w:rFonts w:hint="default"/>
        <w:lang w:val="et-EE" w:eastAsia="en-US" w:bidi="ar-SA"/>
      </w:rPr>
    </w:lvl>
    <w:lvl w:ilvl="6">
      <w:start w:val="0"/>
      <w:numFmt w:val="bullet"/>
      <w:lvlText w:val="•"/>
      <w:lvlJc w:val="left"/>
      <w:pPr>
        <w:ind w:left="5580" w:hanging="240"/>
      </w:pPr>
      <w:rPr>
        <w:rFonts w:hint="default"/>
        <w:lang w:val="et-EE" w:eastAsia="en-US" w:bidi="ar-SA"/>
      </w:rPr>
    </w:lvl>
    <w:lvl w:ilvl="7">
      <w:start w:val="0"/>
      <w:numFmt w:val="bullet"/>
      <w:lvlText w:val="•"/>
      <w:lvlJc w:val="left"/>
      <w:pPr>
        <w:ind w:left="6595" w:hanging="240"/>
      </w:pPr>
      <w:rPr>
        <w:rFonts w:hint="default"/>
        <w:lang w:val="et-EE" w:eastAsia="en-US" w:bidi="ar-SA"/>
      </w:rPr>
    </w:lvl>
    <w:lvl w:ilvl="8">
      <w:start w:val="0"/>
      <w:numFmt w:val="bullet"/>
      <w:lvlText w:val="•"/>
      <w:lvlJc w:val="left"/>
      <w:pPr>
        <w:ind w:left="7610" w:hanging="240"/>
      </w:pPr>
      <w:rPr>
        <w:rFonts w:hint="default"/>
        <w:lang w:val="et-EE" w:eastAsia="en-US" w:bidi="ar-SA"/>
      </w:rPr>
    </w:lvl>
  </w:abstractNum>
  <w:abstractNum w:abstractNumId="5">
    <w:multiLevelType w:val="hybridMultilevel"/>
    <w:lvl w:ilvl="0">
      <w:start w:val="6"/>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abstractNum w:abstractNumId="4">
    <w:multiLevelType w:val="hybridMultilevel"/>
    <w:lvl w:ilvl="0">
      <w:start w:val="5"/>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abstractNum w:abstractNumId="3">
    <w:multiLevelType w:val="hybridMultilevel"/>
    <w:lvl w:ilvl="0">
      <w:start w:val="4"/>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abstractNum w:abstractNumId="2">
    <w:multiLevelType w:val="hybridMultilevel"/>
    <w:lvl w:ilvl="0">
      <w:start w:val="3"/>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abstractNum w:abstractNumId="1">
    <w:multiLevelType w:val="hybridMultilevel"/>
    <w:lvl w:ilvl="0">
      <w:start w:val="2"/>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abstractNum w:abstractNumId="0">
    <w:multiLevelType w:val="hybridMultilevel"/>
    <w:lvl w:ilvl="0">
      <w:start w:val="1"/>
      <w:numFmt w:val="decimal"/>
      <w:lvlText w:val="%1"/>
      <w:lvlJc w:val="left"/>
      <w:pPr>
        <w:ind w:left="2249" w:hanging="720"/>
        <w:jc w:val="left"/>
      </w:pPr>
      <w:rPr>
        <w:rFonts w:hint="default"/>
        <w:lang w:val="et-EE" w:eastAsia="en-US" w:bidi="ar-SA"/>
      </w:rPr>
    </w:lvl>
    <w:lvl w:ilvl="1">
      <w:start w:val="1"/>
      <w:numFmt w:val="decimal"/>
      <w:lvlText w:val="%1.%2"/>
      <w:lvlJc w:val="left"/>
      <w:pPr>
        <w:ind w:left="2249" w:hanging="720"/>
        <w:jc w:val="left"/>
      </w:pPr>
      <w:rPr>
        <w:rFonts w:hint="default" w:ascii="Times New Roman" w:hAnsi="Times New Roman" w:eastAsia="Times New Roman" w:cs="Times New Roman"/>
        <w:b w:val="0"/>
        <w:bCs w:val="0"/>
        <w:i w:val="0"/>
        <w:iCs w:val="0"/>
        <w:spacing w:val="0"/>
        <w:w w:val="100"/>
        <w:sz w:val="24"/>
        <w:szCs w:val="24"/>
        <w:lang w:val="et-EE" w:eastAsia="en-US" w:bidi="ar-SA"/>
      </w:rPr>
    </w:lvl>
    <w:lvl w:ilvl="2">
      <w:start w:val="0"/>
      <w:numFmt w:val="bullet"/>
      <w:lvlText w:val="•"/>
      <w:lvlJc w:val="left"/>
      <w:pPr>
        <w:ind w:left="3720" w:hanging="720"/>
      </w:pPr>
      <w:rPr>
        <w:rFonts w:hint="default"/>
        <w:lang w:val="et-EE" w:eastAsia="en-US" w:bidi="ar-SA"/>
      </w:rPr>
    </w:lvl>
    <w:lvl w:ilvl="3">
      <w:start w:val="0"/>
      <w:numFmt w:val="bullet"/>
      <w:lvlText w:val="•"/>
      <w:lvlJc w:val="left"/>
      <w:pPr>
        <w:ind w:left="4460" w:hanging="720"/>
      </w:pPr>
      <w:rPr>
        <w:rFonts w:hint="default"/>
        <w:lang w:val="et-EE" w:eastAsia="en-US" w:bidi="ar-SA"/>
      </w:rPr>
    </w:lvl>
    <w:lvl w:ilvl="4">
      <w:start w:val="0"/>
      <w:numFmt w:val="bullet"/>
      <w:lvlText w:val="•"/>
      <w:lvlJc w:val="left"/>
      <w:pPr>
        <w:ind w:left="5200" w:hanging="720"/>
      </w:pPr>
      <w:rPr>
        <w:rFonts w:hint="default"/>
        <w:lang w:val="et-EE" w:eastAsia="en-US" w:bidi="ar-SA"/>
      </w:rPr>
    </w:lvl>
    <w:lvl w:ilvl="5">
      <w:start w:val="0"/>
      <w:numFmt w:val="bullet"/>
      <w:lvlText w:val="•"/>
      <w:lvlJc w:val="left"/>
      <w:pPr>
        <w:ind w:left="5940" w:hanging="720"/>
      </w:pPr>
      <w:rPr>
        <w:rFonts w:hint="default"/>
        <w:lang w:val="et-EE" w:eastAsia="en-US" w:bidi="ar-SA"/>
      </w:rPr>
    </w:lvl>
    <w:lvl w:ilvl="6">
      <w:start w:val="0"/>
      <w:numFmt w:val="bullet"/>
      <w:lvlText w:val="•"/>
      <w:lvlJc w:val="left"/>
      <w:pPr>
        <w:ind w:left="6680" w:hanging="720"/>
      </w:pPr>
      <w:rPr>
        <w:rFonts w:hint="default"/>
        <w:lang w:val="et-EE" w:eastAsia="en-US" w:bidi="ar-SA"/>
      </w:rPr>
    </w:lvl>
    <w:lvl w:ilvl="7">
      <w:start w:val="0"/>
      <w:numFmt w:val="bullet"/>
      <w:lvlText w:val="•"/>
      <w:lvlJc w:val="left"/>
      <w:pPr>
        <w:ind w:left="7420" w:hanging="720"/>
      </w:pPr>
      <w:rPr>
        <w:rFonts w:hint="default"/>
        <w:lang w:val="et-EE" w:eastAsia="en-US" w:bidi="ar-SA"/>
      </w:rPr>
    </w:lvl>
    <w:lvl w:ilvl="8">
      <w:start w:val="0"/>
      <w:numFmt w:val="bullet"/>
      <w:lvlText w:val="•"/>
      <w:lvlJc w:val="left"/>
      <w:pPr>
        <w:ind w:left="8160" w:hanging="720"/>
      </w:pPr>
      <w:rPr>
        <w:rFonts w:hint="default"/>
        <w:lang w:val="et-EE" w:eastAsia="en-US"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t-EE" w:eastAsia="en-US" w:bidi="ar-SA"/>
    </w:rPr>
  </w:style>
  <w:style w:styleId="TOC1" w:type="paragraph">
    <w:name w:val="TOC 1"/>
    <w:basedOn w:val="Normal"/>
    <w:uiPriority w:val="1"/>
    <w:qFormat/>
    <w:pPr>
      <w:spacing w:before="412"/>
      <w:ind w:left="569"/>
    </w:pPr>
    <w:rPr>
      <w:rFonts w:ascii="SimSun" w:hAnsi="SimSun" w:eastAsia="SimSun" w:cs="SimSun"/>
      <w:sz w:val="24"/>
      <w:szCs w:val="24"/>
      <w:lang w:val="et-EE" w:eastAsia="en-US" w:bidi="ar-SA"/>
    </w:rPr>
  </w:style>
  <w:style w:styleId="TOC2" w:type="paragraph">
    <w:name w:val="TOC 2"/>
    <w:basedOn w:val="Normal"/>
    <w:uiPriority w:val="1"/>
    <w:qFormat/>
    <w:pPr>
      <w:spacing w:before="341"/>
      <w:ind w:left="2248" w:hanging="720"/>
    </w:pPr>
    <w:rPr>
      <w:rFonts w:ascii="SimSun" w:hAnsi="SimSun" w:eastAsia="SimSun" w:cs="SimSun"/>
      <w:sz w:val="24"/>
      <w:szCs w:val="24"/>
      <w:lang w:val="et-EE" w:eastAsia="en-US" w:bidi="ar-SA"/>
    </w:rPr>
  </w:style>
  <w:style w:styleId="TOC3" w:type="paragraph">
    <w:name w:val="TOC 3"/>
    <w:basedOn w:val="Normal"/>
    <w:uiPriority w:val="1"/>
    <w:qFormat/>
    <w:pPr>
      <w:spacing w:before="340"/>
      <w:ind w:left="2013"/>
    </w:pPr>
    <w:rPr>
      <w:rFonts w:ascii="SimSun" w:hAnsi="SimSun" w:eastAsia="SimSun" w:cs="SimSun"/>
      <w:sz w:val="24"/>
      <w:szCs w:val="24"/>
      <w:lang w:val="et-EE" w:eastAsia="en-US" w:bidi="ar-SA"/>
    </w:rPr>
  </w:style>
  <w:style w:styleId="BodyText" w:type="paragraph">
    <w:name w:val="Body Text"/>
    <w:basedOn w:val="Normal"/>
    <w:uiPriority w:val="1"/>
    <w:qFormat/>
    <w:pPr>
      <w:ind w:left="689"/>
      <w:jc w:val="both"/>
    </w:pPr>
    <w:rPr>
      <w:rFonts w:ascii="SimSun" w:hAnsi="SimSun" w:eastAsia="SimSun" w:cs="SimSun"/>
      <w:sz w:val="24"/>
      <w:szCs w:val="24"/>
      <w:lang w:val="et-EE" w:eastAsia="en-US" w:bidi="ar-SA"/>
    </w:rPr>
  </w:style>
  <w:style w:styleId="Heading1" w:type="paragraph">
    <w:name w:val="Heading 1"/>
    <w:basedOn w:val="Normal"/>
    <w:uiPriority w:val="1"/>
    <w:qFormat/>
    <w:pPr>
      <w:spacing w:line="557" w:lineRule="exact"/>
      <w:ind w:left="482" w:right="600"/>
      <w:jc w:val="center"/>
      <w:outlineLvl w:val="1"/>
    </w:pPr>
    <w:rPr>
      <w:rFonts w:ascii="Microsoft JhengHei" w:hAnsi="Microsoft JhengHei" w:eastAsia="Microsoft JhengHei" w:cs="Microsoft JhengHei"/>
      <w:b/>
      <w:bCs/>
      <w:sz w:val="36"/>
      <w:szCs w:val="36"/>
      <w:lang w:val="et-EE" w:eastAsia="en-US" w:bidi="ar-SA"/>
    </w:rPr>
  </w:style>
  <w:style w:styleId="Heading2" w:type="paragraph">
    <w:name w:val="Heading 2"/>
    <w:basedOn w:val="Normal"/>
    <w:uiPriority w:val="1"/>
    <w:qFormat/>
    <w:pPr>
      <w:ind w:left="573"/>
      <w:outlineLvl w:val="2"/>
    </w:pPr>
    <w:rPr>
      <w:rFonts w:ascii="Microsoft JhengHei" w:hAnsi="Microsoft JhengHei" w:eastAsia="Microsoft JhengHei" w:cs="Microsoft JhengHei"/>
      <w:b/>
      <w:bCs/>
      <w:sz w:val="32"/>
      <w:szCs w:val="32"/>
      <w:lang w:val="et-EE" w:eastAsia="en-US" w:bidi="ar-SA"/>
    </w:rPr>
  </w:style>
  <w:style w:styleId="Heading3" w:type="paragraph">
    <w:name w:val="Heading 3"/>
    <w:basedOn w:val="Normal"/>
    <w:uiPriority w:val="1"/>
    <w:qFormat/>
    <w:pPr>
      <w:spacing w:before="352"/>
      <w:ind w:left="571"/>
      <w:outlineLvl w:val="3"/>
    </w:pPr>
    <w:rPr>
      <w:rFonts w:ascii="Microsoft JhengHei" w:hAnsi="Microsoft JhengHei" w:eastAsia="Microsoft JhengHei" w:cs="Microsoft JhengHei"/>
      <w:b/>
      <w:bCs/>
      <w:sz w:val="28"/>
      <w:szCs w:val="28"/>
      <w:lang w:val="et-EE" w:eastAsia="en-US" w:bidi="ar-SA"/>
    </w:rPr>
  </w:style>
  <w:style w:styleId="Heading4" w:type="paragraph">
    <w:name w:val="Heading 4"/>
    <w:basedOn w:val="Normal"/>
    <w:uiPriority w:val="1"/>
    <w:qFormat/>
    <w:pPr>
      <w:ind w:left="569"/>
      <w:outlineLvl w:val="4"/>
    </w:pPr>
    <w:rPr>
      <w:rFonts w:ascii="Microsoft JhengHei" w:hAnsi="Microsoft JhengHei" w:eastAsia="Microsoft JhengHei" w:cs="Microsoft JhengHei"/>
      <w:b/>
      <w:bCs/>
      <w:sz w:val="24"/>
      <w:szCs w:val="24"/>
      <w:lang w:val="et-EE" w:eastAsia="en-US" w:bidi="ar-SA"/>
    </w:rPr>
  </w:style>
  <w:style w:styleId="Title" w:type="paragraph">
    <w:name w:val="Title"/>
    <w:basedOn w:val="Normal"/>
    <w:uiPriority w:val="1"/>
    <w:qFormat/>
    <w:pPr>
      <w:ind w:left="807" w:hanging="963"/>
    </w:pPr>
    <w:rPr>
      <w:rFonts w:ascii="Microsoft JhengHei" w:hAnsi="Microsoft JhengHei" w:eastAsia="Microsoft JhengHei" w:cs="Microsoft JhengHei"/>
      <w:b/>
      <w:bCs/>
      <w:sz w:val="48"/>
      <w:szCs w:val="48"/>
      <w:lang w:val="et-EE" w:eastAsia="en-US" w:bidi="ar-SA"/>
    </w:rPr>
  </w:style>
  <w:style w:styleId="ListParagraph" w:type="paragraph">
    <w:name w:val="List Paragraph"/>
    <w:basedOn w:val="Normal"/>
    <w:uiPriority w:val="1"/>
    <w:qFormat/>
    <w:pPr>
      <w:ind w:left="2248" w:hanging="720"/>
    </w:pPr>
    <w:rPr>
      <w:rFonts w:ascii="SimSun" w:hAnsi="SimSun" w:eastAsia="SimSun" w:cs="SimSun"/>
      <w:lang w:val="et-EE" w:eastAsia="en-US" w:bidi="ar-SA"/>
    </w:rPr>
  </w:style>
  <w:style w:styleId="TableParagraph" w:type="paragraph">
    <w:name w:val="Table Paragraph"/>
    <w:basedOn w:val="Normal"/>
    <w:uiPriority w:val="1"/>
    <w:qFormat/>
    <w:pPr/>
    <w:rPr>
      <w:rFonts w:ascii="SimSun" w:hAnsi="SimSun" w:eastAsia="SimSun" w:cs="SimSun"/>
      <w:lang w:val="et-EE"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oter" Target="footer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footer" Target="footer2.xml"/><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footer" Target="footer3.xml"/><Relationship Id="rId128" Type="http://schemas.openxmlformats.org/officeDocument/2006/relationships/footer" Target="footer4.xml"/><Relationship Id="rId129" Type="http://schemas.openxmlformats.org/officeDocument/2006/relationships/image" Target="media/image121.png"/><Relationship Id="rId130" Type="http://schemas.openxmlformats.org/officeDocument/2006/relationships/hyperlink" Target="http://www.twreporter.org/a/opinion-long-term-care-info-system" TargetMode="External"/><Relationship Id="rId131" Type="http://schemas.openxmlformats.org/officeDocument/2006/relationships/hyperlink" Target="http://www.finereport.com/tw/data-analysis/successful-smart-healthcare-" TargetMode="External"/><Relationship Id="rId132" Type="http://schemas.openxmlformats.org/officeDocument/2006/relationships/hyperlink" Target="https://futurecity.cw.com.tw/article/1916" TargetMode="External"/><Relationship Id="rId133" Type="http://schemas.openxmlformats.org/officeDocument/2006/relationships/hyperlink" Target="http://www.ankecare.com/article/2349-2023-01-15-06-15-42" TargetMode="External"/><Relationship Id="rId134" Type="http://schemas.openxmlformats.org/officeDocument/2006/relationships/hyperlink" Target="http://www.itri.org.tw/ListStyle.aspx?DisplayStyle=01_content&amp;SiteID=1&amp;Mm" TargetMode="External"/><Relationship Id="rId135" Type="http://schemas.openxmlformats.org/officeDocument/2006/relationships/hyperlink" Target="http://www.ankecare.com/article/1707-2021-12-27-03-29-12" TargetMode="External"/><Relationship Id="rId136" Type="http://schemas.openxmlformats.org/officeDocument/2006/relationships/hyperlink" Target="http://www.wealth.com.tw/articles/756e038d-b787-45f1-a885-693809ccc462" TargetMode="External"/><Relationship Id="rId137" Type="http://schemas.openxmlformats.org/officeDocument/2006/relationships/hyperlink" Target="http://www.mol.gov.tw/1607/1632/1633/67829/" TargetMode="External"/><Relationship Id="rId138" Type="http://schemas.openxmlformats.org/officeDocument/2006/relationships/hyperlink" Target="http://www.cw.com.tw/article/5124568" TargetMode="External"/><Relationship Id="rId139" Type="http://schemas.openxmlformats.org/officeDocument/2006/relationships/hyperlink" Target="http://www.businessweekly.com.tw/business/indep/1002865" TargetMode="External"/><Relationship Id="rId140" Type="http://schemas.openxmlformats.org/officeDocument/2006/relationships/hyperlink" Target="http://www.businessweekly.com.tw/business/indep/1003134" TargetMode="External"/><Relationship Id="rId141" Type="http://schemas.openxmlformats.org/officeDocument/2006/relationships/hyperlink" Target="http://www.ankecare.com/article/2278-2022-11-18-10-37-14" TargetMode="External"/><Relationship Id="rId142" Type="http://schemas.openxmlformats.org/officeDocument/2006/relationships/hyperlink" Target="http://www.ankecare.com/article/3280-2024-08-28-08-39-39" TargetMode="External"/><Relationship Id="rId143" Type="http://schemas.openxmlformats.org/officeDocument/2006/relationships/hyperlink" Target="http://www.cw.com.tw/article/5127581" TargetMode="External"/><Relationship Id="rId144" Type="http://schemas.openxmlformats.org/officeDocument/2006/relationships/hyperlink" Target="http://www.storm.mg/localarticle/4638335" TargetMode="External"/><Relationship Id="rId1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2025-05-14T07:48:42Z</dcterms:created>
  <dcterms:modified xsi:type="dcterms:W3CDTF">2025-05-14T07:48:42Z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LastSaved">
    <vt:filetime>2025-05-14T00:00:00Z</vt:filetime>
  </property>
  <property fmtid="{D5CDD505-2E9C-101B-9397-08002B2CF9AE}" pid="4" name="Producer">
    <vt:lpwstr>3-Heights™ PDF Merge Split Shell 6.12.1.11 (http://www.pdf-tools.com)</vt:lpwstr>
  </property>
</Properties>
</file>