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CD922AD">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137178"/>
      <w:r>
        <w:rPr>
          <w:rFonts w:hint="eastAsia"/>
        </w:rPr>
        <w:lastRenderedPageBreak/>
        <w:t>Abstract</w:t>
      </w:r>
      <w:bookmarkEnd w:id="2"/>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3" w:name="_Toc20013717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13718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13718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13718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137183"/>
      <w:r>
        <w:lastRenderedPageBreak/>
        <w:t>1.</w:t>
      </w:r>
      <w:r>
        <w:rPr>
          <w:rFonts w:hint="eastAsia"/>
        </w:rPr>
        <w:t>3</w:t>
      </w:r>
      <w:r>
        <w:t xml:space="preserve"> </w:t>
      </w:r>
      <w:r>
        <w:t>研究</w:t>
      </w:r>
      <w:r>
        <w:rPr>
          <w:rFonts w:hint="eastAsia"/>
        </w:rPr>
        <w:t>範圍與流程</w:t>
      </w:r>
      <w:bookmarkEnd w:id="13"/>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4"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13718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137185"/>
      <w:r>
        <w:rPr>
          <w:rFonts w:hint="eastAsia"/>
        </w:rPr>
        <w:lastRenderedPageBreak/>
        <w:t>第</w:t>
      </w:r>
      <w:r>
        <w:t>二章、文獻探討</w:t>
      </w:r>
      <w:bookmarkEnd w:id="16"/>
    </w:p>
    <w:p w14:paraId="4D383236" w14:textId="77777777" w:rsidR="003B4446" w:rsidRDefault="003B4446" w:rsidP="003B4446">
      <w:pPr>
        <w:pStyle w:val="2"/>
      </w:pPr>
      <w:bookmarkStart w:id="17"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13718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8"/>
      <w:r w:rsidRPr="00883601">
        <w:rPr>
          <w:rFonts w:hint="eastAsia"/>
        </w:rPr>
        <w:t>創新管理</w:t>
      </w:r>
      <w:commentRangeEnd w:id="28"/>
      <w:r w:rsidRPr="00883601">
        <w:rPr>
          <w:rStyle w:val="af7"/>
        </w:rPr>
        <w:commentReference w:id="28"/>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13719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4"/>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4"/>
      <w:r>
        <w:rPr>
          <w:rStyle w:val="af7"/>
        </w:rPr>
        <w:commentReference w:id="44"/>
      </w:r>
      <w:r>
        <w:rPr>
          <w:rFonts w:hint="eastAsia"/>
        </w:rPr>
        <w:t>。</w:t>
      </w:r>
      <w:r w:rsidRPr="004F0D54">
        <w:t>特別是在面對不確定或突發</w:t>
      </w:r>
      <w:r w:rsidRPr="004F0D54">
        <w:lastRenderedPageBreak/>
        <w:t>情境時，</w:t>
      </w:r>
      <w:commentRangeStart w:id="45"/>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5"/>
      <w:r>
        <w:rPr>
          <w:rStyle w:val="af7"/>
        </w:rPr>
        <w:commentReference w:id="45"/>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6"/>
      <w:r w:rsidRPr="00EF4988">
        <w:rPr>
          <w:i/>
          <w:iCs/>
          <w:color w:val="EE0000"/>
        </w:rPr>
        <w:t>How can I know what I think until I see what I say?</w:t>
      </w:r>
      <w:commentRangeEnd w:id="46"/>
      <w:r w:rsidR="0089184A">
        <w:rPr>
          <w:rStyle w:val="af7"/>
        </w:rPr>
        <w:commentReference w:id="46"/>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7"/>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7"/>
      <w:r w:rsidRPr="00A63C43">
        <w:rPr>
          <w:rStyle w:val="af7"/>
          <w:sz w:val="24"/>
          <w:szCs w:val="24"/>
        </w:rPr>
        <w:commentReference w:id="47"/>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8"/>
      <w:r w:rsidRPr="0047702A">
        <w:t>共生性制定行動</w:t>
      </w:r>
      <w:commentRangeEnd w:id="48"/>
      <w:r w:rsidRPr="0047702A">
        <w:rPr>
          <w:rStyle w:val="af7"/>
        </w:rPr>
        <w:commentReference w:id="48"/>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9"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0" w:name="_Toc198803541"/>
      <w:bookmarkEnd w:id="49"/>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1" w:name="_Toc200137191"/>
      <w:r>
        <w:rPr>
          <w:rFonts w:hint="eastAsia"/>
        </w:rPr>
        <w:t xml:space="preserve">2.1.2 </w:t>
      </w:r>
      <w:r>
        <w:rPr>
          <w:rFonts w:hint="eastAsia"/>
        </w:rPr>
        <w:t>制定動態循環過程</w:t>
      </w:r>
      <w:bookmarkEnd w:id="50"/>
      <w:r w:rsidR="00432C84">
        <w:rPr>
          <w:rFonts w:hint="eastAsia"/>
        </w:rPr>
        <w:t>與應用</w:t>
      </w:r>
      <w:bookmarkEnd w:id="51"/>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2"/>
      <w:r w:rsidRPr="003630D2">
        <w:t>反應又</w:t>
      </w:r>
      <w:r w:rsidR="007358BA">
        <w:rPr>
          <w:rFonts w:hint="eastAsia"/>
        </w:rPr>
        <w:t>將</w:t>
      </w:r>
      <w:r w:rsidRPr="003630D2">
        <w:t>改變</w:t>
      </w:r>
      <w:r>
        <w:rPr>
          <w:rFonts w:hint="eastAsia"/>
        </w:rPr>
        <w:t>環境情境</w:t>
      </w:r>
      <w:commentRangeEnd w:id="52"/>
      <w:r>
        <w:rPr>
          <w:rStyle w:val="af7"/>
        </w:rPr>
        <w:commentReference w:id="52"/>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3"/>
      <w:r w:rsidRPr="005E297B">
        <w:t>環境不是客觀</w:t>
      </w:r>
      <w:r w:rsidR="008D42DB">
        <w:rPr>
          <w:rFonts w:hint="eastAsia"/>
        </w:rPr>
        <w:t>存在</w:t>
      </w:r>
      <w:r w:rsidRPr="005E297B">
        <w:t>，而是行動與結構之間互動後共同建構的產物</w:t>
      </w:r>
      <w:commentRangeEnd w:id="53"/>
      <w:r>
        <w:rPr>
          <w:rStyle w:val="af7"/>
        </w:rPr>
        <w:commentReference w:id="53"/>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4"/>
      <w:r w:rsidRPr="004A47A4">
        <w:t>Orlikowski</w:t>
      </w:r>
      <w:commentRangeEnd w:id="54"/>
      <w:r>
        <w:rPr>
          <w:rStyle w:val="af7"/>
        </w:rPr>
        <w:commentReference w:id="54"/>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5"/>
      <w:r w:rsidRPr="00F45239">
        <w:t>（</w:t>
      </w:r>
      <w:r w:rsidRPr="00F45239">
        <w:t>Gioia &amp; Chittipeddi, 1991</w:t>
      </w:r>
      <w:r w:rsidRPr="00F45239">
        <w:t>）</w:t>
      </w:r>
      <w:commentRangeEnd w:id="55"/>
      <w:r>
        <w:rPr>
          <w:rStyle w:val="af7"/>
        </w:rPr>
        <w:commentReference w:id="55"/>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6"/>
      <w:r w:rsidRPr="00B63179">
        <w:t>Giddens, 1984</w:t>
      </w:r>
      <w:r w:rsidRPr="00B63179">
        <w:t>）</w:t>
      </w:r>
      <w:commentRangeEnd w:id="56"/>
      <w:r>
        <w:rPr>
          <w:rStyle w:val="af7"/>
        </w:rPr>
        <w:commentReference w:id="56"/>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7"/>
      <w:r w:rsidRPr="00A877C0">
        <w:t>（</w:t>
      </w:r>
      <w:r w:rsidRPr="00A877C0">
        <w:t>Weick &amp; Putnam, 2006</w:t>
      </w:r>
      <w:r w:rsidRPr="00A877C0">
        <w:t>）</w:t>
      </w:r>
      <w:commentRangeEnd w:id="57"/>
      <w:r>
        <w:rPr>
          <w:rStyle w:val="af7"/>
        </w:rPr>
        <w:commentReference w:id="57"/>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8"/>
      <w:r w:rsidRPr="00B3713C">
        <w:rPr>
          <w:color w:val="EE0000"/>
        </w:rPr>
        <w:t>創造出</w:t>
      </w:r>
      <w:r w:rsidR="00625F25">
        <w:rPr>
          <w:rFonts w:hint="eastAsia"/>
          <w:color w:val="EE0000"/>
        </w:rPr>
        <w:t>行動者</w:t>
      </w:r>
      <w:r w:rsidRPr="00B3713C">
        <w:rPr>
          <w:color w:val="EE0000"/>
        </w:rPr>
        <w:t>所面對的部分環境</w:t>
      </w:r>
      <w:commentRangeEnd w:id="58"/>
      <w:r w:rsidRPr="00B3713C">
        <w:rPr>
          <w:rStyle w:val="af7"/>
          <w:color w:val="EE0000"/>
        </w:rPr>
        <w:commentReference w:id="58"/>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9"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9"/>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0"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0"/>
    </w:p>
    <w:p w14:paraId="7C7EB79F" w14:textId="14675D89" w:rsidR="003579E7" w:rsidRDefault="0042165D" w:rsidP="00FF4469">
      <w:pPr>
        <w:pStyle w:val="3"/>
      </w:pPr>
      <w:bookmarkStart w:id="61" w:name="_Toc200137193"/>
      <w:r>
        <w:rPr>
          <w:rFonts w:hint="eastAsia"/>
        </w:rPr>
        <w:t>2.</w:t>
      </w:r>
      <w:r w:rsidR="006854C0">
        <w:rPr>
          <w:rFonts w:hint="eastAsia"/>
        </w:rPr>
        <w:t>3</w:t>
      </w:r>
      <w:r>
        <w:rPr>
          <w:rFonts w:hint="eastAsia"/>
        </w:rPr>
        <w:t xml:space="preserve">.1 </w:t>
      </w:r>
      <w:r w:rsidR="00C14958">
        <w:rPr>
          <w:rFonts w:hint="eastAsia"/>
        </w:rPr>
        <w:t>可供性</w:t>
      </w:r>
      <w:commentRangeStart w:id="62"/>
      <w:r w:rsidR="008B0166">
        <w:rPr>
          <w:rFonts w:hint="eastAsia"/>
        </w:rPr>
        <w:t>起源</w:t>
      </w:r>
      <w:commentRangeEnd w:id="62"/>
      <w:r w:rsidR="00BC37EE">
        <w:rPr>
          <w:rStyle w:val="af7"/>
          <w:rFonts w:cstheme="minorBidi"/>
          <w:b w:val="0"/>
        </w:rPr>
        <w:commentReference w:id="62"/>
      </w:r>
      <w:r w:rsidR="008B0166">
        <w:rPr>
          <w:rFonts w:hint="eastAsia"/>
        </w:rPr>
        <w:t>與</w:t>
      </w:r>
      <w:r w:rsidR="006047EA" w:rsidRPr="00362A89">
        <w:rPr>
          <w:rFonts w:hint="eastAsia"/>
        </w:rPr>
        <w:t>基本</w:t>
      </w:r>
      <w:r w:rsidR="006047EA">
        <w:rPr>
          <w:rFonts w:hint="eastAsia"/>
        </w:rPr>
        <w:t>定義</w:t>
      </w:r>
      <w:bookmarkEnd w:id="61"/>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3"/>
      <w:r>
        <w:rPr>
          <w:rFonts w:hint="eastAsia"/>
          <w:color w:val="EE0000"/>
        </w:rPr>
        <w:t>直接存在、卻不必然可視或已知</w:t>
      </w:r>
      <w:commentRangeEnd w:id="63"/>
      <w:r>
        <w:rPr>
          <w:rStyle w:val="af7"/>
        </w:rPr>
        <w:commentReference w:id="63"/>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4"/>
      <w:r w:rsidRPr="00080427">
        <w:t>環境</w:t>
      </w:r>
      <w:commentRangeEnd w:id="64"/>
      <w:r>
        <w:rPr>
          <w:rStyle w:val="af7"/>
        </w:rPr>
        <w:commentReference w:id="64"/>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5"/>
      <w:r>
        <w:rPr>
          <w:rFonts w:hint="eastAsia"/>
          <w:color w:val="EE0000"/>
        </w:rPr>
        <w:t>被改造後的舊環境</w:t>
      </w:r>
      <w:commentRangeEnd w:id="65"/>
      <w:r>
        <w:rPr>
          <w:rStyle w:val="af7"/>
        </w:rPr>
        <w:commentReference w:id="65"/>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6"/>
      <w:r w:rsidRPr="00050DEB">
        <w:t>相對性</w:t>
      </w:r>
      <w:commentRangeEnd w:id="66"/>
      <w:r w:rsidR="003601CF">
        <w:rPr>
          <w:rStyle w:val="af7"/>
        </w:rPr>
        <w:commentReference w:id="66"/>
      </w:r>
      <w:r w:rsidRPr="00050DEB">
        <w:t>與</w:t>
      </w:r>
      <w:commentRangeStart w:id="67"/>
      <w:r w:rsidRPr="00050DEB">
        <w:t>互補性</w:t>
      </w:r>
      <w:commentRangeEnd w:id="67"/>
      <w:r w:rsidR="00DC09D9">
        <w:rPr>
          <w:rStyle w:val="af7"/>
        </w:rPr>
        <w:commentReference w:id="67"/>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8"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8"/>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9"/>
      <w:r w:rsidR="005C1CA5" w:rsidRPr="00011781">
        <w:t>文化約束</w:t>
      </w:r>
      <w:commentRangeEnd w:id="69"/>
      <w:r w:rsidR="005C1CA5">
        <w:rPr>
          <w:rStyle w:val="af7"/>
        </w:rPr>
        <w:commentReference w:id="69"/>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0"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0"/>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1"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1"/>
    </w:p>
    <w:p w14:paraId="1E1D9A63" w14:textId="386F4732" w:rsidR="00474870" w:rsidRDefault="00474870" w:rsidP="00EE7728">
      <w:pPr>
        <w:pStyle w:val="3"/>
      </w:pPr>
      <w:bookmarkStart w:id="72"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2"/>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3"/>
      <w:r w:rsidRPr="00D82B44">
        <w:t>同步進行探索與發展</w:t>
      </w:r>
      <w:commentRangeEnd w:id="73"/>
      <w:r w:rsidR="006B5D04">
        <w:rPr>
          <w:rStyle w:val="af7"/>
        </w:rPr>
        <w:commentReference w:id="73"/>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4"/>
      <w:r>
        <w:rPr>
          <w:rFonts w:hint="eastAsia"/>
        </w:rPr>
        <w:t>靈活</w:t>
      </w:r>
      <w:commentRangeEnd w:id="74"/>
      <w:r w:rsidR="00820BE3">
        <w:rPr>
          <w:rStyle w:val="af7"/>
        </w:rPr>
        <w:commentReference w:id="74"/>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5"/>
      <w:r w:rsidRPr="00F77488">
        <w:t>領導力問題</w:t>
      </w:r>
      <w:commentRangeEnd w:id="75"/>
      <w:r w:rsidR="00F8190C">
        <w:rPr>
          <w:rStyle w:val="af7"/>
        </w:rPr>
        <w:commentReference w:id="75"/>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7"/>
      <w:r>
        <w:rPr>
          <w:rFonts w:hint="eastAsia"/>
        </w:rPr>
        <w:t>協調能力</w:t>
      </w:r>
      <w:commentRangeEnd w:id="77"/>
      <w:r w:rsidR="009C68D4">
        <w:rPr>
          <w:rStyle w:val="af7"/>
        </w:rPr>
        <w:commentReference w:id="77"/>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8"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8"/>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9"/>
      <w:r w:rsidRPr="00117AB9">
        <w:t>實現雙元任務</w:t>
      </w:r>
      <w:commentRangeEnd w:id="79"/>
      <w:r w:rsidR="008E5163">
        <w:rPr>
          <w:rStyle w:val="af7"/>
        </w:rPr>
        <w:commentReference w:id="79"/>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0"/>
      <w:r w:rsidRPr="0058040E">
        <w:t>條件</w:t>
      </w:r>
      <w:commentRangeEnd w:id="80"/>
      <w:r w:rsidR="00415472">
        <w:rPr>
          <w:rStyle w:val="af7"/>
        </w:rPr>
        <w:commentReference w:id="80"/>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1" w:name="_Toc200137198"/>
      <w:r>
        <w:lastRenderedPageBreak/>
        <w:t>第三章、研究方法與架構</w:t>
      </w:r>
      <w:bookmarkEnd w:id="8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37199"/>
      <w:r>
        <w:rPr>
          <w:rFonts w:hint="eastAsia"/>
        </w:rPr>
        <w:t>3.1</w:t>
      </w:r>
      <w:r w:rsidR="00490253">
        <w:rPr>
          <w:rFonts w:hint="eastAsia"/>
        </w:rPr>
        <w:t xml:space="preserve"> </w:t>
      </w:r>
      <w:r>
        <w:rPr>
          <w:rFonts w:hint="eastAsia"/>
        </w:rPr>
        <w:t>研究方法</w:t>
      </w:r>
      <w:bookmarkEnd w:id="82"/>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9" w:name="_Toc200137200"/>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0"/>
      <w:commentRangeStart w:id="91"/>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7" w:name="_Toc200137201"/>
      <w:r>
        <w:rPr>
          <w:rFonts w:hint="eastAsia"/>
        </w:rPr>
        <w:t xml:space="preserve">3.1.2 </w:t>
      </w:r>
      <w:r w:rsidR="00C00B98">
        <w:rPr>
          <w:rFonts w:hint="eastAsia"/>
        </w:rPr>
        <w:t>個案研究</w:t>
      </w:r>
      <w:bookmarkEnd w:id="97"/>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37202"/>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37203"/>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37204"/>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37205"/>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37207"/>
      <w:r>
        <w:rPr>
          <w:rFonts w:hint="eastAsia"/>
        </w:rPr>
        <w:lastRenderedPageBreak/>
        <w:t xml:space="preserve">3.5.2 </w:t>
      </w:r>
      <w:r>
        <w:rPr>
          <w:rFonts w:hint="eastAsia"/>
        </w:rPr>
        <w:t>資料分析</w:t>
      </w:r>
      <w:bookmarkEnd w:id="109"/>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1" w:name="_Toc200137208"/>
      <w:r>
        <w:lastRenderedPageBreak/>
        <w:t>第</w:t>
      </w:r>
      <w:r>
        <w:rPr>
          <w:rFonts w:hint="eastAsia"/>
        </w:rPr>
        <w:t>四章、個</w:t>
      </w:r>
      <w:bookmarkEnd w:id="111"/>
      <w:r w:rsidR="003635CF">
        <w:rPr>
          <w:rFonts w:hint="eastAsia"/>
        </w:rPr>
        <w:t>案描述</w:t>
      </w:r>
    </w:p>
    <w:p w14:paraId="357F670A" w14:textId="6665A0A9" w:rsidR="00F46B86" w:rsidRPr="00F46B86" w:rsidRDefault="006A4F02" w:rsidP="006A4F02">
      <w:pPr>
        <w:pStyle w:val="15"/>
        <w:ind w:firstLine="480"/>
      </w:pPr>
      <w:r>
        <w:rPr>
          <w:rFonts w:hint="eastAsia"/>
        </w:rPr>
        <w:t>本章節分為兩個部分，第一節</w:t>
      </w:r>
      <w:r w:rsidR="00CC664D">
        <w:rPr>
          <w:rFonts w:hint="eastAsia"/>
        </w:rPr>
        <w:t>介紹全球與台灣紡織產業現況，第二節則針對本研究之主要研究對象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1816BC4B" w14:textId="057660A6" w:rsidR="00953384" w:rsidRDefault="00953384" w:rsidP="00953384">
      <w:pPr>
        <w:pStyle w:val="2"/>
      </w:pPr>
      <w:bookmarkStart w:id="112" w:name="_Toc200137209"/>
      <w:r>
        <w:rPr>
          <w:rFonts w:hint="eastAsia"/>
        </w:rPr>
        <w:t>4.1</w:t>
      </w:r>
      <w:r w:rsidR="00F504D3">
        <w:rPr>
          <w:rFonts w:hint="eastAsia"/>
        </w:rPr>
        <w:t xml:space="preserve"> </w:t>
      </w:r>
      <w:bookmarkEnd w:id="112"/>
      <w:r w:rsidR="00464857">
        <w:rPr>
          <w:rFonts w:hint="eastAsia"/>
        </w:rPr>
        <w:t>全球與台灣紡織產業現況</w:t>
      </w:r>
    </w:p>
    <w:p w14:paraId="40440F7A" w14:textId="77777777" w:rsidR="00F779CB" w:rsidRDefault="0017414C" w:rsidP="00764B77">
      <w:pPr>
        <w:pStyle w:val="15"/>
        <w:ind w:firstLine="480"/>
      </w:pPr>
      <w:r w:rsidRPr="0017414C">
        <w:t>在全球永續發展與循環經濟的浪潮下，紡織產業正面臨前所未有的轉型壓力</w:t>
      </w:r>
      <w:r w:rsidR="00720D6E">
        <w:rPr>
          <w:rFonts w:hint="eastAsia"/>
        </w:rPr>
        <w:t>，</w:t>
      </w:r>
      <w:r w:rsidRPr="0017414C">
        <w:t>紡織產業透過區域與全球</w:t>
      </w:r>
      <w:r w:rsidR="00E514BF">
        <w:rPr>
          <w:rFonts w:hint="eastAsia"/>
        </w:rPr>
        <w:t>供應與價值鏈</w:t>
      </w:r>
      <w:r w:rsidRPr="0017414C">
        <w:t>連結</w:t>
      </w:r>
      <w:r w:rsidR="001056C5">
        <w:rPr>
          <w:rFonts w:hint="eastAsia"/>
        </w:rPr>
        <w:t>起</w:t>
      </w:r>
      <w:r w:rsidRPr="0017414C">
        <w:t>生產者、品牌、零售商與消費者，</w:t>
      </w:r>
      <w:r w:rsidR="003F15DB">
        <w:rPr>
          <w:rFonts w:hint="eastAsia"/>
        </w:rPr>
        <w:t>具有</w:t>
      </w:r>
      <w:r w:rsidRPr="0017414C">
        <w:t>創造龐大的經濟與社會價值</w:t>
      </w:r>
      <w:r w:rsidR="003F15DB">
        <w:rPr>
          <w:rFonts w:hint="eastAsia"/>
        </w:rPr>
        <w:t>的潛能</w:t>
      </w:r>
      <w:r w:rsidRPr="0017414C">
        <w:t>。</w:t>
      </w:r>
    </w:p>
    <w:p w14:paraId="16EE0C3E" w14:textId="356225F4" w:rsidR="000B2204" w:rsidRDefault="0017414C" w:rsidP="00F779CB">
      <w:pPr>
        <w:pStyle w:val="15"/>
        <w:ind w:firstLine="480"/>
      </w:pPr>
      <w:r w:rsidRPr="0017414C">
        <w:t>然而，此一線性導向的快速擴張模式亦導致高度資源消耗與污染外部性</w:t>
      </w:r>
      <w:r w:rsidR="00C57262" w:rsidRPr="00C57262">
        <w:t>。</w:t>
      </w:r>
      <w:r w:rsidR="008077A5" w:rsidRPr="00C57262">
        <w:t>根據聯合國環境規劃署（</w:t>
      </w:r>
      <w:r w:rsidR="008077A5" w:rsidRPr="00C57262">
        <w:t>UNEP</w:t>
      </w:r>
      <w:r w:rsidR="008077A5" w:rsidRPr="00C57262">
        <w:t>）</w:t>
      </w:r>
      <w:r w:rsidR="008077A5">
        <w:rPr>
          <w:rFonts w:hint="eastAsia"/>
        </w:rPr>
        <w:t>2023</w:t>
      </w:r>
      <w:r w:rsidR="008077A5">
        <w:rPr>
          <w:rFonts w:hint="eastAsia"/>
        </w:rPr>
        <w:t>年</w:t>
      </w:r>
      <w:r w:rsidR="009458E3">
        <w:rPr>
          <w:rFonts w:hint="eastAsia"/>
        </w:rPr>
        <w:t>的</w:t>
      </w:r>
      <w:r w:rsidR="00E47115" w:rsidRPr="00C57262">
        <w:t>「永續與循環紡織全球藍圖」</w:t>
      </w:r>
      <w:r w:rsidR="00E47115">
        <w:rPr>
          <w:rFonts w:hint="eastAsia"/>
        </w:rPr>
        <w:t>（</w:t>
      </w:r>
      <w:r w:rsidR="00E47115" w:rsidRPr="008F2468">
        <w:t>Sustainability and Circularity in the Textile Value Chain: A Global Roadmap</w:t>
      </w:r>
      <w:r w:rsidR="00E47115">
        <w:rPr>
          <w:rFonts w:hint="eastAsia"/>
        </w:rPr>
        <w:t>）</w:t>
      </w:r>
      <w:r w:rsidR="008077A5" w:rsidRPr="00C57262">
        <w:t>指出</w:t>
      </w:r>
      <w:r w:rsidR="008077A5">
        <w:rPr>
          <w:rFonts w:hint="eastAsia"/>
        </w:rPr>
        <w:t>，</w:t>
      </w:r>
      <w:r w:rsidR="00E74AF7">
        <w:rPr>
          <w:rFonts w:hint="eastAsia"/>
        </w:rPr>
        <w:t>紡織</w:t>
      </w:r>
      <w:commentRangeStart w:id="113"/>
      <w:r w:rsidR="00E74AF7" w:rsidRPr="00C57262">
        <w:t>產業每年耗用超過</w:t>
      </w:r>
      <w:r w:rsidR="00E74AF7" w:rsidRPr="00C57262">
        <w:t>215</w:t>
      </w:r>
      <w:r w:rsidR="00E74AF7" w:rsidRPr="00C57262">
        <w:t>兆公升的水資源</w:t>
      </w:r>
      <w:commentRangeEnd w:id="113"/>
      <w:r w:rsidR="00E74AF7">
        <w:rPr>
          <w:rStyle w:val="af7"/>
        </w:rPr>
        <w:commentReference w:id="113"/>
      </w:r>
      <w:r w:rsidR="000C46D9">
        <w:rPr>
          <w:rFonts w:hint="eastAsia"/>
        </w:rPr>
        <w:t>、</w:t>
      </w:r>
      <w:commentRangeStart w:id="114"/>
      <w:r w:rsidR="00E74AF7" w:rsidRPr="00C57262">
        <w:t>占全球</w:t>
      </w:r>
      <w:r w:rsidR="00F26C6F">
        <w:rPr>
          <w:rFonts w:hint="eastAsia"/>
        </w:rPr>
        <w:t>海洋</w:t>
      </w:r>
      <w:r w:rsidR="00E74AF7" w:rsidRPr="00C57262">
        <w:t>微塑膠汙染比重達</w:t>
      </w:r>
      <w:r w:rsidR="00E74AF7" w:rsidRPr="00C57262">
        <w:t>9%</w:t>
      </w:r>
      <w:commentRangeEnd w:id="114"/>
      <w:r w:rsidR="004C7FAA">
        <w:rPr>
          <w:rStyle w:val="af7"/>
        </w:rPr>
        <w:commentReference w:id="114"/>
      </w:r>
      <w:r w:rsidR="00E74AF7" w:rsidRPr="00C57262">
        <w:t>，並造成</w:t>
      </w:r>
      <w:commentRangeStart w:id="115"/>
      <w:r w:rsidR="00E74AF7" w:rsidRPr="00C57262">
        <w:t>約</w:t>
      </w:r>
      <w:r w:rsidR="00E74AF7" w:rsidRPr="00C57262">
        <w:t>2</w:t>
      </w:r>
      <w:r w:rsidR="00E74AF7" w:rsidRPr="00C57262">
        <w:t>～</w:t>
      </w:r>
      <w:r w:rsidR="00E74AF7" w:rsidRPr="00C57262">
        <w:t>8%</w:t>
      </w:r>
      <w:r w:rsidR="00E74AF7" w:rsidRPr="00C57262">
        <w:t>的全球溫室氣體排放</w:t>
      </w:r>
      <w:commentRangeEnd w:id="115"/>
      <w:r w:rsidR="00E74AF7">
        <w:rPr>
          <w:rStyle w:val="af7"/>
        </w:rPr>
        <w:commentReference w:id="115"/>
      </w:r>
      <w:r w:rsidR="00E74AF7" w:rsidRPr="00C57262">
        <w:t>，突顯</w:t>
      </w:r>
      <w:r w:rsidR="00B74D45">
        <w:rPr>
          <w:rFonts w:hint="eastAsia"/>
        </w:rPr>
        <w:t>出</w:t>
      </w:r>
      <w:r w:rsidR="00E74AF7" w:rsidRPr="00C57262">
        <w:t>過度生產與過度消費所引發的資源浪費與管理困境</w:t>
      </w:r>
      <w:r w:rsidR="00764B77">
        <w:rPr>
          <w:rFonts w:hint="eastAsia"/>
        </w:rPr>
        <w:t>。</w:t>
      </w:r>
      <w:r w:rsidR="00C57262" w:rsidRPr="00C57262">
        <w:t>全球紡織價值鏈在經濟發展與</w:t>
      </w:r>
      <w:r w:rsidR="00DF70F5">
        <w:rPr>
          <w:rFonts w:hint="eastAsia"/>
        </w:rPr>
        <w:t>產業</w:t>
      </w:r>
      <w:r w:rsidR="00AB773F">
        <w:rPr>
          <w:rFonts w:hint="eastAsia"/>
        </w:rPr>
        <w:t>多元</w:t>
      </w:r>
      <w:r w:rsidR="00DF70F5">
        <w:rPr>
          <w:rFonts w:hint="eastAsia"/>
        </w:rPr>
        <w:t>價值</w:t>
      </w:r>
      <w:r w:rsidR="00C57262" w:rsidRPr="00C57262">
        <w:t>創造中扮演關鍵角色，</w:t>
      </w:r>
      <w:r w:rsidR="00AA5BAC">
        <w:rPr>
          <w:rFonts w:hint="eastAsia"/>
        </w:rPr>
        <w:t>卻</w:t>
      </w:r>
      <w:r w:rsidR="00C57262" w:rsidRPr="00C57262">
        <w:t>也對氣候變遷、生物多樣性喪失與</w:t>
      </w:r>
      <w:r w:rsidR="00373375">
        <w:rPr>
          <w:rFonts w:hint="eastAsia"/>
        </w:rPr>
        <w:t>環境</w:t>
      </w:r>
      <w:r w:rsidR="00C57262" w:rsidRPr="00C57262">
        <w:t>污染等「三重地球危機」構成重大威脅。</w:t>
      </w:r>
    </w:p>
    <w:p w14:paraId="2416961C" w14:textId="254A1872" w:rsidR="00403058" w:rsidRPr="00403058" w:rsidRDefault="00403058" w:rsidP="00403058">
      <w:pPr>
        <w:pStyle w:val="15"/>
        <w:ind w:firstLine="480"/>
      </w:pPr>
      <w:r w:rsidRPr="00403058">
        <w:t>為因應紡織產業在環境與社會面向上的高度衝擊，</w:t>
      </w:r>
      <w:r w:rsidRPr="00403058">
        <w:t>UNEP</w:t>
      </w:r>
      <w:r w:rsidR="00C94784">
        <w:rPr>
          <w:rFonts w:hint="eastAsia"/>
        </w:rPr>
        <w:t>於此藍圖中</w:t>
      </w:r>
      <w:r w:rsidRPr="00403058">
        <w:t>提出三項具體優先行動方向，作為全球紡織價值鏈推動永續轉型的策略核心：</w:t>
      </w:r>
    </w:p>
    <w:p w14:paraId="118984D8" w14:textId="77777777" w:rsidR="00403058" w:rsidRPr="00403058" w:rsidRDefault="00403058" w:rsidP="00403058">
      <w:pPr>
        <w:pStyle w:val="15"/>
        <w:ind w:firstLine="480"/>
      </w:pPr>
      <w:r w:rsidRPr="00403058">
        <w:t>第一，</w:t>
      </w:r>
      <w:r w:rsidRPr="00403058">
        <w:rPr>
          <w:b/>
          <w:bCs/>
        </w:rPr>
        <w:t>改變消費模式</w:t>
      </w:r>
      <w:r w:rsidRPr="00403058">
        <w:t>（</w:t>
      </w:r>
      <w:r w:rsidRPr="00403058">
        <w:t>Changing Consumption Patterns</w:t>
      </w:r>
      <w:r w:rsidRPr="00403058">
        <w:t>），意指透過創新商業模式與消費者教育，延長產品使用週期並減少過度消費。具體措施包括：推廣服裝租賃、轉售與共享平台、提供維修與翻新服務，以及導入產品標籤與數位產品護照（</w:t>
      </w:r>
      <w:r w:rsidRPr="00403058">
        <w:t>Digital Product Passport</w:t>
      </w:r>
      <w:r w:rsidRPr="00403058">
        <w:t>）以強化資訊透明度與消費決策基礎。</w:t>
      </w:r>
    </w:p>
    <w:p w14:paraId="63BA0FAF" w14:textId="77777777" w:rsidR="00403058" w:rsidRPr="00403058" w:rsidRDefault="00403058" w:rsidP="00403058">
      <w:pPr>
        <w:pStyle w:val="15"/>
        <w:ind w:firstLine="480"/>
      </w:pPr>
      <w:r w:rsidRPr="00403058">
        <w:t>第二，</w:t>
      </w:r>
      <w:r w:rsidRPr="00403058">
        <w:rPr>
          <w:b/>
          <w:bCs/>
        </w:rPr>
        <w:t>改善生產實踐</w:t>
      </w:r>
      <w:r w:rsidRPr="00403058">
        <w:t>（</w:t>
      </w:r>
      <w:r w:rsidRPr="00403058">
        <w:t>Improving Production Practices</w:t>
      </w:r>
      <w:r w:rsidRPr="00403058">
        <w:t>），聚焦於減少製造過</w:t>
      </w:r>
      <w:r w:rsidRPr="00403058">
        <w:lastRenderedPageBreak/>
        <w:t>程中的資源耗用與污染排放，並提升社會責任標準。核心作法包含：導入高效能源與水資源管理系統、替代有害化學品、強化廢棄物處理流程、確保勞動人權與公平薪資，並鼓勵採用可回收與再生材料。</w:t>
      </w:r>
    </w:p>
    <w:p w14:paraId="73F895C5" w14:textId="77777777" w:rsidR="00403058" w:rsidRPr="00403058" w:rsidRDefault="00403058" w:rsidP="00403058">
      <w:pPr>
        <w:pStyle w:val="15"/>
        <w:ind w:firstLine="480"/>
      </w:pPr>
      <w:r w:rsidRPr="00403058">
        <w:t>第三，</w:t>
      </w:r>
      <w:r w:rsidRPr="00403058">
        <w:rPr>
          <w:b/>
          <w:bCs/>
        </w:rPr>
        <w:t>投資系統基礎設施</w:t>
      </w:r>
      <w:r w:rsidRPr="00403058">
        <w:t>（</w:t>
      </w:r>
      <w:r w:rsidRPr="00403058">
        <w:t>Investing in Infrastructure</w:t>
      </w:r>
      <w:r w:rsidRPr="00403058">
        <w:t>），針對目前回收處理能量不足、資料流通斷裂與法規碎片化等問題，建構有助於實現循環經濟的制度性條件。包含：建立紡織品回收與分類中心、開發共享資料平台與供應鏈追蹤工具、訂定標準化分類與報告規範，以及制定支持循環設計與回收義務的政策法規。</w:t>
      </w:r>
    </w:p>
    <w:p w14:paraId="56510C6B" w14:textId="5B761108" w:rsidR="00C57262" w:rsidRPr="00C57262" w:rsidRDefault="00C57262" w:rsidP="00C57262">
      <w:pPr>
        <w:pStyle w:val="15"/>
        <w:ind w:firstLine="480"/>
      </w:pPr>
      <w:r w:rsidRPr="00C57262">
        <w:t>然而，報告亦指出，現階段品牌商與零售商的永續作為多停留在產品層級，缺乏結構性轉型，且高度依賴自我揭露或第三方稽核，導致資訊透明與責任追蹤難以落實。同時，創新者與回收業者亦面臨資金不足、法規不一致與數據斷裂等問題，使循環經濟的推動缺乏高效整合機制。此一情境凸顯導入數位技術以整合供應鏈資訊、提高產品可追溯性與促進跨角色協作的必要性，也為</w:t>
      </w:r>
      <w:r w:rsidRPr="00C57262">
        <w:t xml:space="preserve"> Frontier.cool </w:t>
      </w:r>
      <w:r w:rsidRPr="00C57262">
        <w:t>所代表之數位平台提供具體切入契機。</w:t>
      </w:r>
      <w:r w:rsidR="0017524A">
        <w:rPr>
          <w:rFonts w:hint="eastAsia"/>
        </w:rPr>
        <w:t>１２３１２３１２３</w:t>
      </w:r>
      <w:r w:rsidR="00B41765">
        <w:rPr>
          <w:rFonts w:hint="eastAsia"/>
        </w:rPr>
        <w:t>66</w:t>
      </w:r>
    </w:p>
    <w:p w14:paraId="57A5F1A9" w14:textId="77777777" w:rsidR="00464857" w:rsidRPr="00C57262" w:rsidRDefault="00464857" w:rsidP="00C57262">
      <w:pPr>
        <w:pStyle w:val="15"/>
        <w:ind w:firstLine="480"/>
      </w:pPr>
    </w:p>
    <w:p w14:paraId="2686A3BB" w14:textId="77777777" w:rsidR="00B41C28" w:rsidRPr="00B41C28" w:rsidRDefault="00B41C28" w:rsidP="00B41C28">
      <w:pPr>
        <w:ind w:firstLine="480"/>
      </w:pPr>
    </w:p>
    <w:p w14:paraId="5887FED2" w14:textId="1F3165F3" w:rsidR="00953384" w:rsidRDefault="00953384" w:rsidP="00953384">
      <w:pPr>
        <w:pStyle w:val="2"/>
      </w:pPr>
      <w:bookmarkStart w:id="116" w:name="_Toc200137210"/>
      <w:r>
        <w:rPr>
          <w:rFonts w:hint="eastAsia"/>
        </w:rPr>
        <w:t>4.2</w:t>
      </w:r>
      <w:r w:rsidR="00F504D3">
        <w:rPr>
          <w:rFonts w:hint="eastAsia"/>
        </w:rPr>
        <w:t xml:space="preserve"> </w:t>
      </w:r>
      <w:r>
        <w:rPr>
          <w:rFonts w:hint="eastAsia"/>
        </w:rPr>
        <w:t>個案公司簡介</w:t>
      </w:r>
      <w:bookmarkEnd w:id="116"/>
    </w:p>
    <w:p w14:paraId="24FC60A6" w14:textId="01D9965F" w:rsidR="00805578" w:rsidRPr="00186A9E" w:rsidRDefault="00293C14" w:rsidP="00524AAA">
      <w:pPr>
        <w:pStyle w:val="affc"/>
        <w:rPr>
          <w:rFonts w:eastAsia="新細明體"/>
        </w:rPr>
      </w:pPr>
      <w:bookmarkStart w:id="117"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17"/>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lastRenderedPageBreak/>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18" w:name="_Toc200137211"/>
      <w:r>
        <w:rPr>
          <w:rFonts w:hint="eastAsia"/>
        </w:rPr>
        <w:lastRenderedPageBreak/>
        <w:t>第五章、個案分析</w:t>
      </w:r>
      <w:bookmarkEnd w:id="118"/>
    </w:p>
    <w:p w14:paraId="2CA70D62" w14:textId="599FACD2" w:rsidR="001A7C22" w:rsidRDefault="00953384" w:rsidP="001A7C22">
      <w:pPr>
        <w:pStyle w:val="2"/>
      </w:pPr>
      <w:bookmarkStart w:id="119"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19"/>
    </w:p>
    <w:p w14:paraId="5C2657B9" w14:textId="128BFEFF" w:rsidR="003016F8" w:rsidRDefault="003016F8" w:rsidP="003016F8">
      <w:pPr>
        <w:pStyle w:val="3"/>
      </w:pPr>
      <w:bookmarkStart w:id="120"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0"/>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1"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1"/>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22" w:name="_Toc200137215"/>
      <w:r>
        <w:rPr>
          <w:rFonts w:hint="eastAsia"/>
        </w:rPr>
        <w:t>5.1.3</w:t>
      </w:r>
      <w:r w:rsidR="002C7C9B">
        <w:rPr>
          <w:rFonts w:hint="eastAsia"/>
        </w:rPr>
        <w:t xml:space="preserve"> </w:t>
      </w:r>
      <w:r>
        <w:rPr>
          <w:rFonts w:hint="eastAsia"/>
        </w:rPr>
        <w:t>目的</w:t>
      </w:r>
      <w:bookmarkEnd w:id="122"/>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23"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23"/>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4" w:name="_Toc200137216"/>
      <w:r>
        <w:lastRenderedPageBreak/>
        <w:t xml:space="preserve">5.2 </w:t>
      </w:r>
      <w:r>
        <w:t>第一階段：</w:t>
      </w:r>
      <w:r w:rsidR="009B6738">
        <w:rPr>
          <w:rFonts w:hint="eastAsia"/>
        </w:rPr>
        <w:t>開源與協作</w:t>
      </w:r>
      <w:bookmarkEnd w:id="124"/>
    </w:p>
    <w:p w14:paraId="7B61FAA2" w14:textId="7C09188F" w:rsidR="004E127E" w:rsidRPr="007A3DF7" w:rsidRDefault="004E127E" w:rsidP="007A3DF7">
      <w:pPr>
        <w:pStyle w:val="3"/>
        <w:rPr>
          <w:bCs/>
          <w:sz w:val="28"/>
          <w:szCs w:val="28"/>
        </w:rPr>
      </w:pPr>
      <w:bookmarkStart w:id="125"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5"/>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26"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26"/>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27"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27"/>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28" w:name="_Toc200137220"/>
      <w:r w:rsidRPr="004E127E">
        <w:t>5.2</w:t>
      </w:r>
      <w:r>
        <w:rPr>
          <w:rFonts w:hint="eastAsia"/>
        </w:rPr>
        <w:t>.4</w:t>
      </w:r>
      <w:r w:rsidR="002C7C9B">
        <w:rPr>
          <w:rFonts w:hint="eastAsia"/>
        </w:rPr>
        <w:t xml:space="preserve"> </w:t>
      </w:r>
      <w:r>
        <w:rPr>
          <w:rFonts w:hint="eastAsia"/>
        </w:rPr>
        <w:t>深耕運用</w:t>
      </w:r>
      <w:bookmarkEnd w:id="128"/>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29" w:name="_Toc200137221"/>
      <w:r w:rsidRPr="004E127E">
        <w:t>5.2</w:t>
      </w:r>
      <w:r>
        <w:rPr>
          <w:rFonts w:hint="eastAsia"/>
        </w:rPr>
        <w:t>.5</w:t>
      </w:r>
      <w:r w:rsidR="002C7C9B">
        <w:rPr>
          <w:rFonts w:hint="eastAsia"/>
        </w:rPr>
        <w:t xml:space="preserve"> </w:t>
      </w:r>
      <w:r w:rsidR="00313D06">
        <w:rPr>
          <w:rFonts w:hint="eastAsia"/>
        </w:rPr>
        <w:t>創新探索</w:t>
      </w:r>
      <w:bookmarkEnd w:id="129"/>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30" w:name="_Toc200137222"/>
      <w:r w:rsidRPr="004E127E">
        <w:t>5.2</w:t>
      </w:r>
      <w:r>
        <w:rPr>
          <w:rFonts w:hint="eastAsia"/>
        </w:rPr>
        <w:t>.6</w:t>
      </w:r>
      <w:r w:rsidR="002C7C9B">
        <w:rPr>
          <w:rFonts w:hint="eastAsia"/>
        </w:rPr>
        <w:t xml:space="preserve"> </w:t>
      </w:r>
      <w:r>
        <w:rPr>
          <w:rFonts w:hint="eastAsia"/>
        </w:rPr>
        <w:t>平衡機制</w:t>
      </w:r>
      <w:bookmarkEnd w:id="130"/>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1"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1"/>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32"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32"/>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33"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33"/>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4" w:name="_Toc200137224"/>
      <w:r>
        <w:rPr>
          <w:rFonts w:hint="eastAsia"/>
        </w:rPr>
        <w:lastRenderedPageBreak/>
        <w:t xml:space="preserve">5.3 </w:t>
      </w:r>
      <w:r>
        <w:rPr>
          <w:rFonts w:hint="eastAsia"/>
        </w:rPr>
        <w:t>第二階段：</w:t>
      </w:r>
      <w:r w:rsidR="00775AF0" w:rsidRPr="00850A1F">
        <w:rPr>
          <w:rFonts w:hint="eastAsia"/>
        </w:rPr>
        <w:t>資安與私有</w:t>
      </w:r>
      <w:bookmarkEnd w:id="134"/>
    </w:p>
    <w:p w14:paraId="7D60BCCA" w14:textId="264E8B20" w:rsidR="00051C78" w:rsidRDefault="00051C78" w:rsidP="005E090C">
      <w:pPr>
        <w:pStyle w:val="3"/>
      </w:pPr>
      <w:bookmarkStart w:id="135"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5"/>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36"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3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37" w:name="_Toc200137227"/>
      <w:r w:rsidR="001A4581" w:rsidRPr="007D7A67">
        <w:rPr>
          <w:rFonts w:hint="eastAsia"/>
        </w:rPr>
        <w:t>探索可供性</w:t>
      </w:r>
      <w:bookmarkEnd w:id="13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38"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38"/>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39"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39"/>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0"/>
      <w:r w:rsidRPr="00CE1E36">
        <w:rPr>
          <w:rFonts w:hint="eastAsia"/>
        </w:rPr>
        <w:t>202</w:t>
      </w:r>
      <w:r>
        <w:rPr>
          <w:rFonts w:hint="eastAsia"/>
        </w:rPr>
        <w:t xml:space="preserve">1 </w:t>
      </w:r>
      <w:r w:rsidRPr="00FA5C62">
        <w:t>ctwant</w:t>
      </w:r>
      <w:r w:rsidRPr="00CE1E36">
        <w:rPr>
          <w:rFonts w:hint="eastAsia"/>
        </w:rPr>
        <w:t>訪談資料</w:t>
      </w:r>
      <w:commentRangeEnd w:id="140"/>
      <w:r>
        <w:rPr>
          <w:rStyle w:val="af7"/>
        </w:rPr>
        <w:commentReference w:id="140"/>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1" w:name="_Toc200137230"/>
      <w:r>
        <w:rPr>
          <w:rFonts w:hint="eastAsia"/>
        </w:rPr>
        <w:t xml:space="preserve">5.3.6 </w:t>
      </w:r>
      <w:r w:rsidR="002766EC" w:rsidRPr="002766EC">
        <w:rPr>
          <w:rFonts w:hint="eastAsia"/>
        </w:rPr>
        <w:t>平衡機制</w:t>
      </w:r>
      <w:bookmarkEnd w:id="141"/>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42"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42"/>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43"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43"/>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4"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4"/>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5" w:name="_Toc200137232"/>
      <w:r>
        <w:rPr>
          <w:rFonts w:hint="eastAsia"/>
        </w:rPr>
        <w:lastRenderedPageBreak/>
        <w:t xml:space="preserve">5.4 </w:t>
      </w:r>
      <w:r w:rsidR="00C47A87">
        <w:rPr>
          <w:rFonts w:hint="eastAsia"/>
        </w:rPr>
        <w:t>第三階段：銷售與推廣</w:t>
      </w:r>
      <w:bookmarkEnd w:id="145"/>
    </w:p>
    <w:p w14:paraId="62AA08FC" w14:textId="38CE5051" w:rsidR="00935AE0" w:rsidRPr="00935AE0" w:rsidRDefault="00C7046A" w:rsidP="00C7046A">
      <w:pPr>
        <w:pStyle w:val="3"/>
      </w:pPr>
      <w:bookmarkStart w:id="146"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46"/>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47"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47"/>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48"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48"/>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49"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49"/>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50"/>
      <w:commentRangeEnd w:id="150"/>
      <w:r w:rsidRPr="00DE547A">
        <w:rPr>
          <w:rStyle w:val="af7"/>
          <w:sz w:val="24"/>
          <w:szCs w:val="24"/>
        </w:rPr>
        <w:commentReference w:id="150"/>
      </w:r>
    </w:p>
    <w:p w14:paraId="6DDB6A52" w14:textId="751D616E" w:rsidR="004F6767" w:rsidRPr="004F6767" w:rsidRDefault="00F360E0" w:rsidP="00F360E0">
      <w:pPr>
        <w:pStyle w:val="3"/>
      </w:pPr>
      <w:bookmarkStart w:id="151"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1"/>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52" w:name="_Toc200137238"/>
      <w:r w:rsidRPr="00F93F41">
        <w:rPr>
          <w:rFonts w:hint="eastAsia"/>
        </w:rPr>
        <w:t>5.4.6</w:t>
      </w:r>
      <w:r w:rsidR="009B3362">
        <w:rPr>
          <w:rFonts w:hint="eastAsia"/>
        </w:rPr>
        <w:t xml:space="preserve"> </w:t>
      </w:r>
      <w:r w:rsidRPr="00F93F41">
        <w:rPr>
          <w:rFonts w:hint="eastAsia"/>
        </w:rPr>
        <w:t>平衡機制</w:t>
      </w:r>
      <w:bookmarkEnd w:id="152"/>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53"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53"/>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4"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4"/>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5"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5"/>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56"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56"/>
    </w:p>
    <w:p w14:paraId="5AF93C9C" w14:textId="40ACD47B" w:rsidR="008063F6" w:rsidRPr="008063F6" w:rsidRDefault="003F0392" w:rsidP="003F0392">
      <w:pPr>
        <w:pStyle w:val="3"/>
      </w:pPr>
      <w:bookmarkStart w:id="157"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57"/>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58"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58"/>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59"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59"/>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60"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60"/>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1"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1"/>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62"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62"/>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63"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63"/>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4"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4"/>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5"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5"/>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66"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66"/>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67" w:name="_Toc200137249"/>
      <w:r>
        <w:rPr>
          <w:rFonts w:hint="eastAsia"/>
        </w:rPr>
        <w:lastRenderedPageBreak/>
        <w:t>第六章、研究結論與建議</w:t>
      </w:r>
      <w:bookmarkEnd w:id="167"/>
    </w:p>
    <w:p w14:paraId="4FBACE79" w14:textId="1627399C" w:rsidR="00797D62" w:rsidRDefault="00797D62" w:rsidP="00F71E02">
      <w:pPr>
        <w:pStyle w:val="2"/>
      </w:pPr>
      <w:bookmarkStart w:id="168" w:name="_Toc200137250"/>
      <w:r>
        <w:rPr>
          <w:rFonts w:hint="eastAsia"/>
        </w:rPr>
        <w:t>6.1</w:t>
      </w:r>
      <w:r w:rsidR="00F504D3">
        <w:rPr>
          <w:rFonts w:hint="eastAsia"/>
        </w:rPr>
        <w:t xml:space="preserve"> </w:t>
      </w:r>
      <w:r>
        <w:rPr>
          <w:rFonts w:hint="eastAsia"/>
        </w:rPr>
        <w:t>結論與研究貢獻</w:t>
      </w:r>
      <w:bookmarkEnd w:id="168"/>
    </w:p>
    <w:p w14:paraId="137BDEFA" w14:textId="3200F43F" w:rsidR="00797D62" w:rsidRPr="00953384" w:rsidRDefault="00797D62" w:rsidP="00F71E02">
      <w:pPr>
        <w:pStyle w:val="2"/>
      </w:pPr>
      <w:bookmarkStart w:id="169" w:name="_Toc200137251"/>
      <w:r>
        <w:rPr>
          <w:rFonts w:hint="eastAsia"/>
        </w:rPr>
        <w:t>6.2</w:t>
      </w:r>
      <w:r w:rsidR="00F504D3">
        <w:rPr>
          <w:rFonts w:hint="eastAsia"/>
        </w:rPr>
        <w:t xml:space="preserve"> </w:t>
      </w:r>
      <w:r>
        <w:rPr>
          <w:rFonts w:hint="eastAsia"/>
        </w:rPr>
        <w:t>研究限制與未來研究方向</w:t>
      </w:r>
      <w:bookmarkEnd w:id="169"/>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70" w:name="_Toc200137252"/>
      <w:r>
        <w:rPr>
          <w:rFonts w:hint="eastAsia"/>
        </w:rPr>
        <w:lastRenderedPageBreak/>
        <w:t>第七章、參考文獻</w:t>
      </w:r>
      <w:bookmarkEnd w:id="170"/>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1"/>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1"/>
      <w:r w:rsidR="00143FB1">
        <w:rPr>
          <w:rStyle w:val="af7"/>
        </w:rPr>
        <w:commentReference w:id="171"/>
      </w:r>
    </w:p>
    <w:sectPr w:rsidR="009F48E2">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5"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6"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7"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8"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2"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3"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4"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5"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6"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7"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8"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62"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3"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4"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5"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6"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7"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9"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3"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4"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5"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6"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6"/>
    <w:p w14:paraId="27B70677" w14:textId="7CF035EB" w:rsidR="00F8190C" w:rsidRPr="00F8190C" w:rsidRDefault="00F8190C">
      <w:pPr>
        <w:pStyle w:val="af8"/>
        <w:ind w:firstLine="480"/>
      </w:pPr>
    </w:p>
  </w:comment>
  <w:comment w:id="77"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9"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80"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13" w:author="190498 lily" w:date="2025-06-09T16:19:00Z" w:initials="1l">
    <w:p w14:paraId="34C54EE6" w14:textId="77777777" w:rsidR="007442C5" w:rsidRDefault="00E74AF7" w:rsidP="00E74AF7">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49F88036" w14:textId="77777777" w:rsidR="007442C5" w:rsidRDefault="007442C5" w:rsidP="00E74AF7">
      <w:pPr>
        <w:pStyle w:val="af8"/>
        <w:ind w:firstLine="480"/>
      </w:pPr>
    </w:p>
    <w:p w14:paraId="0CCB3AC4" w14:textId="1070945D" w:rsidR="00E74AF7" w:rsidRDefault="00E74AF7" w:rsidP="00E74AF7">
      <w:pPr>
        <w:pStyle w:val="af8"/>
        <w:ind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14" w:author="190498 lily" w:date="2025-06-09T16:21:00Z" w:initials="1l">
    <w:p w14:paraId="7B8598B9" w14:textId="6C939CCF" w:rsidR="004C7FAA" w:rsidRDefault="004C7FAA">
      <w:pPr>
        <w:pStyle w:val="af8"/>
        <w:ind w:firstLine="360"/>
      </w:pPr>
      <w:r>
        <w:rPr>
          <w:rStyle w:val="af7"/>
        </w:rPr>
        <w:annotationRef/>
      </w:r>
      <w:r w:rsidRPr="004C7FAA">
        <w:t>UNEP (2021) Catalyzing Science-Based Policy Action on SCP: Task Group IRP - One Planet.</w:t>
      </w:r>
    </w:p>
  </w:comment>
  <w:comment w:id="115" w:author="190498 lily" w:date="2025-06-09T16:16:00Z" w:initials="1l">
    <w:p w14:paraId="6B9A371C" w14:textId="77777777" w:rsidR="00E74AF7" w:rsidRDefault="00E74AF7" w:rsidP="00E74AF7">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16411912" w14:textId="77777777" w:rsidR="00E74AF7" w:rsidRDefault="00E74AF7" w:rsidP="00E74AF7">
      <w:pPr>
        <w:pStyle w:val="af8"/>
        <w:ind w:firstLine="480"/>
      </w:pPr>
    </w:p>
    <w:p w14:paraId="5A6B9098" w14:textId="77777777" w:rsidR="00E74AF7" w:rsidRDefault="00E74AF7" w:rsidP="00E74AF7">
      <w:pPr>
        <w:pStyle w:val="af8"/>
        <w:ind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40"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50"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1"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0CCB3AC4" w15:done="0"/>
  <w15:commentEx w15:paraId="7B8598B9" w15:done="0"/>
  <w15:commentEx w15:paraId="5A6B9098"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3C34D2F6" w16cex:dateUtc="2025-06-09T08:19:00Z"/>
  <w16cex:commentExtensible w16cex:durableId="51A02559" w16cex:dateUtc="2025-06-09T08:21:00Z"/>
  <w16cex:commentExtensible w16cex:durableId="2C931411" w16cex:dateUtc="2025-06-09T08:16: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0CCB3AC4" w16cid:durableId="3C34D2F6"/>
  <w16cid:commentId w16cid:paraId="7B8598B9" w16cid:durableId="51A02559"/>
  <w16cid:commentId w16cid:paraId="5A6B9098" w16cid:durableId="2C93141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E5EFE" w14:textId="77777777" w:rsidR="001B5E66" w:rsidRDefault="001B5E66" w:rsidP="00FB06EE">
      <w:pPr>
        <w:spacing w:after="0" w:line="240" w:lineRule="auto"/>
        <w:ind w:firstLine="480"/>
      </w:pPr>
      <w:r>
        <w:separator/>
      </w:r>
    </w:p>
  </w:endnote>
  <w:endnote w:type="continuationSeparator" w:id="0">
    <w:p w14:paraId="1BA90DC1" w14:textId="77777777" w:rsidR="001B5E66" w:rsidRDefault="001B5E66"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AC5CC1" w14:textId="77777777" w:rsidR="001B5E66" w:rsidRDefault="001B5E66" w:rsidP="00FB06EE">
      <w:pPr>
        <w:spacing w:after="0" w:line="240" w:lineRule="auto"/>
        <w:ind w:firstLine="480"/>
      </w:pPr>
      <w:r>
        <w:separator/>
      </w:r>
    </w:p>
  </w:footnote>
  <w:footnote w:type="continuationSeparator" w:id="0">
    <w:p w14:paraId="3113A668" w14:textId="77777777" w:rsidR="001B5E66" w:rsidRDefault="001B5E66"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CB"/>
    <w:rsid w:val="000122B3"/>
    <w:rsid w:val="00012A8F"/>
    <w:rsid w:val="00012CD5"/>
    <w:rsid w:val="00012EC9"/>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2B61"/>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2CA"/>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A34"/>
    <w:rsid w:val="000C3E26"/>
    <w:rsid w:val="000C413E"/>
    <w:rsid w:val="000C44F6"/>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788"/>
    <w:rsid w:val="000C7850"/>
    <w:rsid w:val="000C7B32"/>
    <w:rsid w:val="000C7B34"/>
    <w:rsid w:val="000C7CAE"/>
    <w:rsid w:val="000C7CED"/>
    <w:rsid w:val="000C7D79"/>
    <w:rsid w:val="000D017F"/>
    <w:rsid w:val="000D01C0"/>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33"/>
    <w:rsid w:val="00102BE6"/>
    <w:rsid w:val="00103790"/>
    <w:rsid w:val="0010379A"/>
    <w:rsid w:val="00103A10"/>
    <w:rsid w:val="00103C35"/>
    <w:rsid w:val="00103D2A"/>
    <w:rsid w:val="00103F3B"/>
    <w:rsid w:val="00104394"/>
    <w:rsid w:val="001049BD"/>
    <w:rsid w:val="00104AD7"/>
    <w:rsid w:val="00104DF8"/>
    <w:rsid w:val="00104E94"/>
    <w:rsid w:val="00104F8F"/>
    <w:rsid w:val="001056C5"/>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E18"/>
    <w:rsid w:val="00131019"/>
    <w:rsid w:val="001311D1"/>
    <w:rsid w:val="001312C1"/>
    <w:rsid w:val="00131490"/>
    <w:rsid w:val="001317B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095"/>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612"/>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D26"/>
    <w:rsid w:val="0017524A"/>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5E66"/>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892"/>
    <w:rsid w:val="001C4D80"/>
    <w:rsid w:val="001C505A"/>
    <w:rsid w:val="001C5772"/>
    <w:rsid w:val="001C57BD"/>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6FCC"/>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5FDA"/>
    <w:rsid w:val="00276287"/>
    <w:rsid w:val="002766EC"/>
    <w:rsid w:val="00276AF5"/>
    <w:rsid w:val="00276B1E"/>
    <w:rsid w:val="002770ED"/>
    <w:rsid w:val="00277119"/>
    <w:rsid w:val="0027739C"/>
    <w:rsid w:val="002776DF"/>
    <w:rsid w:val="00277977"/>
    <w:rsid w:val="00277C5B"/>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5CF"/>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808"/>
    <w:rsid w:val="00374DFA"/>
    <w:rsid w:val="0037526F"/>
    <w:rsid w:val="003753A3"/>
    <w:rsid w:val="0037570E"/>
    <w:rsid w:val="00375F46"/>
    <w:rsid w:val="0037623C"/>
    <w:rsid w:val="003765E0"/>
    <w:rsid w:val="00376AB9"/>
    <w:rsid w:val="00377E82"/>
    <w:rsid w:val="00377E98"/>
    <w:rsid w:val="0038032B"/>
    <w:rsid w:val="0038064B"/>
    <w:rsid w:val="00380816"/>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5DB"/>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08A2"/>
    <w:rsid w:val="0045116E"/>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857"/>
    <w:rsid w:val="00464A03"/>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670"/>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A3"/>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72D"/>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4D21"/>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370"/>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4E3"/>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8BD"/>
    <w:rsid w:val="00547B11"/>
    <w:rsid w:val="00547E60"/>
    <w:rsid w:val="005502CF"/>
    <w:rsid w:val="00550604"/>
    <w:rsid w:val="00550840"/>
    <w:rsid w:val="00550932"/>
    <w:rsid w:val="00550CF8"/>
    <w:rsid w:val="00550ED9"/>
    <w:rsid w:val="005510DC"/>
    <w:rsid w:val="00551112"/>
    <w:rsid w:val="0055146B"/>
    <w:rsid w:val="00551D88"/>
    <w:rsid w:val="00552C2C"/>
    <w:rsid w:val="00552C9E"/>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B40"/>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36F"/>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A7ED4"/>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A7B"/>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0D9"/>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4F02"/>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971"/>
    <w:rsid w:val="006D7B9A"/>
    <w:rsid w:val="006D7DF1"/>
    <w:rsid w:val="006D7E2A"/>
    <w:rsid w:val="006E0279"/>
    <w:rsid w:val="006E054E"/>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2C5"/>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B6E"/>
    <w:rsid w:val="00764B77"/>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92E"/>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43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504"/>
    <w:rsid w:val="00835827"/>
    <w:rsid w:val="00835957"/>
    <w:rsid w:val="00835DE9"/>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2EC"/>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EF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046"/>
    <w:rsid w:val="008A51C2"/>
    <w:rsid w:val="008A51FE"/>
    <w:rsid w:val="008A5C20"/>
    <w:rsid w:val="008A5EC6"/>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37"/>
    <w:rsid w:val="008B1970"/>
    <w:rsid w:val="008B1971"/>
    <w:rsid w:val="008B1D4B"/>
    <w:rsid w:val="008B1D9F"/>
    <w:rsid w:val="008B2754"/>
    <w:rsid w:val="008B2835"/>
    <w:rsid w:val="008B2A0D"/>
    <w:rsid w:val="008B2B28"/>
    <w:rsid w:val="008B2B95"/>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A21"/>
    <w:rsid w:val="008C3B4E"/>
    <w:rsid w:val="008C489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31C"/>
    <w:rsid w:val="008E64E0"/>
    <w:rsid w:val="008E6874"/>
    <w:rsid w:val="008E6A72"/>
    <w:rsid w:val="008E6C25"/>
    <w:rsid w:val="008E6F1A"/>
    <w:rsid w:val="008E70BF"/>
    <w:rsid w:val="008E7516"/>
    <w:rsid w:val="008E7692"/>
    <w:rsid w:val="008E7DAF"/>
    <w:rsid w:val="008E7E23"/>
    <w:rsid w:val="008F0193"/>
    <w:rsid w:val="008F02A6"/>
    <w:rsid w:val="008F06B5"/>
    <w:rsid w:val="008F097D"/>
    <w:rsid w:val="008F0D84"/>
    <w:rsid w:val="008F1397"/>
    <w:rsid w:val="008F1B33"/>
    <w:rsid w:val="008F1CE9"/>
    <w:rsid w:val="008F1E89"/>
    <w:rsid w:val="008F2050"/>
    <w:rsid w:val="008F2468"/>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07F2B"/>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0BF"/>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85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4D5"/>
    <w:rsid w:val="009E67AF"/>
    <w:rsid w:val="009E68E3"/>
    <w:rsid w:val="009E73FF"/>
    <w:rsid w:val="009E7585"/>
    <w:rsid w:val="009E75E2"/>
    <w:rsid w:val="009E779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72E"/>
    <w:rsid w:val="00A048BF"/>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893"/>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32D"/>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498"/>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C73"/>
    <w:rsid w:val="00A96DF0"/>
    <w:rsid w:val="00A97161"/>
    <w:rsid w:val="00A974A1"/>
    <w:rsid w:val="00A9763F"/>
    <w:rsid w:val="00A97775"/>
    <w:rsid w:val="00A97841"/>
    <w:rsid w:val="00A97906"/>
    <w:rsid w:val="00A97B49"/>
    <w:rsid w:val="00AA066F"/>
    <w:rsid w:val="00AA0C4F"/>
    <w:rsid w:val="00AA0E2D"/>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BAC"/>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5E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5B8"/>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B15"/>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765"/>
    <w:rsid w:val="00B41C28"/>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B43"/>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2ACF"/>
    <w:rsid w:val="00B730BA"/>
    <w:rsid w:val="00B731C6"/>
    <w:rsid w:val="00B732E9"/>
    <w:rsid w:val="00B74001"/>
    <w:rsid w:val="00B74088"/>
    <w:rsid w:val="00B744BB"/>
    <w:rsid w:val="00B7462D"/>
    <w:rsid w:val="00B74939"/>
    <w:rsid w:val="00B74D45"/>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43"/>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352"/>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1F"/>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D5E"/>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19"/>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3DF9"/>
    <w:rsid w:val="00C94784"/>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35D"/>
    <w:rsid w:val="00CB0402"/>
    <w:rsid w:val="00CB078D"/>
    <w:rsid w:val="00CB0A40"/>
    <w:rsid w:val="00CB0ACA"/>
    <w:rsid w:val="00CB0B58"/>
    <w:rsid w:val="00CB0CF8"/>
    <w:rsid w:val="00CB1435"/>
    <w:rsid w:val="00CB14FE"/>
    <w:rsid w:val="00CB1786"/>
    <w:rsid w:val="00CB1891"/>
    <w:rsid w:val="00CB1CC6"/>
    <w:rsid w:val="00CB1CD6"/>
    <w:rsid w:val="00CB1DD9"/>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1DF8"/>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64D"/>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89F"/>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75F"/>
    <w:rsid w:val="00D6289E"/>
    <w:rsid w:val="00D62CC9"/>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D64"/>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1FD2"/>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5D07"/>
    <w:rsid w:val="00DB5E6C"/>
    <w:rsid w:val="00DB6417"/>
    <w:rsid w:val="00DB64A5"/>
    <w:rsid w:val="00DB688F"/>
    <w:rsid w:val="00DB689C"/>
    <w:rsid w:val="00DB6A5A"/>
    <w:rsid w:val="00DB6E07"/>
    <w:rsid w:val="00DB6E6F"/>
    <w:rsid w:val="00DB6EFF"/>
    <w:rsid w:val="00DB7693"/>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6C29"/>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926"/>
    <w:rsid w:val="00DF5C40"/>
    <w:rsid w:val="00DF6182"/>
    <w:rsid w:val="00DF6F82"/>
    <w:rsid w:val="00DF701E"/>
    <w:rsid w:val="00DF70F5"/>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8C9"/>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15"/>
    <w:rsid w:val="00E47154"/>
    <w:rsid w:val="00E47ABD"/>
    <w:rsid w:val="00E47BED"/>
    <w:rsid w:val="00E47D75"/>
    <w:rsid w:val="00E50711"/>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AF7"/>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0A7"/>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2CBE"/>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7AB"/>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C6F"/>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434"/>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B86"/>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5166"/>
    <w:rsid w:val="00F65314"/>
    <w:rsid w:val="00F654AC"/>
    <w:rsid w:val="00F65676"/>
    <w:rsid w:val="00F665D6"/>
    <w:rsid w:val="00F66788"/>
    <w:rsid w:val="00F66F4A"/>
    <w:rsid w:val="00F67244"/>
    <w:rsid w:val="00F6731D"/>
    <w:rsid w:val="00F677E6"/>
    <w:rsid w:val="00F67E1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AD5"/>
    <w:rsid w:val="00F94B11"/>
    <w:rsid w:val="00F94B4C"/>
    <w:rsid w:val="00F94E9A"/>
    <w:rsid w:val="00F94E9E"/>
    <w:rsid w:val="00F94ED7"/>
    <w:rsid w:val="00F952A6"/>
    <w:rsid w:val="00F955F3"/>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11"/>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002/mde.350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016/j.respol.2017.01.015"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www.jstor.org/stable/26629645" TargetMode="External"/><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116</Pages>
  <Words>32262</Words>
  <Characters>183894</Characters>
  <Application>Microsoft Office Word</Application>
  <DocSecurity>0</DocSecurity>
  <Lines>1532</Lines>
  <Paragraphs>431</Paragraphs>
  <ScaleCrop>false</ScaleCrop>
  <Company/>
  <LinksUpToDate>false</LinksUpToDate>
  <CharactersWithSpaces>215725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1034</cp:revision>
  <cp:lastPrinted>2025-05-19T17:36:00Z</cp:lastPrinted>
  <dcterms:created xsi:type="dcterms:W3CDTF">2025-06-04T14:38:00Z</dcterms:created>
  <dcterms:modified xsi:type="dcterms:W3CDTF">2025-06-09T15:26:00Z</dcterms:modified>
</cp:coreProperties>
</file>