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77777777" w:rsidR="009F136E" w:rsidRPr="00854196" w:rsidRDefault="009F136E" w:rsidP="009F136E">
      <w:pPr>
        <w:rPr>
          <w:color w:val="156082" w:themeColor="accent1"/>
        </w:rPr>
      </w:pPr>
    </w:p>
    <w:p w14:paraId="1122B72C" w14:textId="77777777" w:rsidR="00FD4C95" w:rsidRPr="00854196" w:rsidRDefault="00FD4C95" w:rsidP="009F136E">
      <w:pPr>
        <w:rPr>
          <w:rFonts w:hint="eastAsia"/>
          <w:color w:val="156082" w:themeColor="accent1"/>
        </w:rPr>
      </w:pP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3FDFE781" w14:textId="77777777" w:rsidR="008C09A0"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neural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 xml:space="preserve">Entropy is a measure used in information theory to quantify the uncertainty of a random variable. In machine learning and data science, entropy is often used to measure the disorder or uncertainty of a system or random variable. Higher </w:t>
      </w:r>
      <w:r>
        <w:lastRenderedPageBreak/>
        <w:t>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rFonts w:hint="eastAsia"/>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lastRenderedPageBreak/>
        <w:t>Please answer the questions about search on game tree.</w:t>
      </w:r>
    </w:p>
    <w:p w14:paraId="6EDDE72F" w14:textId="33166CB2"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13BF7729"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1FC1C1D7" w14:textId="334B2AC0"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encircle those nodes that are visited in (b).</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w:t>
      </w:r>
    </w:p>
    <w:p w14:paraId="08155C4A" w14:textId="62C9BEFE" w:rsidR="00FD4C95" w:rsidRPr="00854196" w:rsidRDefault="00FD4C95" w:rsidP="009F136E">
      <w:pPr>
        <w:pStyle w:val="a9"/>
        <w:rPr>
          <w:rFonts w:hint="eastAsia"/>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7C07DCEE" w:rsidR="00FD4C95" w:rsidRPr="00854196" w:rsidRDefault="00FD4C95" w:rsidP="009F136E">
      <w:pPr>
        <w:pStyle w:val="a9"/>
        <w:rPr>
          <w:color w:val="156082" w:themeColor="accent1"/>
        </w:rPr>
      </w:pPr>
      <w:r w:rsidRPr="00854196">
        <w:rPr>
          <w:rFonts w:hint="eastAsia"/>
          <w:color w:val="156082" w:themeColor="accent1"/>
        </w:rPr>
        <w:t>圖二</w:t>
      </w:r>
    </w:p>
    <w:p w14:paraId="0A0F1944" w14:textId="7EBBE7A8" w:rsidR="00FD4C95" w:rsidRPr="00854196" w:rsidRDefault="00FD4C95" w:rsidP="009F136E">
      <w:pPr>
        <w:pStyle w:val="a9"/>
        <w:rPr>
          <w:rFonts w:hint="eastAsia"/>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77777777"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45B350CA" w14:textId="36DA5556" w:rsidR="009F136E" w:rsidRPr="00854196"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謎題來說明定義狀態空間搜索的基本因素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0B2F37EB" w14:textId="71EED707" w:rsidR="009F136E" w:rsidRPr="00854196"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2D80E061" w14:textId="23D4BFE1" w:rsidR="009F136E" w:rsidRPr="00854196"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018D073D" w14:textId="6624816C" w:rsidR="009F136E" w:rsidRPr="00854196" w:rsidRDefault="009F136E" w:rsidP="009F136E">
      <w:pPr>
        <w:rPr>
          <w:color w:val="156082" w:themeColor="accent1"/>
        </w:rPr>
      </w:pPr>
    </w:p>
    <w:p w14:paraId="296AD1FB" w14:textId="77777777" w:rsidR="0095341D" w:rsidRPr="00854196" w:rsidRDefault="0095341D" w:rsidP="009F136E">
      <w:pPr>
        <w:rPr>
          <w:rFonts w:hint="eastAsia"/>
          <w:color w:val="156082" w:themeColor="accent1"/>
        </w:rPr>
      </w:pPr>
    </w:p>
    <w:p w14:paraId="0F25F96C" w14:textId="42FE2A90" w:rsidR="00330241" w:rsidRPr="00854196" w:rsidRDefault="009F136E" w:rsidP="00330241">
      <w:pPr>
        <w:pStyle w:val="a9"/>
        <w:numPr>
          <w:ilvl w:val="0"/>
          <w:numId w:val="1"/>
        </w:numPr>
        <w:contextualSpacing w:val="0"/>
        <w:rPr>
          <w:rFonts w:hint="eastAsia"/>
          <w:color w:val="156082" w:themeColor="accent1"/>
        </w:rPr>
      </w:pPr>
      <w:r w:rsidRPr="00854196">
        <w:rPr>
          <w:rFonts w:hint="eastAsia"/>
          <w:color w:val="156082" w:themeColor="accent1"/>
        </w:rPr>
        <w:t xml:space="preserve">Please </w:t>
      </w:r>
      <w:r w:rsidRPr="00854196">
        <w:rPr>
          <w:color w:val="156082" w:themeColor="accent1"/>
        </w:rPr>
        <w:t xml:space="preserve">describe how inductive learning algorithm (ID3) for decision trees is conducted. </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r w:rsidRPr="00854196">
        <w:rPr>
          <w:rFonts w:hint="eastAsia"/>
          <w:color w:val="156082" w:themeColor="accent1"/>
        </w:rPr>
        <w:t>.</w:t>
      </w:r>
    </w:p>
    <w:p w14:paraId="0CE130CE" w14:textId="77777777" w:rsidR="009F136E" w:rsidRPr="00854196" w:rsidRDefault="009F136E" w:rsidP="009F136E">
      <w:pPr>
        <w:rPr>
          <w:color w:val="156082" w:themeColor="accent1"/>
        </w:rPr>
      </w:pPr>
    </w:p>
    <w:p w14:paraId="512D2BB8" w14:textId="77777777" w:rsidR="0095341D" w:rsidRPr="00854196" w:rsidRDefault="0095341D" w:rsidP="009F136E">
      <w:pPr>
        <w:rPr>
          <w:rFonts w:hint="eastAsia"/>
          <w:color w:val="156082" w:themeColor="accent1"/>
        </w:rPr>
      </w:pPr>
    </w:p>
    <w:p w14:paraId="2A7BAC3A"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Pr="00854196">
        <w:rPr>
          <w:color w:val="156082" w:themeColor="accent1"/>
        </w:rPr>
        <w:tab/>
      </w:r>
      <w:r w:rsidRPr="00854196">
        <w:rPr>
          <w:color w:val="156082" w:themeColor="accent1"/>
        </w:rPr>
        <w:tab/>
        <w:t>(20)</w:t>
      </w:r>
    </w:p>
    <w:p w14:paraId="2317CAD2" w14:textId="77777777" w:rsidR="00057F1F" w:rsidRPr="00854196" w:rsidRDefault="00057F1F">
      <w:pPr>
        <w:rPr>
          <w:color w:val="156082" w:themeColor="accent1"/>
        </w:rPr>
      </w:pPr>
    </w:p>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6C96F001" w14:textId="77777777" w:rsidR="00FD4C95" w:rsidRPr="00854196" w:rsidRDefault="00FD4C95" w:rsidP="006F1CC1">
      <w:pPr>
        <w:ind w:firstLineChars="200" w:firstLine="480"/>
        <w:rPr>
          <w:color w:val="156082" w:themeColor="accent1"/>
        </w:rPr>
      </w:pPr>
    </w:p>
    <w:p w14:paraId="53742C70" w14:textId="77777777" w:rsidR="006F1CC1" w:rsidRPr="00854196" w:rsidRDefault="006F1CC1" w:rsidP="006F1CC1">
      <w:pPr>
        <w:ind w:firstLineChars="200" w:firstLine="480"/>
        <w:rPr>
          <w:rFonts w:hint="eastAsia"/>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54196">
        <w:rPr>
          <w:color w:val="156082" w:themeColor="accent1"/>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4FB57151" w:rsidR="00330241" w:rsidRPr="00854196" w:rsidRDefault="00330241" w:rsidP="00330241">
      <w:pPr>
        <w:pStyle w:val="a9"/>
        <w:numPr>
          <w:ilvl w:val="1"/>
          <w:numId w:val="9"/>
        </w:numPr>
        <w:contextualSpacing w:val="0"/>
        <w:rPr>
          <w:color w:val="156082" w:themeColor="accent1"/>
        </w:rPr>
      </w:pPr>
      <w:r w:rsidRPr="00854196">
        <w:rPr>
          <w:color w:val="156082" w:themeColor="accent1"/>
        </w:rPr>
        <w:t>How many parameters are there in a Gaussian mixture model of 10 mixtures have for 39 dimensional points</w:t>
      </w:r>
      <w:r w:rsidRPr="00854196">
        <w:rPr>
          <w:rFonts w:hint="eastAsia"/>
          <w:color w:val="156082" w:themeColor="accent1"/>
        </w:rPr>
        <w:t>?</w:t>
      </w:r>
      <w:r w:rsidRPr="00854196">
        <w:rPr>
          <w:rFonts w:hint="eastAsia"/>
          <w:color w:val="156082" w:themeColor="accent1"/>
        </w:rPr>
        <w:tab/>
      </w:r>
      <w:r w:rsidRPr="00854196">
        <w:rPr>
          <w:color w:val="156082" w:themeColor="accent1"/>
        </w:rPr>
        <w:t xml:space="preserve"> (assuming its covariance matrixes are all diagonal)</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Pr="00854196" w:rsidRDefault="00330241" w:rsidP="00330241">
      <w:pPr>
        <w:pStyle w:val="a9"/>
        <w:numPr>
          <w:ilvl w:val="1"/>
          <w:numId w:val="9"/>
        </w:numPr>
        <w:contextualSpacing w:val="0"/>
        <w:rPr>
          <w:rFonts w:hint="eastAsia"/>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3DDDF333" w14:textId="77777777" w:rsidR="00330241" w:rsidRPr="00854196" w:rsidRDefault="00330241" w:rsidP="00330241">
      <w:pPr>
        <w:pStyle w:val="a9"/>
        <w:ind w:left="360"/>
        <w:contextualSpacing w:val="0"/>
        <w:rPr>
          <w:rFonts w:hint="eastAsia"/>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lastRenderedPageBreak/>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(10)</w:t>
      </w:r>
    </w:p>
    <w:p w14:paraId="49E8C459" w14:textId="77777777" w:rsidR="004D313C" w:rsidRPr="00854196" w:rsidRDefault="004D313C" w:rsidP="00330241">
      <w:pPr>
        <w:pStyle w:val="a9"/>
        <w:ind w:left="360"/>
        <w:rPr>
          <w:color w:val="156082" w:themeColor="accent1"/>
        </w:rPr>
      </w:pPr>
    </w:p>
    <w:p w14:paraId="73C19769" w14:textId="77777777" w:rsidR="00FA7B0E" w:rsidRPr="00854196" w:rsidRDefault="00FA7B0E" w:rsidP="00330241">
      <w:pPr>
        <w:pStyle w:val="a9"/>
        <w:ind w:left="360"/>
        <w:rPr>
          <w:rFonts w:hint="eastAsia"/>
          <w:color w:val="156082" w:themeColor="accent1"/>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w:t>
      </w:r>
      <w:proofErr w:type="gramStart"/>
      <w:r w:rsidRPr="00854196">
        <w:rPr>
          <w:rFonts w:hint="eastAsia"/>
          <w:color w:val="156082" w:themeColor="accent1"/>
        </w:rPr>
        <w:t>are</w:t>
      </w:r>
      <w:proofErr w:type="gramEnd"/>
      <w:r w:rsidRPr="00854196">
        <w:rPr>
          <w:rFonts w:hint="eastAsia"/>
          <w:color w:val="156082" w:themeColor="accent1"/>
        </w:rPr>
        <w:t xml:space="preserv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B174768" w14:textId="65B3CCD5"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77777777"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rFonts w:hint="eastAsia"/>
          <w:color w:val="156082" w:themeColor="accent1"/>
        </w:rPr>
      </w:pPr>
    </w:p>
    <w:p w14:paraId="667137BA" w14:textId="77777777"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rFonts w:hint="eastAsia"/>
          <w:color w:val="156082" w:themeColor="accent1"/>
        </w:rPr>
      </w:pPr>
    </w:p>
    <w:p w14:paraId="01858D96" w14:textId="77777777" w:rsidR="004D313C" w:rsidRPr="00854196" w:rsidRDefault="004D313C" w:rsidP="00330241">
      <w:pPr>
        <w:ind w:firstLine="360"/>
        <w:rPr>
          <w:rFonts w:hint="eastAsia"/>
          <w:color w:val="156082" w:themeColor="accent1"/>
        </w:rPr>
      </w:pPr>
    </w:p>
    <w:p w14:paraId="119B29A6" w14:textId="7E7E80E2" w:rsidR="00330241" w:rsidRPr="00854196" w:rsidRDefault="00330241" w:rsidP="0095341D">
      <w:pPr>
        <w:pStyle w:val="a9"/>
        <w:numPr>
          <w:ilvl w:val="0"/>
          <w:numId w:val="13"/>
        </w:numPr>
        <w:rPr>
          <w:color w:val="156082" w:themeColor="accent1"/>
        </w:rPr>
      </w:pPr>
      <w:r w:rsidRPr="00854196">
        <w:rPr>
          <w:color w:val="156082" w:themeColor="accent1"/>
        </w:rPr>
        <w:t>Given two vectors X1=[0 1 1 0 1 0 0 1 0 1] and X2=[1 0 1 1 0 0 1 1 0 0], please 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sectPr w:rsidR="00330241" w:rsidRPr="008541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9"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0"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4"/>
  </w:num>
  <w:num w:numId="2" w16cid:durableId="557084896">
    <w:abstractNumId w:val="1"/>
  </w:num>
  <w:num w:numId="3" w16cid:durableId="1147672795">
    <w:abstractNumId w:val="0"/>
  </w:num>
  <w:num w:numId="4" w16cid:durableId="163785297">
    <w:abstractNumId w:val="2"/>
  </w:num>
  <w:num w:numId="5" w16cid:durableId="221451755">
    <w:abstractNumId w:val="13"/>
  </w:num>
  <w:num w:numId="6" w16cid:durableId="593972337">
    <w:abstractNumId w:val="12"/>
  </w:num>
  <w:num w:numId="7" w16cid:durableId="1080062969">
    <w:abstractNumId w:val="9"/>
  </w:num>
  <w:num w:numId="8" w16cid:durableId="44913667">
    <w:abstractNumId w:val="3"/>
  </w:num>
  <w:num w:numId="9" w16cid:durableId="2099905721">
    <w:abstractNumId w:val="8"/>
  </w:num>
  <w:num w:numId="10" w16cid:durableId="89275436">
    <w:abstractNumId w:val="5"/>
  </w:num>
  <w:num w:numId="11" w16cid:durableId="113405647">
    <w:abstractNumId w:val="10"/>
  </w:num>
  <w:num w:numId="12" w16cid:durableId="11036333">
    <w:abstractNumId w:val="7"/>
  </w:num>
  <w:num w:numId="13" w16cid:durableId="1665207025">
    <w:abstractNumId w:val="11"/>
  </w:num>
  <w:num w:numId="14" w16cid:durableId="853572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57F1F"/>
    <w:rsid w:val="00330241"/>
    <w:rsid w:val="004200B5"/>
    <w:rsid w:val="004D313C"/>
    <w:rsid w:val="006F1CC1"/>
    <w:rsid w:val="00854196"/>
    <w:rsid w:val="008C09A0"/>
    <w:rsid w:val="0095341D"/>
    <w:rsid w:val="009F136E"/>
    <w:rsid w:val="00EC5E70"/>
    <w:rsid w:val="00F17E82"/>
    <w:rsid w:val="00FA7B0E"/>
    <w:rsid w:val="00FD4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9</cp:revision>
  <dcterms:created xsi:type="dcterms:W3CDTF">2024-05-11T08:08:00Z</dcterms:created>
  <dcterms:modified xsi:type="dcterms:W3CDTF">2024-05-11T08:41:00Z</dcterms:modified>
</cp:coreProperties>
</file>