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31" w:rsidRDefault="00B94191" w:rsidP="005F731B">
      <w:pPr>
        <w:autoSpaceDE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5F731B">
        <w:rPr>
          <w:rStyle w:val="Refdenotaderodap"/>
          <w:rFonts w:ascii="Arial" w:hAnsi="Arial" w:cs="Arial"/>
          <w:b/>
          <w:bCs/>
          <w:color w:val="000000"/>
          <w:sz w:val="2"/>
          <w:szCs w:val="2"/>
        </w:rPr>
        <w:footnoteReference w:id="1"/>
      </w:r>
      <w:r w:rsidR="00A35D31">
        <w:rPr>
          <w:rFonts w:ascii="Arial" w:hAnsi="Arial" w:cs="Arial"/>
          <w:b/>
          <w:bCs/>
          <w:color w:val="000000"/>
          <w:sz w:val="24"/>
          <w:szCs w:val="24"/>
        </w:rPr>
        <w:t>DETERMINAÇÃO DA ALCALINIDADE E PH DAS ÁGUAS SUBTERRÂNEAS DO IFC-CC</w:t>
      </w:r>
    </w:p>
    <w:p w:rsidR="00A35D31" w:rsidRPr="005F731B" w:rsidRDefault="00A35D31" w:rsidP="005F731B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A35D31" w:rsidRPr="005F731B" w:rsidRDefault="00A35D31" w:rsidP="005F731B">
      <w:pPr>
        <w:autoSpaceDE w:val="0"/>
        <w:spacing w:after="0" w:line="36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5F731B">
        <w:rPr>
          <w:rFonts w:ascii="Arial" w:hAnsi="Arial" w:cs="Arial"/>
          <w:i/>
          <w:color w:val="000000"/>
          <w:sz w:val="24"/>
          <w:szCs w:val="24"/>
        </w:rPr>
        <w:t>Carlos Eduardo Xavier Correia¹;</w:t>
      </w:r>
      <w:r w:rsidRPr="005F731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Erick </w:t>
      </w:r>
      <w:proofErr w:type="spellStart"/>
      <w:r w:rsidRPr="005F731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Scheuermann</w:t>
      </w:r>
      <w:proofErr w:type="spellEnd"/>
      <w:r w:rsidRPr="005F731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da Silva</w:t>
      </w:r>
      <w:r w:rsidRPr="005F731B">
        <w:rPr>
          <w:rFonts w:ascii="Arial" w:hAnsi="Arial" w:cs="Arial"/>
          <w:i/>
          <w:color w:val="000000"/>
          <w:sz w:val="24"/>
          <w:szCs w:val="24"/>
        </w:rPr>
        <w:t xml:space="preserve">²; Rafael Augusto </w:t>
      </w:r>
      <w:proofErr w:type="spellStart"/>
      <w:r w:rsidRPr="005F731B">
        <w:rPr>
          <w:rFonts w:ascii="Arial" w:hAnsi="Arial" w:cs="Arial"/>
          <w:i/>
          <w:color w:val="000000"/>
          <w:sz w:val="24"/>
          <w:szCs w:val="24"/>
        </w:rPr>
        <w:t>Vasção</w:t>
      </w:r>
      <w:proofErr w:type="spellEnd"/>
      <w:r w:rsidRPr="005F731B">
        <w:rPr>
          <w:rFonts w:ascii="Arial" w:hAnsi="Arial" w:cs="Arial"/>
          <w:i/>
          <w:color w:val="000000"/>
          <w:sz w:val="24"/>
          <w:szCs w:val="24"/>
        </w:rPr>
        <w:t xml:space="preserve"> de Souza³; </w:t>
      </w:r>
      <w:r w:rsidRPr="005F731B">
        <w:rPr>
          <w:rFonts w:ascii="Arial" w:hAnsi="Arial" w:cs="Arial"/>
          <w:i/>
          <w:sz w:val="24"/>
          <w:szCs w:val="24"/>
        </w:rPr>
        <w:t>Adriano Martendal</w:t>
      </w:r>
      <w:r w:rsidRPr="005F731B">
        <w:rPr>
          <w:rFonts w:ascii="Arial" w:hAnsi="Arial" w:cs="Arial"/>
          <w:i/>
          <w:sz w:val="24"/>
          <w:szCs w:val="24"/>
          <w:vertAlign w:val="superscript"/>
        </w:rPr>
        <w:t>4</w:t>
      </w:r>
      <w:r w:rsidRPr="005F731B">
        <w:rPr>
          <w:rFonts w:ascii="Arial" w:hAnsi="Arial" w:cs="Arial"/>
          <w:i/>
          <w:sz w:val="24"/>
          <w:szCs w:val="24"/>
        </w:rPr>
        <w:t xml:space="preserve">; Ana Cristina </w:t>
      </w:r>
      <w:proofErr w:type="spellStart"/>
      <w:r w:rsidRPr="005F731B">
        <w:rPr>
          <w:rFonts w:ascii="Arial" w:hAnsi="Arial" w:cs="Arial"/>
          <w:i/>
          <w:sz w:val="24"/>
          <w:szCs w:val="24"/>
        </w:rPr>
        <w:t>Franzoi</w:t>
      </w:r>
      <w:proofErr w:type="spellEnd"/>
      <w:r w:rsidRPr="005F731B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5F731B">
        <w:rPr>
          <w:rFonts w:ascii="Arial" w:hAnsi="Arial" w:cs="Arial"/>
          <w:i/>
          <w:sz w:val="24"/>
          <w:szCs w:val="24"/>
        </w:rPr>
        <w:t>Teixeira</w:t>
      </w:r>
      <w:r w:rsidRPr="005F731B">
        <w:rPr>
          <w:rFonts w:ascii="Arial" w:hAnsi="Arial" w:cs="Arial"/>
          <w:i/>
          <w:sz w:val="24"/>
          <w:szCs w:val="24"/>
          <w:vertAlign w:val="superscript"/>
        </w:rPr>
        <w:t>5</w:t>
      </w:r>
      <w:proofErr w:type="gramEnd"/>
    </w:p>
    <w:p w:rsidR="00A35D31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5F731B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A35D31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5F731B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5F731B" w:rsidRDefault="005F731B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35D31" w:rsidRPr="005F731B" w:rsidRDefault="00A35D31" w:rsidP="00BC6E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O presente </w:t>
      </w:r>
      <w:r w:rsidR="0011594B">
        <w:rPr>
          <w:rFonts w:ascii="Arial" w:hAnsi="Arial" w:cs="Arial"/>
          <w:sz w:val="24"/>
          <w:szCs w:val="24"/>
        </w:rPr>
        <w:t>trabalho</w:t>
      </w:r>
      <w:r w:rsidRPr="0004701B">
        <w:rPr>
          <w:rFonts w:ascii="Arial" w:hAnsi="Arial" w:cs="Arial"/>
          <w:sz w:val="24"/>
          <w:szCs w:val="24"/>
        </w:rPr>
        <w:t xml:space="preserve"> foi desenvolvido com o objetivo de analisar as águas subterrâneas do Instituto Federal Catarinense - Campus Cambor</w:t>
      </w:r>
      <w:r>
        <w:rPr>
          <w:rFonts w:ascii="Arial" w:hAnsi="Arial" w:cs="Arial"/>
          <w:sz w:val="24"/>
          <w:szCs w:val="24"/>
        </w:rPr>
        <w:t xml:space="preserve">iú. </w:t>
      </w:r>
      <w:r w:rsidR="00F544E5">
        <w:rPr>
          <w:rFonts w:ascii="Arial" w:hAnsi="Arial" w:cs="Arial"/>
          <w:sz w:val="24"/>
          <w:szCs w:val="24"/>
        </w:rPr>
        <w:t>A</w:t>
      </w:r>
      <w:r w:rsidR="00A22D24">
        <w:rPr>
          <w:rFonts w:ascii="Arial" w:hAnsi="Arial" w:cs="Arial"/>
          <w:sz w:val="24"/>
          <w:szCs w:val="24"/>
        </w:rPr>
        <w:t xml:space="preserve">s análises </w:t>
      </w:r>
      <w:r w:rsidRPr="0004701B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 e alcalinidade</w:t>
      </w:r>
      <w:r w:rsidR="00A22D24">
        <w:rPr>
          <w:rFonts w:ascii="Arial" w:hAnsi="Arial" w:cs="Arial"/>
          <w:sz w:val="24"/>
          <w:szCs w:val="24"/>
        </w:rPr>
        <w:t xml:space="preserve"> foram</w:t>
      </w:r>
      <w:r w:rsidRPr="0004701B">
        <w:rPr>
          <w:rFonts w:ascii="Arial" w:hAnsi="Arial" w:cs="Arial"/>
          <w:sz w:val="24"/>
          <w:szCs w:val="24"/>
        </w:rPr>
        <w:t xml:space="preserve"> </w:t>
      </w:r>
      <w:r w:rsidR="00A22D24">
        <w:rPr>
          <w:rFonts w:ascii="Arial" w:hAnsi="Arial" w:cs="Arial"/>
          <w:sz w:val="24"/>
          <w:szCs w:val="24"/>
        </w:rPr>
        <w:t>comparad</w:t>
      </w:r>
      <w:r w:rsidR="00D81C34">
        <w:rPr>
          <w:rFonts w:ascii="Arial" w:hAnsi="Arial" w:cs="Arial"/>
          <w:sz w:val="24"/>
          <w:szCs w:val="24"/>
        </w:rPr>
        <w:t>a</w:t>
      </w:r>
      <w:r w:rsidR="00A22D24">
        <w:rPr>
          <w:rFonts w:ascii="Arial" w:hAnsi="Arial" w:cs="Arial"/>
          <w:sz w:val="24"/>
          <w:szCs w:val="24"/>
        </w:rPr>
        <w:t>s</w:t>
      </w:r>
      <w:r w:rsidRPr="0004701B">
        <w:rPr>
          <w:rFonts w:ascii="Arial" w:hAnsi="Arial" w:cs="Arial"/>
          <w:sz w:val="24"/>
          <w:szCs w:val="24"/>
        </w:rPr>
        <w:t xml:space="preserve"> com a legislação vigente e pesquisas </w:t>
      </w:r>
      <w:r>
        <w:rPr>
          <w:rFonts w:ascii="Arial" w:hAnsi="Arial" w:cs="Arial"/>
          <w:sz w:val="24"/>
          <w:szCs w:val="24"/>
        </w:rPr>
        <w:t xml:space="preserve">anteriores </w:t>
      </w:r>
      <w:r w:rsidRPr="0004701B">
        <w:rPr>
          <w:rFonts w:ascii="Arial" w:hAnsi="Arial" w:cs="Arial"/>
          <w:sz w:val="24"/>
          <w:szCs w:val="24"/>
        </w:rPr>
        <w:t xml:space="preserve">do Projeto Ambiental: Análises Químicas. Utilizou-se para as comparações a Portaria 2.914/2011 do Ministério da Saúde, que recomenda valores de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 entre 6,0 e 9,5 para á</w:t>
      </w:r>
      <w:r w:rsidR="00A22D24">
        <w:rPr>
          <w:rFonts w:ascii="Arial" w:hAnsi="Arial" w:cs="Arial"/>
          <w:sz w:val="24"/>
          <w:szCs w:val="24"/>
        </w:rPr>
        <w:t>guas de consumo humano. O</w:t>
      </w:r>
      <w:r w:rsidRPr="0004701B">
        <w:rPr>
          <w:rFonts w:ascii="Arial" w:hAnsi="Arial" w:cs="Arial"/>
          <w:sz w:val="24"/>
          <w:szCs w:val="24"/>
        </w:rPr>
        <w:t>s resultados obtidos nas análises</w:t>
      </w:r>
      <w:r>
        <w:rPr>
          <w:rFonts w:ascii="Arial" w:hAnsi="Arial" w:cs="Arial"/>
          <w:sz w:val="24"/>
          <w:szCs w:val="24"/>
        </w:rPr>
        <w:t xml:space="preserve"> de</w:t>
      </w:r>
      <w:r w:rsidRPr="000470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alcalinidade</w:t>
      </w:r>
      <w:r w:rsidR="00A22D24">
        <w:rPr>
          <w:rFonts w:ascii="Arial" w:hAnsi="Arial" w:cs="Arial"/>
          <w:sz w:val="24"/>
          <w:szCs w:val="24"/>
        </w:rPr>
        <w:t xml:space="preserve"> variaram entre </w:t>
      </w:r>
      <w:r w:rsidR="00A22D24">
        <w:rPr>
          <w:rFonts w:ascii="Arial" w:hAnsi="Arial" w:cs="Arial"/>
          <w:sz w:val="24"/>
          <w:szCs w:val="24"/>
        </w:rPr>
        <w:t xml:space="preserve">13,6 </w:t>
      </w:r>
      <w:r>
        <w:rPr>
          <w:rFonts w:ascii="Arial" w:hAnsi="Arial" w:cs="Arial"/>
          <w:sz w:val="24"/>
          <w:szCs w:val="24"/>
        </w:rPr>
        <w:t xml:space="preserve">e </w:t>
      </w:r>
      <w:r w:rsidR="00A22D24">
        <w:rPr>
          <w:rFonts w:ascii="Arial" w:hAnsi="Arial" w:cs="Arial"/>
          <w:sz w:val="24"/>
          <w:szCs w:val="24"/>
        </w:rPr>
        <w:t xml:space="preserve">98,8 </w:t>
      </w:r>
      <w:proofErr w:type="gramStart"/>
      <w:r>
        <w:rPr>
          <w:rFonts w:ascii="Arial" w:hAnsi="Arial" w:cs="Arial"/>
          <w:sz w:val="24"/>
          <w:szCs w:val="24"/>
        </w:rPr>
        <w:t>mg</w:t>
      </w:r>
      <w:proofErr w:type="gramEnd"/>
      <w:r>
        <w:rPr>
          <w:rFonts w:ascii="Arial" w:hAnsi="Arial" w:cs="Arial"/>
          <w:sz w:val="24"/>
          <w:szCs w:val="24"/>
        </w:rPr>
        <w:t xml:space="preserve"> de CaCO</w:t>
      </w:r>
      <w:r>
        <w:rPr>
          <w:rFonts w:ascii="Arial" w:hAnsi="Arial" w:cs="Arial"/>
          <w:sz w:val="24"/>
          <w:szCs w:val="24"/>
          <w:vertAlign w:val="subscript"/>
        </w:rPr>
        <w:t>3</w:t>
      </w:r>
      <w:r w:rsidR="00A22D24">
        <w:rPr>
          <w:rFonts w:ascii="Arial" w:hAnsi="Arial" w:cs="Arial"/>
          <w:sz w:val="24"/>
          <w:szCs w:val="24"/>
        </w:rPr>
        <w:t>.L</w:t>
      </w:r>
      <w:r w:rsidR="00A22D24" w:rsidRPr="00A22D24">
        <w:rPr>
          <w:rFonts w:ascii="Arial" w:hAnsi="Arial" w:cs="Arial"/>
          <w:sz w:val="24"/>
          <w:szCs w:val="24"/>
          <w:vertAlign w:val="superscript"/>
        </w:rPr>
        <w:t>-1</w:t>
      </w:r>
      <w:r w:rsidR="00F544E5">
        <w:rPr>
          <w:rFonts w:ascii="Arial" w:hAnsi="Arial" w:cs="Arial"/>
          <w:sz w:val="24"/>
          <w:szCs w:val="24"/>
        </w:rPr>
        <w:t xml:space="preserve"> e a</w:t>
      </w:r>
      <w:r>
        <w:rPr>
          <w:rFonts w:ascii="Arial" w:hAnsi="Arial" w:cs="Arial"/>
          <w:sz w:val="24"/>
          <w:szCs w:val="24"/>
        </w:rPr>
        <w:t xml:space="preserve">s </w:t>
      </w:r>
      <w:r w:rsidR="00A22D24">
        <w:rPr>
          <w:rFonts w:ascii="Arial" w:hAnsi="Arial" w:cs="Arial"/>
          <w:sz w:val="24"/>
          <w:szCs w:val="24"/>
        </w:rPr>
        <w:t>análise</w:t>
      </w:r>
      <w:r w:rsidR="00F544E5">
        <w:rPr>
          <w:rFonts w:ascii="Arial" w:hAnsi="Arial" w:cs="Arial"/>
          <w:sz w:val="24"/>
          <w:szCs w:val="24"/>
        </w:rPr>
        <w:t>s</w:t>
      </w:r>
      <w:r w:rsidR="00A22D2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pH</w:t>
      </w:r>
      <w:r w:rsidR="00A22D24">
        <w:rPr>
          <w:rFonts w:ascii="Arial" w:hAnsi="Arial" w:cs="Arial"/>
          <w:sz w:val="24"/>
          <w:szCs w:val="24"/>
        </w:rPr>
        <w:t xml:space="preserve"> indicaram </w:t>
      </w:r>
      <w:r w:rsidR="00F544E5">
        <w:rPr>
          <w:rFonts w:ascii="Arial" w:hAnsi="Arial" w:cs="Arial"/>
          <w:sz w:val="24"/>
          <w:szCs w:val="24"/>
        </w:rPr>
        <w:t>valores entre</w:t>
      </w:r>
      <w:r>
        <w:rPr>
          <w:rFonts w:ascii="Arial" w:hAnsi="Arial" w:cs="Arial"/>
          <w:sz w:val="24"/>
          <w:szCs w:val="24"/>
        </w:rPr>
        <w:t xml:space="preserve"> </w:t>
      </w:r>
      <w:r w:rsidR="00F544E5">
        <w:rPr>
          <w:rFonts w:ascii="Arial" w:hAnsi="Arial" w:cs="Arial"/>
          <w:sz w:val="24"/>
          <w:szCs w:val="24"/>
        </w:rPr>
        <w:t>5,2</w:t>
      </w:r>
      <w:r w:rsidR="00F544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F544E5">
        <w:rPr>
          <w:rFonts w:ascii="Arial" w:hAnsi="Arial" w:cs="Arial"/>
          <w:sz w:val="24"/>
          <w:szCs w:val="24"/>
        </w:rPr>
        <w:t xml:space="preserve"> </w:t>
      </w:r>
      <w:r w:rsidR="00F544E5">
        <w:rPr>
          <w:rFonts w:ascii="Arial" w:hAnsi="Arial" w:cs="Arial"/>
          <w:sz w:val="24"/>
          <w:szCs w:val="24"/>
        </w:rPr>
        <w:t>6,7</w:t>
      </w:r>
      <w:r>
        <w:rPr>
          <w:rFonts w:ascii="Arial" w:hAnsi="Arial" w:cs="Arial"/>
          <w:sz w:val="24"/>
          <w:szCs w:val="24"/>
        </w:rPr>
        <w:t xml:space="preserve">. </w:t>
      </w:r>
      <w:r w:rsidR="00141D8F">
        <w:rPr>
          <w:rFonts w:ascii="Arial" w:hAnsi="Arial" w:cs="Arial"/>
          <w:sz w:val="24"/>
          <w:szCs w:val="24"/>
        </w:rPr>
        <w:t>A</w:t>
      </w:r>
      <w:r w:rsidRPr="0004701B">
        <w:rPr>
          <w:rFonts w:ascii="Arial" w:hAnsi="Arial" w:cs="Arial"/>
          <w:sz w:val="24"/>
          <w:szCs w:val="24"/>
        </w:rPr>
        <w:t xml:space="preserve"> ocorrência de </w:t>
      </w:r>
      <w:r w:rsidR="00F544E5">
        <w:rPr>
          <w:rFonts w:ascii="Arial" w:hAnsi="Arial" w:cs="Arial"/>
          <w:sz w:val="24"/>
          <w:szCs w:val="24"/>
        </w:rPr>
        <w:t xml:space="preserve">valores de </w:t>
      </w:r>
      <w:proofErr w:type="gramStart"/>
      <w:r w:rsidR="00F544E5">
        <w:rPr>
          <w:rFonts w:ascii="Arial" w:hAnsi="Arial" w:cs="Arial"/>
          <w:sz w:val="24"/>
          <w:szCs w:val="24"/>
        </w:rPr>
        <w:t>pH</w:t>
      </w:r>
      <w:proofErr w:type="gramEnd"/>
      <w:r w:rsidR="00F544E5">
        <w:rPr>
          <w:rFonts w:ascii="Arial" w:hAnsi="Arial" w:cs="Arial"/>
          <w:sz w:val="24"/>
          <w:szCs w:val="24"/>
        </w:rPr>
        <w:t xml:space="preserve"> inferiores ao limite indicado pela legislação e constatação </w:t>
      </w:r>
      <w:r w:rsidR="00432534">
        <w:rPr>
          <w:rFonts w:ascii="Arial" w:hAnsi="Arial" w:cs="Arial"/>
          <w:sz w:val="24"/>
          <w:szCs w:val="24"/>
        </w:rPr>
        <w:t xml:space="preserve">de recorrência destas </w:t>
      </w:r>
      <w:r w:rsidRPr="0004701B">
        <w:rPr>
          <w:rFonts w:ascii="Arial" w:hAnsi="Arial" w:cs="Arial"/>
          <w:sz w:val="24"/>
          <w:szCs w:val="24"/>
        </w:rPr>
        <w:t>inconf</w:t>
      </w:r>
      <w:r w:rsidR="00432534">
        <w:rPr>
          <w:rFonts w:ascii="Arial" w:hAnsi="Arial" w:cs="Arial"/>
          <w:sz w:val="24"/>
          <w:szCs w:val="24"/>
        </w:rPr>
        <w:t xml:space="preserve">ormidades nas análises de pH nas pesquisas realizadas em anos anteriores, torna-se </w:t>
      </w:r>
      <w:r w:rsidRPr="0004701B">
        <w:rPr>
          <w:rFonts w:ascii="Arial" w:hAnsi="Arial" w:cs="Arial"/>
          <w:sz w:val="24"/>
          <w:szCs w:val="24"/>
        </w:rPr>
        <w:t xml:space="preserve">necessário o </w:t>
      </w:r>
      <w:r w:rsidRPr="005F731B">
        <w:rPr>
          <w:rFonts w:ascii="Arial" w:hAnsi="Arial" w:cs="Arial"/>
          <w:sz w:val="24"/>
          <w:szCs w:val="24"/>
        </w:rPr>
        <w:t xml:space="preserve">frequente monitoramento das águas. </w:t>
      </w:r>
    </w:p>
    <w:p w:rsidR="00A35D31" w:rsidRPr="005F731B" w:rsidRDefault="00A35D31" w:rsidP="00BC6EA7">
      <w:pPr>
        <w:pStyle w:val="Normal1"/>
        <w:spacing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  <w:r w:rsidRPr="005F731B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A35D31" w:rsidRPr="005F731B" w:rsidRDefault="00A35D31" w:rsidP="005F731B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731B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5F731B">
        <w:rPr>
          <w:rFonts w:ascii="Arial" w:eastAsia="Arial" w:hAnsi="Arial" w:cs="Arial"/>
          <w:color w:val="000000"/>
          <w:sz w:val="24"/>
          <w:szCs w:val="24"/>
        </w:rPr>
        <w:t xml:space="preserve">: Alcalinidade. </w:t>
      </w:r>
      <w:proofErr w:type="gramStart"/>
      <w:r w:rsidRPr="005F731B">
        <w:rPr>
          <w:rFonts w:ascii="Arial" w:eastAsia="Arial" w:hAnsi="Arial" w:cs="Arial"/>
          <w:color w:val="000000"/>
          <w:sz w:val="24"/>
          <w:szCs w:val="24"/>
        </w:rPr>
        <w:t>pH</w:t>
      </w:r>
      <w:proofErr w:type="gramEnd"/>
      <w:r w:rsidRPr="005F731B">
        <w:rPr>
          <w:rFonts w:ascii="Arial" w:eastAsia="Arial" w:hAnsi="Arial" w:cs="Arial"/>
          <w:color w:val="000000"/>
          <w:sz w:val="24"/>
          <w:szCs w:val="24"/>
        </w:rPr>
        <w:t>. Águas Subterrâneas.</w:t>
      </w:r>
    </w:p>
    <w:p w:rsidR="00A35D31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A35D31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A35D31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F731B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A35D31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997429" w:rsidRPr="00997429" w:rsidRDefault="00A35D31" w:rsidP="005F73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97429">
        <w:rPr>
          <w:rFonts w:ascii="Arial" w:hAnsi="Arial" w:cs="Arial"/>
          <w:sz w:val="24"/>
          <w:szCs w:val="24"/>
        </w:rPr>
        <w:t xml:space="preserve">A alcalinidade de uma amostra de água é a sua capacidade de neutralizar um ácido forte até determinado </w:t>
      </w:r>
      <w:proofErr w:type="gramStart"/>
      <w:r w:rsidRPr="00997429">
        <w:rPr>
          <w:rFonts w:ascii="Arial" w:hAnsi="Arial" w:cs="Arial"/>
          <w:sz w:val="24"/>
          <w:szCs w:val="24"/>
        </w:rPr>
        <w:t>pH</w:t>
      </w:r>
      <w:proofErr w:type="gramEnd"/>
      <w:r w:rsidRPr="00997429">
        <w:rPr>
          <w:rFonts w:ascii="Arial" w:hAnsi="Arial" w:cs="Arial"/>
          <w:sz w:val="24"/>
          <w:szCs w:val="24"/>
        </w:rPr>
        <w:t xml:space="preserve">. </w:t>
      </w:r>
      <w:r w:rsidR="00997429">
        <w:rPr>
          <w:rFonts w:ascii="Arial" w:hAnsi="Arial" w:cs="Arial"/>
          <w:sz w:val="24"/>
          <w:szCs w:val="24"/>
        </w:rPr>
        <w:t>Ademais</w:t>
      </w:r>
      <w:r w:rsidRPr="00997429">
        <w:rPr>
          <w:rFonts w:ascii="Arial" w:hAnsi="Arial" w:cs="Arial"/>
          <w:sz w:val="24"/>
          <w:szCs w:val="24"/>
        </w:rPr>
        <w:t>, a alcalinidade não expressa risco à saúde humana, logo não há uma legislação que dispõe de valores máximos ou mínimos que devem ser seguidos (LIRA, 2015).</w:t>
      </w:r>
      <w:r w:rsidR="00997429" w:rsidRPr="00997429">
        <w:rPr>
          <w:rFonts w:ascii="Arial" w:hAnsi="Arial" w:cs="Arial"/>
          <w:sz w:val="24"/>
          <w:szCs w:val="24"/>
        </w:rPr>
        <w:t xml:space="preserve"> </w:t>
      </w:r>
    </w:p>
    <w:p w:rsidR="00997429" w:rsidRPr="00997429" w:rsidRDefault="00997429" w:rsidP="005F73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97429">
        <w:rPr>
          <w:rFonts w:ascii="Arial" w:hAnsi="Arial" w:cs="Arial"/>
          <w:sz w:val="24"/>
          <w:szCs w:val="24"/>
        </w:rPr>
        <w:t>Par</w:t>
      </w:r>
      <w:r w:rsidR="00F1678D">
        <w:rPr>
          <w:rFonts w:ascii="Arial" w:hAnsi="Arial" w:cs="Arial"/>
          <w:sz w:val="24"/>
          <w:szCs w:val="24"/>
        </w:rPr>
        <w:t xml:space="preserve">a a determinação da </w:t>
      </w:r>
      <w:r w:rsidR="006D5A35">
        <w:rPr>
          <w:rFonts w:ascii="Arial" w:hAnsi="Arial" w:cs="Arial"/>
          <w:sz w:val="24"/>
          <w:szCs w:val="24"/>
        </w:rPr>
        <w:t>alcalinidade</w:t>
      </w:r>
      <w:r w:rsidRPr="00997429">
        <w:rPr>
          <w:rFonts w:ascii="Arial" w:hAnsi="Arial" w:cs="Arial"/>
          <w:sz w:val="24"/>
          <w:szCs w:val="24"/>
        </w:rPr>
        <w:t xml:space="preserve"> utiliza-se o método laboratorial conhecido </w:t>
      </w:r>
      <w:r w:rsidR="00E43353">
        <w:rPr>
          <w:rFonts w:ascii="Arial" w:hAnsi="Arial" w:cs="Arial"/>
          <w:sz w:val="24"/>
          <w:szCs w:val="24"/>
        </w:rPr>
        <w:t>como titulação volumétrica. O</w:t>
      </w:r>
      <w:r w:rsidRPr="00997429">
        <w:rPr>
          <w:rFonts w:ascii="Arial" w:hAnsi="Arial" w:cs="Arial"/>
          <w:sz w:val="24"/>
          <w:szCs w:val="24"/>
        </w:rPr>
        <w:t xml:space="preserve"> ácido sulfúrico (H</w:t>
      </w:r>
      <w:r w:rsidRPr="00997429">
        <w:rPr>
          <w:rFonts w:ascii="Arial" w:hAnsi="Arial" w:cs="Arial"/>
          <w:sz w:val="24"/>
          <w:szCs w:val="24"/>
          <w:vertAlign w:val="subscript"/>
        </w:rPr>
        <w:t>2</w:t>
      </w:r>
      <w:r w:rsidRPr="00997429">
        <w:rPr>
          <w:rFonts w:ascii="Arial" w:hAnsi="Arial" w:cs="Arial"/>
          <w:sz w:val="24"/>
          <w:szCs w:val="24"/>
        </w:rPr>
        <w:t>SO</w:t>
      </w:r>
      <w:r w:rsidRPr="00997429">
        <w:rPr>
          <w:rFonts w:ascii="Arial" w:hAnsi="Arial" w:cs="Arial"/>
          <w:sz w:val="24"/>
          <w:szCs w:val="24"/>
          <w:vertAlign w:val="subscript"/>
        </w:rPr>
        <w:t>4</w:t>
      </w:r>
      <w:r w:rsidRPr="00997429">
        <w:rPr>
          <w:rFonts w:ascii="Arial" w:hAnsi="Arial" w:cs="Arial"/>
          <w:sz w:val="24"/>
          <w:szCs w:val="24"/>
        </w:rPr>
        <w:t xml:space="preserve">) é utilizado como </w:t>
      </w:r>
      <w:proofErr w:type="spellStart"/>
      <w:r w:rsidRPr="00997429">
        <w:rPr>
          <w:rFonts w:ascii="Arial" w:hAnsi="Arial" w:cs="Arial"/>
          <w:sz w:val="24"/>
          <w:szCs w:val="24"/>
        </w:rPr>
        <w:t>titulante</w:t>
      </w:r>
      <w:proofErr w:type="spellEnd"/>
      <w:r w:rsidRPr="00997429">
        <w:rPr>
          <w:rFonts w:ascii="Arial" w:hAnsi="Arial" w:cs="Arial"/>
          <w:sz w:val="24"/>
          <w:szCs w:val="24"/>
        </w:rPr>
        <w:t xml:space="preserve"> e o alaranjado de metila como indicador (SILVA, [200-?]).</w:t>
      </w:r>
    </w:p>
    <w:p w:rsidR="00997429" w:rsidRPr="00997429" w:rsidRDefault="00997429" w:rsidP="005F73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97429">
        <w:rPr>
          <w:rFonts w:ascii="Arial" w:hAnsi="Arial" w:cs="Arial"/>
          <w:sz w:val="24"/>
          <w:szCs w:val="24"/>
        </w:rPr>
        <w:t xml:space="preserve">O chamado </w:t>
      </w:r>
      <w:proofErr w:type="gramStart"/>
      <w:r w:rsidRPr="00997429">
        <w:rPr>
          <w:rFonts w:ascii="Arial" w:hAnsi="Arial" w:cs="Arial"/>
          <w:sz w:val="24"/>
          <w:szCs w:val="24"/>
        </w:rPr>
        <w:t>pH</w:t>
      </w:r>
      <w:proofErr w:type="gramEnd"/>
      <w:r w:rsidRPr="00997429">
        <w:rPr>
          <w:rFonts w:ascii="Arial" w:hAnsi="Arial" w:cs="Arial"/>
          <w:sz w:val="24"/>
          <w:szCs w:val="24"/>
        </w:rPr>
        <w:t xml:space="preserve"> ou potencial </w:t>
      </w:r>
      <w:proofErr w:type="spellStart"/>
      <w:r w:rsidRPr="00997429">
        <w:rPr>
          <w:rFonts w:ascii="Arial" w:hAnsi="Arial" w:cs="Arial"/>
          <w:sz w:val="24"/>
          <w:szCs w:val="24"/>
        </w:rPr>
        <w:t>hidrogeniônico</w:t>
      </w:r>
      <w:proofErr w:type="spellEnd"/>
      <w:r w:rsidRPr="00997429">
        <w:rPr>
          <w:rFonts w:ascii="Arial" w:hAnsi="Arial" w:cs="Arial"/>
          <w:sz w:val="24"/>
          <w:szCs w:val="24"/>
        </w:rPr>
        <w:t xml:space="preserve"> é um parâmetro que é utilizado para indicar a acidez, neutralidade ou a alcalinidade de uma substância aquosa. Determinado pela concentração de íons H</w:t>
      </w:r>
      <w:r w:rsidRPr="00997429">
        <w:rPr>
          <w:rFonts w:ascii="Arial" w:hAnsi="Arial" w:cs="Arial"/>
          <w:sz w:val="24"/>
          <w:szCs w:val="24"/>
          <w:vertAlign w:val="superscript"/>
        </w:rPr>
        <w:t>+</w:t>
      </w:r>
      <w:r w:rsidRPr="00997429">
        <w:rPr>
          <w:rFonts w:ascii="Arial" w:hAnsi="Arial" w:cs="Arial"/>
          <w:sz w:val="24"/>
          <w:szCs w:val="24"/>
        </w:rPr>
        <w:t xml:space="preserve"> ou </w:t>
      </w:r>
      <w:proofErr w:type="gramStart"/>
      <w:r w:rsidRPr="00997429">
        <w:rPr>
          <w:rFonts w:ascii="Arial" w:hAnsi="Arial" w:cs="Arial"/>
          <w:sz w:val="24"/>
          <w:szCs w:val="24"/>
        </w:rPr>
        <w:t>pH</w:t>
      </w:r>
      <w:proofErr w:type="gramEnd"/>
      <w:r w:rsidRPr="00997429">
        <w:rPr>
          <w:rFonts w:ascii="Arial" w:hAnsi="Arial" w:cs="Arial"/>
          <w:sz w:val="24"/>
          <w:szCs w:val="24"/>
        </w:rPr>
        <w:t>= -log</w:t>
      </w:r>
      <w:r w:rsidRPr="00997429">
        <w:rPr>
          <w:rFonts w:ascii="Arial" w:hAnsi="Arial" w:cs="Arial"/>
          <w:sz w:val="24"/>
          <w:szCs w:val="24"/>
          <w:vertAlign w:val="subscript"/>
        </w:rPr>
        <w:t>10</w:t>
      </w:r>
      <w:r w:rsidRPr="00997429">
        <w:rPr>
          <w:rFonts w:ascii="Arial" w:hAnsi="Arial" w:cs="Arial"/>
          <w:sz w:val="24"/>
          <w:szCs w:val="24"/>
        </w:rPr>
        <w:t xml:space="preserve"> [H]</w:t>
      </w:r>
      <w:r w:rsidRPr="00997429">
        <w:rPr>
          <w:rFonts w:ascii="Arial" w:hAnsi="Arial" w:cs="Arial"/>
          <w:sz w:val="24"/>
          <w:szCs w:val="24"/>
          <w:vertAlign w:val="superscript"/>
        </w:rPr>
        <w:t>+</w:t>
      </w:r>
      <w:r w:rsidRPr="00997429">
        <w:rPr>
          <w:rFonts w:ascii="Arial" w:hAnsi="Arial" w:cs="Arial"/>
          <w:sz w:val="24"/>
          <w:szCs w:val="24"/>
        </w:rPr>
        <w:t xml:space="preserve">. A escala do </w:t>
      </w:r>
      <w:proofErr w:type="gramStart"/>
      <w:r w:rsidRPr="00997429">
        <w:rPr>
          <w:rFonts w:ascii="Arial" w:hAnsi="Arial" w:cs="Arial"/>
          <w:sz w:val="24"/>
          <w:szCs w:val="24"/>
        </w:rPr>
        <w:lastRenderedPageBreak/>
        <w:t>pH</w:t>
      </w:r>
      <w:proofErr w:type="gramEnd"/>
      <w:r w:rsidRPr="00997429">
        <w:rPr>
          <w:rFonts w:ascii="Arial" w:hAnsi="Arial" w:cs="Arial"/>
          <w:sz w:val="24"/>
          <w:szCs w:val="24"/>
        </w:rPr>
        <w:t xml:space="preserve"> é de 0 - 14, sendo ácido as substâncias abaixo de 7 e alcalinas as substâncias acima de 7 (</w:t>
      </w:r>
      <w:r w:rsidRPr="00997429">
        <w:rPr>
          <w:rFonts w:ascii="Arial" w:hAnsi="Arial" w:cs="Arial"/>
          <w:sz w:val="24"/>
          <w:szCs w:val="24"/>
          <w:shd w:val="clear" w:color="auto" w:fill="FFFFFF"/>
        </w:rPr>
        <w:t>RICHTER; NETTO, 1991</w:t>
      </w:r>
      <w:r w:rsidRPr="00997429">
        <w:rPr>
          <w:rFonts w:ascii="Arial" w:hAnsi="Arial" w:cs="Arial"/>
          <w:sz w:val="24"/>
          <w:szCs w:val="24"/>
        </w:rPr>
        <w:t>).</w:t>
      </w:r>
    </w:p>
    <w:p w:rsidR="00997429" w:rsidRPr="00997429" w:rsidRDefault="00997429" w:rsidP="005F731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997429">
        <w:rPr>
          <w:rFonts w:ascii="Arial" w:hAnsi="Arial" w:cs="Arial"/>
          <w:sz w:val="24"/>
          <w:szCs w:val="24"/>
        </w:rPr>
        <w:t xml:space="preserve">Para comparação dos valores obtidos nas análises do parâmetro </w:t>
      </w:r>
      <w:proofErr w:type="gramStart"/>
      <w:r w:rsidRPr="00997429">
        <w:rPr>
          <w:rFonts w:ascii="Arial" w:hAnsi="Arial" w:cs="Arial"/>
          <w:sz w:val="24"/>
          <w:szCs w:val="24"/>
        </w:rPr>
        <w:t>pH</w:t>
      </w:r>
      <w:proofErr w:type="gramEnd"/>
      <w:r w:rsidRPr="00997429">
        <w:rPr>
          <w:rFonts w:ascii="Arial" w:hAnsi="Arial" w:cs="Arial"/>
          <w:sz w:val="24"/>
          <w:szCs w:val="24"/>
        </w:rPr>
        <w:t>, utilizou-se a Portaria 2.914/2011 do Ministério da Saúde</w:t>
      </w:r>
      <w:r w:rsidR="00171A72">
        <w:rPr>
          <w:rFonts w:ascii="Arial" w:hAnsi="Arial" w:cs="Arial"/>
          <w:sz w:val="24"/>
          <w:szCs w:val="24"/>
        </w:rPr>
        <w:t>, que indica os</w:t>
      </w:r>
      <w:r w:rsidR="00171A72" w:rsidRPr="0004701B">
        <w:rPr>
          <w:rFonts w:ascii="Arial" w:hAnsi="Arial" w:cs="Arial"/>
          <w:sz w:val="24"/>
          <w:szCs w:val="24"/>
        </w:rPr>
        <w:t xml:space="preserve"> valores de pH entre 6,0 e 9,5 para á</w:t>
      </w:r>
      <w:r w:rsidR="00171A72">
        <w:rPr>
          <w:rFonts w:ascii="Arial" w:hAnsi="Arial" w:cs="Arial"/>
          <w:sz w:val="24"/>
          <w:szCs w:val="24"/>
        </w:rPr>
        <w:t>guas de consumo humano</w:t>
      </w:r>
      <w:r w:rsidRPr="00997429">
        <w:rPr>
          <w:rFonts w:ascii="Arial" w:hAnsi="Arial" w:cs="Arial"/>
          <w:sz w:val="24"/>
          <w:szCs w:val="24"/>
        </w:rPr>
        <w:t>. Porém, sendo os valores apenas recomendações, pequenos excedentes nos valores não torna a água imprópria para o consumo, mas apenas não recomendada pela Portaria</w:t>
      </w:r>
      <w:r w:rsidRPr="00997429">
        <w:rPr>
          <w:rFonts w:ascii="Arial" w:eastAsia="Arial" w:hAnsi="Arial" w:cs="Arial"/>
          <w:color w:val="548DD4"/>
          <w:sz w:val="24"/>
          <w:szCs w:val="24"/>
        </w:rPr>
        <w:t>.</w:t>
      </w:r>
    </w:p>
    <w:p w:rsidR="00A35D31" w:rsidRPr="005F731B" w:rsidRDefault="00A35D31" w:rsidP="005F731B">
      <w:pPr>
        <w:pStyle w:val="NormalWeb"/>
        <w:spacing w:before="0" w:after="0"/>
        <w:ind w:firstLine="1134"/>
        <w:jc w:val="both"/>
        <w:rPr>
          <w:rFonts w:ascii="Arial" w:hAnsi="Arial" w:cs="Arial"/>
        </w:rPr>
      </w:pPr>
    </w:p>
    <w:p w:rsidR="003A5676" w:rsidRPr="005F731B" w:rsidRDefault="00A35D31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r w:rsidRPr="005F731B"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3A5676" w:rsidRPr="005F731B" w:rsidRDefault="00CC1BC6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F731B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Pr="005F731B" w:rsidRDefault="003A5676" w:rsidP="005F731B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A35D31" w:rsidRDefault="00A35D31" w:rsidP="005F731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  <w:r w:rsidRPr="0004701B">
        <w:rPr>
          <w:rFonts w:ascii="Arial" w:hAnsi="Arial" w:cs="Arial"/>
          <w:sz w:val="24"/>
          <w:szCs w:val="24"/>
        </w:rPr>
        <w:t xml:space="preserve">Para realização das análises de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 e alcalinidade foram coletadas am</w:t>
      </w:r>
      <w:r>
        <w:rPr>
          <w:rFonts w:ascii="Arial" w:hAnsi="Arial" w:cs="Arial"/>
          <w:sz w:val="24"/>
          <w:szCs w:val="24"/>
        </w:rPr>
        <w:t xml:space="preserve">ostras de cinco ponto no IFC-CC. O ponto 1 encontra-se à 25 metros de profundidade, sendo utilizado para </w:t>
      </w:r>
      <w:proofErr w:type="spellStart"/>
      <w:r>
        <w:rPr>
          <w:rFonts w:ascii="Arial" w:hAnsi="Arial" w:cs="Arial"/>
          <w:sz w:val="24"/>
          <w:szCs w:val="24"/>
        </w:rPr>
        <w:t>dessedentação</w:t>
      </w:r>
      <w:proofErr w:type="spellEnd"/>
      <w:r>
        <w:rPr>
          <w:rFonts w:ascii="Arial" w:hAnsi="Arial" w:cs="Arial"/>
          <w:sz w:val="24"/>
          <w:szCs w:val="24"/>
        </w:rPr>
        <w:t xml:space="preserve"> de animais. O ponto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possui 20 metros de profundidade, sendo utilizado para limpeza do Bovino de Leite. O ponto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encontra-se a 45 metros de profundidade, sendo utilizado para abastecer o tanque da piscicultura. O ponto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possui 75 metros de profundidade, sendo usado para abastecer os tanques de consumo de água do instituto. O ponto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encontra-se no laboratório de química</w:t>
      </w:r>
      <w:r w:rsidR="000A2DEA">
        <w:rPr>
          <w:rFonts w:ascii="Arial" w:hAnsi="Arial" w:cs="Arial"/>
          <w:sz w:val="24"/>
          <w:szCs w:val="24"/>
        </w:rPr>
        <w:t>, sendo a mesma água proveniente do ponto 4.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6478AA" w:rsidRPr="0004701B" w:rsidRDefault="000A2DEA" w:rsidP="005F731B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>Na realização do processo de titu</w:t>
      </w:r>
      <w:r w:rsidR="00E04EB5">
        <w:rPr>
          <w:rFonts w:ascii="Arial" w:hAnsi="Arial" w:cs="Arial"/>
          <w:sz w:val="24"/>
          <w:szCs w:val="24"/>
        </w:rPr>
        <w:t>lação volumétrica foi necessária</w:t>
      </w:r>
      <w:r w:rsidRPr="0004701B">
        <w:rPr>
          <w:rFonts w:ascii="Arial" w:hAnsi="Arial" w:cs="Arial"/>
          <w:sz w:val="24"/>
          <w:szCs w:val="24"/>
        </w:rPr>
        <w:t xml:space="preserve"> a utilização de alguns </w:t>
      </w:r>
      <w:r w:rsidR="006478AA">
        <w:rPr>
          <w:rFonts w:ascii="Arial" w:hAnsi="Arial" w:cs="Arial"/>
          <w:sz w:val="24"/>
          <w:szCs w:val="24"/>
        </w:rPr>
        <w:t>reagentes. Dentre os reagentes estão o á</w:t>
      </w:r>
      <w:r w:rsidR="006478AA" w:rsidRPr="0004701B">
        <w:rPr>
          <w:rFonts w:ascii="Arial" w:hAnsi="Arial" w:cs="Arial"/>
          <w:sz w:val="24"/>
          <w:szCs w:val="24"/>
        </w:rPr>
        <w:t>cido Sulfúrico (H</w:t>
      </w:r>
      <w:r w:rsidR="006478AA" w:rsidRPr="0004701B">
        <w:rPr>
          <w:rFonts w:ascii="Arial" w:hAnsi="Arial" w:cs="Arial"/>
          <w:sz w:val="24"/>
          <w:szCs w:val="24"/>
          <w:vertAlign w:val="subscript"/>
        </w:rPr>
        <w:t>2</w:t>
      </w:r>
      <w:r w:rsidR="006478AA" w:rsidRPr="0004701B">
        <w:rPr>
          <w:rFonts w:ascii="Arial" w:hAnsi="Arial" w:cs="Arial"/>
          <w:sz w:val="24"/>
          <w:szCs w:val="24"/>
        </w:rPr>
        <w:t>SO</w:t>
      </w:r>
      <w:r w:rsidR="006478AA" w:rsidRPr="0004701B">
        <w:rPr>
          <w:rFonts w:ascii="Arial" w:hAnsi="Arial" w:cs="Arial"/>
          <w:sz w:val="24"/>
          <w:szCs w:val="24"/>
          <w:vertAlign w:val="subscript"/>
        </w:rPr>
        <w:t>4</w:t>
      </w:r>
      <w:r w:rsidR="006478AA" w:rsidRPr="0004701B">
        <w:rPr>
          <w:rFonts w:ascii="Arial" w:hAnsi="Arial" w:cs="Arial"/>
          <w:sz w:val="24"/>
          <w:szCs w:val="24"/>
        </w:rPr>
        <w:t>, NUCLEAR)</w:t>
      </w:r>
      <w:r w:rsidR="006478AA">
        <w:rPr>
          <w:rFonts w:ascii="Arial" w:hAnsi="Arial" w:cs="Arial"/>
          <w:sz w:val="24"/>
          <w:szCs w:val="24"/>
        </w:rPr>
        <w:t>,</w:t>
      </w:r>
      <w:r w:rsidR="005E5749">
        <w:rPr>
          <w:rFonts w:ascii="Arial" w:hAnsi="Arial" w:cs="Arial"/>
          <w:sz w:val="24"/>
          <w:szCs w:val="24"/>
        </w:rPr>
        <w:t xml:space="preserve"> </w:t>
      </w:r>
      <w:r w:rsidR="006478AA">
        <w:rPr>
          <w:rFonts w:ascii="Arial" w:hAnsi="Arial" w:cs="Arial"/>
          <w:sz w:val="24"/>
          <w:szCs w:val="24"/>
        </w:rPr>
        <w:t xml:space="preserve">o </w:t>
      </w:r>
      <w:r w:rsidR="006478AA" w:rsidRPr="0004701B">
        <w:rPr>
          <w:rFonts w:ascii="Arial" w:hAnsi="Arial" w:cs="Arial"/>
          <w:sz w:val="24"/>
          <w:szCs w:val="24"/>
        </w:rPr>
        <w:t>Alaranjado de Metila (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14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H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14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NaO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3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S, NUCLEAR)</w:t>
      </w:r>
      <w:r w:rsidR="006478AA">
        <w:rPr>
          <w:rFonts w:ascii="Arial" w:hAnsi="Arial" w:cs="Arial"/>
          <w:color w:val="222222"/>
          <w:sz w:val="24"/>
          <w:szCs w:val="24"/>
          <w:shd w:val="clear" w:color="auto" w:fill="FFFFFF"/>
        </w:rPr>
        <w:t>, a</w:t>
      </w:r>
      <w:r w:rsidR="006478AA">
        <w:rPr>
          <w:rFonts w:ascii="Arial" w:hAnsi="Arial" w:cs="Arial"/>
          <w:sz w:val="24"/>
          <w:szCs w:val="24"/>
        </w:rPr>
        <w:t xml:space="preserve"> </w:t>
      </w:r>
      <w:r w:rsidR="006478AA" w:rsidRPr="0004701B">
        <w:rPr>
          <w:rFonts w:ascii="Arial" w:hAnsi="Arial" w:cs="Arial"/>
          <w:sz w:val="24"/>
          <w:szCs w:val="24"/>
        </w:rPr>
        <w:t>Fenolftaleína (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20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H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16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  <w:vertAlign w:val="subscript"/>
        </w:rPr>
        <w:t>4</w:t>
      </w:r>
      <w:r w:rsidR="006478AA" w:rsidRPr="0004701B">
        <w:rPr>
          <w:rFonts w:ascii="Arial" w:hAnsi="Arial" w:cs="Arial"/>
          <w:color w:val="222222"/>
          <w:sz w:val="24"/>
          <w:szCs w:val="24"/>
          <w:shd w:val="clear" w:color="auto" w:fill="FFFFFF"/>
        </w:rPr>
        <w:t>, NUCLEAR)</w:t>
      </w:r>
      <w:r w:rsidR="006478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6478AA" w:rsidRPr="006478AA">
        <w:rPr>
          <w:rFonts w:ascii="Arial" w:hAnsi="Arial" w:cs="Arial"/>
          <w:sz w:val="24"/>
          <w:szCs w:val="24"/>
        </w:rPr>
        <w:t xml:space="preserve"> </w:t>
      </w:r>
      <w:r w:rsidR="006478AA">
        <w:rPr>
          <w:rFonts w:ascii="Arial" w:hAnsi="Arial" w:cs="Arial"/>
          <w:sz w:val="24"/>
          <w:szCs w:val="24"/>
        </w:rPr>
        <w:t xml:space="preserve">o </w:t>
      </w:r>
      <w:r w:rsidR="006478AA" w:rsidRPr="0004701B">
        <w:rPr>
          <w:rFonts w:ascii="Arial" w:hAnsi="Arial" w:cs="Arial"/>
          <w:sz w:val="24"/>
          <w:szCs w:val="24"/>
        </w:rPr>
        <w:t>Hidróxido de Sódio (</w:t>
      </w:r>
      <w:proofErr w:type="spellStart"/>
      <w:proofErr w:type="gramStart"/>
      <w:r w:rsidR="006478AA" w:rsidRPr="0004701B">
        <w:rPr>
          <w:rFonts w:ascii="Arial" w:hAnsi="Arial" w:cs="Arial"/>
          <w:sz w:val="24"/>
          <w:szCs w:val="24"/>
        </w:rPr>
        <w:t>NaOH</w:t>
      </w:r>
      <w:proofErr w:type="spellEnd"/>
      <w:proofErr w:type="gramEnd"/>
      <w:r w:rsidR="006478AA" w:rsidRPr="0004701B">
        <w:rPr>
          <w:rFonts w:ascii="Arial" w:hAnsi="Arial" w:cs="Arial"/>
          <w:sz w:val="24"/>
          <w:szCs w:val="24"/>
        </w:rPr>
        <w:t>, NUCLEAR)</w:t>
      </w:r>
      <w:r w:rsidR="006478AA">
        <w:rPr>
          <w:rFonts w:ascii="Arial" w:hAnsi="Arial" w:cs="Arial"/>
          <w:sz w:val="24"/>
          <w:szCs w:val="24"/>
        </w:rPr>
        <w:t>.</w:t>
      </w:r>
      <w:r w:rsidR="006478AA" w:rsidRPr="0004701B">
        <w:rPr>
          <w:rFonts w:ascii="Arial" w:hAnsi="Arial" w:cs="Arial"/>
          <w:sz w:val="24"/>
          <w:szCs w:val="24"/>
        </w:rPr>
        <w:t xml:space="preserve"> </w:t>
      </w:r>
    </w:p>
    <w:p w:rsidR="000A2DEA" w:rsidRDefault="000A2DEA" w:rsidP="005F731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A2DEA" w:rsidRDefault="000A2DEA" w:rsidP="005F731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>Procedimento experimental:</w:t>
      </w:r>
    </w:p>
    <w:p w:rsidR="00664B69" w:rsidRPr="0004701B" w:rsidRDefault="00664B69" w:rsidP="005F731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A2DEA" w:rsidRPr="0004701B" w:rsidRDefault="000A2DEA" w:rsidP="005F731B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Para o parâmetro de alcalinidade, inicialmente foi coletado aproximadamente 250 </w:t>
      </w:r>
      <w:proofErr w:type="spellStart"/>
      <w:r w:rsidRPr="0004701B">
        <w:rPr>
          <w:rFonts w:ascii="Arial" w:hAnsi="Arial" w:cs="Arial"/>
          <w:sz w:val="24"/>
          <w:szCs w:val="24"/>
        </w:rPr>
        <w:t>mL</w:t>
      </w:r>
      <w:proofErr w:type="spellEnd"/>
      <w:r w:rsidRPr="0004701B">
        <w:rPr>
          <w:rFonts w:ascii="Arial" w:hAnsi="Arial" w:cs="Arial"/>
          <w:sz w:val="24"/>
          <w:szCs w:val="24"/>
        </w:rPr>
        <w:t xml:space="preserve"> de água em cada ponto</w:t>
      </w:r>
      <w:r>
        <w:rPr>
          <w:rFonts w:ascii="Arial" w:hAnsi="Arial" w:cs="Arial"/>
          <w:sz w:val="24"/>
          <w:szCs w:val="24"/>
        </w:rPr>
        <w:t>. Visando à</w:t>
      </w:r>
      <w:r w:rsidRPr="0004701B">
        <w:rPr>
          <w:rFonts w:ascii="Arial" w:hAnsi="Arial" w:cs="Arial"/>
          <w:sz w:val="24"/>
          <w:szCs w:val="24"/>
        </w:rPr>
        <w:t xml:space="preserve"> integralidade da amostra foram feitas lavagens precedentes à coleta do </w:t>
      </w:r>
      <w:proofErr w:type="spellStart"/>
      <w:r w:rsidRPr="0004701B">
        <w:rPr>
          <w:rFonts w:ascii="Arial" w:hAnsi="Arial" w:cs="Arial"/>
          <w:sz w:val="24"/>
          <w:szCs w:val="24"/>
        </w:rPr>
        <w:t>Erlenmeyer</w:t>
      </w:r>
      <w:proofErr w:type="spellEnd"/>
      <w:r w:rsidRPr="0004701B">
        <w:rPr>
          <w:rFonts w:ascii="Arial" w:hAnsi="Arial" w:cs="Arial"/>
          <w:sz w:val="24"/>
          <w:szCs w:val="24"/>
        </w:rPr>
        <w:t xml:space="preserve"> com a própria amostra. </w:t>
      </w:r>
    </w:p>
    <w:p w:rsidR="000A2DEA" w:rsidRPr="0004701B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>Após a coleta das amostras, preparou-se a solução de ácido sulfúrico (H</w:t>
      </w:r>
      <w:r w:rsidRPr="0004701B">
        <w:rPr>
          <w:rFonts w:ascii="Arial" w:hAnsi="Arial" w:cs="Arial"/>
          <w:sz w:val="24"/>
          <w:szCs w:val="24"/>
          <w:vertAlign w:val="subscript"/>
        </w:rPr>
        <w:t>2</w:t>
      </w:r>
      <w:r w:rsidRPr="0004701B">
        <w:rPr>
          <w:rFonts w:ascii="Arial" w:hAnsi="Arial" w:cs="Arial"/>
          <w:sz w:val="24"/>
          <w:szCs w:val="24"/>
        </w:rPr>
        <w:t>SO</w:t>
      </w:r>
      <w:r w:rsidRPr="0004701B">
        <w:rPr>
          <w:rFonts w:ascii="Arial" w:hAnsi="Arial" w:cs="Arial"/>
          <w:sz w:val="24"/>
          <w:szCs w:val="24"/>
          <w:vertAlign w:val="subscript"/>
        </w:rPr>
        <w:t>4</w:t>
      </w:r>
      <w:r w:rsidRPr="0004701B">
        <w:rPr>
          <w:rFonts w:ascii="Arial" w:hAnsi="Arial" w:cs="Arial"/>
          <w:sz w:val="24"/>
          <w:szCs w:val="24"/>
        </w:rPr>
        <w:t xml:space="preserve">) com concentração aproximada de 0,01 </w:t>
      </w:r>
      <w:proofErr w:type="gramStart"/>
      <w:r w:rsidRPr="0004701B">
        <w:rPr>
          <w:rFonts w:ascii="Arial" w:hAnsi="Arial" w:cs="Arial"/>
          <w:sz w:val="24"/>
          <w:szCs w:val="24"/>
        </w:rPr>
        <w:t>mol.</w:t>
      </w:r>
      <w:proofErr w:type="gramEnd"/>
      <w:r w:rsidRPr="0004701B">
        <w:rPr>
          <w:rFonts w:ascii="Arial" w:hAnsi="Arial" w:cs="Arial"/>
          <w:sz w:val="24"/>
          <w:szCs w:val="24"/>
        </w:rPr>
        <w:t>L</w:t>
      </w:r>
      <w:r w:rsidRPr="0004701B">
        <w:rPr>
          <w:rFonts w:ascii="Arial" w:hAnsi="Arial" w:cs="Arial"/>
          <w:sz w:val="24"/>
          <w:szCs w:val="24"/>
          <w:vertAlign w:val="superscript"/>
        </w:rPr>
        <w:t>-1</w:t>
      </w:r>
      <w:r w:rsidRPr="0004701B">
        <w:rPr>
          <w:rFonts w:ascii="Arial" w:hAnsi="Arial" w:cs="Arial"/>
          <w:sz w:val="24"/>
          <w:szCs w:val="24"/>
        </w:rPr>
        <w:t xml:space="preserve">, para ser utilizada como </w:t>
      </w:r>
      <w:proofErr w:type="spellStart"/>
      <w:r w:rsidRPr="0004701B">
        <w:rPr>
          <w:rFonts w:ascii="Arial" w:hAnsi="Arial" w:cs="Arial"/>
          <w:sz w:val="24"/>
          <w:szCs w:val="24"/>
        </w:rPr>
        <w:t>titulante</w:t>
      </w:r>
      <w:proofErr w:type="spellEnd"/>
      <w:r w:rsidRPr="0004701B">
        <w:rPr>
          <w:rFonts w:ascii="Arial" w:hAnsi="Arial" w:cs="Arial"/>
          <w:sz w:val="24"/>
          <w:szCs w:val="24"/>
        </w:rPr>
        <w:t xml:space="preserve"> na titulação volumétrica.</w:t>
      </w:r>
    </w:p>
    <w:p w:rsidR="000A2DEA" w:rsidRPr="0004701B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>O ácido sulfúrico (H</w:t>
      </w:r>
      <w:r w:rsidRPr="0004701B">
        <w:rPr>
          <w:rFonts w:ascii="Arial" w:hAnsi="Arial" w:cs="Arial"/>
          <w:sz w:val="24"/>
          <w:szCs w:val="24"/>
          <w:vertAlign w:val="subscript"/>
        </w:rPr>
        <w:t>2</w:t>
      </w:r>
      <w:r w:rsidRPr="0004701B">
        <w:rPr>
          <w:rFonts w:ascii="Arial" w:hAnsi="Arial" w:cs="Arial"/>
          <w:sz w:val="24"/>
          <w:szCs w:val="24"/>
        </w:rPr>
        <w:t>SO</w:t>
      </w:r>
      <w:r w:rsidRPr="0004701B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) foi</w:t>
      </w:r>
      <w:r w:rsidRPr="0004701B">
        <w:rPr>
          <w:rFonts w:ascii="Arial" w:hAnsi="Arial" w:cs="Arial"/>
          <w:sz w:val="24"/>
          <w:szCs w:val="24"/>
        </w:rPr>
        <w:t xml:space="preserve"> padronizado utilizando uma solução de hidróxido de sódio (</w:t>
      </w:r>
      <w:proofErr w:type="spellStart"/>
      <w:proofErr w:type="gramStart"/>
      <w:r w:rsidRPr="0004701B">
        <w:rPr>
          <w:rFonts w:ascii="Arial" w:hAnsi="Arial" w:cs="Arial"/>
          <w:sz w:val="24"/>
          <w:szCs w:val="24"/>
        </w:rPr>
        <w:t>NaOH</w:t>
      </w:r>
      <w:proofErr w:type="spellEnd"/>
      <w:proofErr w:type="gramEnd"/>
      <w:r w:rsidRPr="0004701B">
        <w:rPr>
          <w:rFonts w:ascii="Arial" w:hAnsi="Arial" w:cs="Arial"/>
          <w:sz w:val="24"/>
          <w:szCs w:val="24"/>
        </w:rPr>
        <w:t>)</w:t>
      </w:r>
      <w:r w:rsidR="00E04EB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previamente padronizada. P</w:t>
      </w:r>
      <w:r w:rsidRPr="0004701B">
        <w:rPr>
          <w:rFonts w:ascii="Arial" w:hAnsi="Arial" w:cs="Arial"/>
          <w:sz w:val="24"/>
          <w:szCs w:val="24"/>
        </w:rPr>
        <w:t xml:space="preserve">ara tal padronização, </w:t>
      </w:r>
      <w:r w:rsidRPr="0004701B">
        <w:rPr>
          <w:rFonts w:ascii="Arial" w:hAnsi="Arial" w:cs="Arial"/>
          <w:sz w:val="24"/>
          <w:szCs w:val="24"/>
        </w:rPr>
        <w:lastRenderedPageBreak/>
        <w:t>utilizou-se a fenolftaleína com</w:t>
      </w:r>
      <w:r>
        <w:rPr>
          <w:rFonts w:ascii="Arial" w:hAnsi="Arial" w:cs="Arial"/>
          <w:sz w:val="24"/>
          <w:szCs w:val="24"/>
        </w:rPr>
        <w:t>o indicador. A concentração do á</w:t>
      </w:r>
      <w:r w:rsidRPr="0004701B">
        <w:rPr>
          <w:rFonts w:ascii="Arial" w:hAnsi="Arial" w:cs="Arial"/>
          <w:sz w:val="24"/>
          <w:szCs w:val="24"/>
        </w:rPr>
        <w:t>cido sulfúrico (H</w:t>
      </w:r>
      <w:r w:rsidRPr="0004701B">
        <w:rPr>
          <w:rFonts w:ascii="Arial" w:hAnsi="Arial" w:cs="Arial"/>
          <w:sz w:val="24"/>
          <w:szCs w:val="24"/>
          <w:vertAlign w:val="subscript"/>
        </w:rPr>
        <w:t>2</w:t>
      </w:r>
      <w:r w:rsidRPr="0004701B">
        <w:rPr>
          <w:rFonts w:ascii="Arial" w:hAnsi="Arial" w:cs="Arial"/>
          <w:sz w:val="24"/>
          <w:szCs w:val="24"/>
        </w:rPr>
        <w:t>SO</w:t>
      </w:r>
      <w:r w:rsidRPr="0004701B">
        <w:rPr>
          <w:rFonts w:ascii="Arial" w:hAnsi="Arial" w:cs="Arial"/>
          <w:sz w:val="24"/>
          <w:szCs w:val="24"/>
          <w:vertAlign w:val="subscript"/>
        </w:rPr>
        <w:t>4</w:t>
      </w:r>
      <w:r w:rsidRPr="0004701B">
        <w:rPr>
          <w:rFonts w:ascii="Arial" w:hAnsi="Arial" w:cs="Arial"/>
          <w:sz w:val="24"/>
          <w:szCs w:val="24"/>
        </w:rPr>
        <w:t xml:space="preserve">) após a padronização foi de 0,010899 </w:t>
      </w:r>
      <w:proofErr w:type="gramStart"/>
      <w:r w:rsidRPr="0004701B">
        <w:rPr>
          <w:rFonts w:ascii="Arial" w:hAnsi="Arial" w:cs="Arial"/>
          <w:sz w:val="24"/>
          <w:szCs w:val="24"/>
        </w:rPr>
        <w:t>mol.</w:t>
      </w:r>
      <w:proofErr w:type="gramEnd"/>
      <w:r w:rsidRPr="0004701B">
        <w:rPr>
          <w:rFonts w:ascii="Arial" w:hAnsi="Arial" w:cs="Arial"/>
          <w:sz w:val="24"/>
          <w:szCs w:val="24"/>
        </w:rPr>
        <w:t>L</w:t>
      </w:r>
      <w:r w:rsidRPr="0004701B">
        <w:rPr>
          <w:rFonts w:ascii="Arial" w:hAnsi="Arial" w:cs="Arial"/>
          <w:sz w:val="24"/>
          <w:szCs w:val="24"/>
          <w:vertAlign w:val="superscript"/>
        </w:rPr>
        <w:t>-1</w:t>
      </w:r>
    </w:p>
    <w:p w:rsidR="000A2DEA" w:rsidRPr="0004701B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Para realizar a análise, retirou-se uma alíquota de 100 </w:t>
      </w:r>
      <w:proofErr w:type="spellStart"/>
      <w:r w:rsidRPr="0004701B">
        <w:rPr>
          <w:rFonts w:ascii="Arial" w:hAnsi="Arial" w:cs="Arial"/>
          <w:sz w:val="24"/>
          <w:szCs w:val="24"/>
        </w:rPr>
        <w:t>mL</w:t>
      </w:r>
      <w:proofErr w:type="spellEnd"/>
      <w:r w:rsidRPr="0004701B">
        <w:rPr>
          <w:rFonts w:ascii="Arial" w:hAnsi="Arial" w:cs="Arial"/>
          <w:sz w:val="24"/>
          <w:szCs w:val="24"/>
        </w:rPr>
        <w:t xml:space="preserve"> da amostra e adicionaram-se </w:t>
      </w:r>
      <w:proofErr w:type="gramStart"/>
      <w:r w:rsidRPr="0004701B">
        <w:rPr>
          <w:rFonts w:ascii="Arial" w:hAnsi="Arial" w:cs="Arial"/>
          <w:sz w:val="24"/>
          <w:szCs w:val="24"/>
        </w:rPr>
        <w:t>2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 gotas de alaranjado de metila para auxiliar na visualização do ponto de viragem da reação, e na bureta colocou-se ácido sulfúrico (H</w:t>
      </w:r>
      <w:r w:rsidRPr="0004701B">
        <w:rPr>
          <w:rFonts w:ascii="Arial" w:hAnsi="Arial" w:cs="Arial"/>
          <w:sz w:val="24"/>
          <w:szCs w:val="24"/>
          <w:vertAlign w:val="subscript"/>
        </w:rPr>
        <w:t>2</w:t>
      </w:r>
      <w:r w:rsidRPr="0004701B">
        <w:rPr>
          <w:rFonts w:ascii="Arial" w:hAnsi="Arial" w:cs="Arial"/>
          <w:sz w:val="24"/>
          <w:szCs w:val="24"/>
        </w:rPr>
        <w:t>SO</w:t>
      </w:r>
      <w:r w:rsidRPr="0004701B">
        <w:rPr>
          <w:rFonts w:ascii="Arial" w:hAnsi="Arial" w:cs="Arial"/>
          <w:sz w:val="24"/>
          <w:szCs w:val="24"/>
          <w:vertAlign w:val="subscript"/>
        </w:rPr>
        <w:t>4</w:t>
      </w:r>
      <w:r w:rsidR="00E04EB5">
        <w:rPr>
          <w:rFonts w:ascii="Arial" w:hAnsi="Arial" w:cs="Arial"/>
          <w:sz w:val="24"/>
          <w:szCs w:val="24"/>
        </w:rPr>
        <w:t>)</w:t>
      </w:r>
      <w:r w:rsidRPr="0004701B">
        <w:rPr>
          <w:rFonts w:ascii="Arial" w:hAnsi="Arial" w:cs="Arial"/>
          <w:sz w:val="24"/>
          <w:szCs w:val="24"/>
        </w:rPr>
        <w:t xml:space="preserve"> padronizado, iniciando a titulação e determinação da alcalinidade das amostras coletadas.</w:t>
      </w:r>
    </w:p>
    <w:p w:rsidR="000A2DEA" w:rsidRPr="0004701B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Para a análise de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, primeiramente realizou-se a calibração do </w:t>
      </w:r>
      <w:proofErr w:type="spellStart"/>
      <w:r w:rsidRPr="0004701B">
        <w:rPr>
          <w:rFonts w:ascii="Arial" w:hAnsi="Arial" w:cs="Arial"/>
          <w:sz w:val="24"/>
          <w:szCs w:val="24"/>
        </w:rPr>
        <w:t>pHmetro</w:t>
      </w:r>
      <w:proofErr w:type="spellEnd"/>
      <w:r w:rsidRPr="0004701B">
        <w:rPr>
          <w:rFonts w:ascii="Arial" w:hAnsi="Arial" w:cs="Arial"/>
          <w:sz w:val="24"/>
          <w:szCs w:val="24"/>
        </w:rPr>
        <w:t xml:space="preserve"> com as soluções tampão, sendo umas delas utilizada para calibrar o pH de 4,05 e a outra para calibrar o pH de 6,89.</w:t>
      </w:r>
    </w:p>
    <w:p w:rsidR="000A2DEA" w:rsidRPr="0004701B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Depois de </w:t>
      </w:r>
      <w:r>
        <w:rPr>
          <w:rFonts w:ascii="Arial" w:hAnsi="Arial" w:cs="Arial"/>
          <w:sz w:val="24"/>
          <w:szCs w:val="24"/>
        </w:rPr>
        <w:t xml:space="preserve">feita a calibração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pHmetro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foi separada</w:t>
      </w:r>
      <w:r w:rsidRPr="0004701B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>a</w:t>
      </w:r>
      <w:r w:rsidRPr="0004701B">
        <w:rPr>
          <w:rFonts w:ascii="Arial" w:hAnsi="Arial" w:cs="Arial"/>
          <w:sz w:val="24"/>
          <w:szCs w:val="24"/>
        </w:rPr>
        <w:t xml:space="preserve"> alíquota da amostra que </w:t>
      </w:r>
      <w:r>
        <w:rPr>
          <w:rFonts w:ascii="Arial" w:hAnsi="Arial" w:cs="Arial"/>
          <w:sz w:val="24"/>
          <w:szCs w:val="24"/>
        </w:rPr>
        <w:t>fosse</w:t>
      </w:r>
      <w:r w:rsidRPr="0004701B">
        <w:rPr>
          <w:rFonts w:ascii="Arial" w:hAnsi="Arial" w:cs="Arial"/>
          <w:sz w:val="24"/>
          <w:szCs w:val="24"/>
        </w:rPr>
        <w:t xml:space="preserve"> capaz de </w:t>
      </w:r>
      <w:r>
        <w:rPr>
          <w:rFonts w:ascii="Arial" w:hAnsi="Arial" w:cs="Arial"/>
          <w:sz w:val="24"/>
          <w:szCs w:val="24"/>
        </w:rPr>
        <w:t>cobrir</w:t>
      </w:r>
      <w:r w:rsidRPr="0004701B">
        <w:rPr>
          <w:rFonts w:ascii="Arial" w:hAnsi="Arial" w:cs="Arial"/>
          <w:sz w:val="24"/>
          <w:szCs w:val="24"/>
        </w:rPr>
        <w:t xml:space="preserve"> o eletrodo, esse que é responsável pela identificação do pH da amostra.</w:t>
      </w:r>
    </w:p>
    <w:p w:rsidR="00A35D31" w:rsidRPr="000A2DEA" w:rsidRDefault="000A2DEA" w:rsidP="00A9242A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Para realizar a análise, é inserido o </w:t>
      </w:r>
      <w:r w:rsidR="003C45CD">
        <w:rPr>
          <w:rFonts w:ascii="Arial" w:hAnsi="Arial" w:cs="Arial"/>
          <w:sz w:val="24"/>
          <w:szCs w:val="24"/>
        </w:rPr>
        <w:t xml:space="preserve">eletrodo do </w:t>
      </w:r>
      <w:proofErr w:type="spellStart"/>
      <w:proofErr w:type="gramStart"/>
      <w:r w:rsidR="003C45CD">
        <w:rPr>
          <w:rFonts w:ascii="Arial" w:hAnsi="Arial" w:cs="Arial"/>
          <w:sz w:val="24"/>
          <w:szCs w:val="24"/>
        </w:rPr>
        <w:t>pHmetro</w:t>
      </w:r>
      <w:proofErr w:type="spellEnd"/>
      <w:proofErr w:type="gramEnd"/>
      <w:r w:rsidR="003C45CD">
        <w:rPr>
          <w:rFonts w:ascii="Arial" w:hAnsi="Arial" w:cs="Arial"/>
          <w:sz w:val="24"/>
          <w:szCs w:val="24"/>
        </w:rPr>
        <w:t xml:space="preserve"> na amostra e procede-se a </w:t>
      </w:r>
      <w:r w:rsidRPr="0004701B">
        <w:rPr>
          <w:rFonts w:ascii="Arial" w:hAnsi="Arial" w:cs="Arial"/>
          <w:sz w:val="24"/>
          <w:szCs w:val="24"/>
        </w:rPr>
        <w:t>leitura do pH</w:t>
      </w:r>
      <w:r>
        <w:rPr>
          <w:rFonts w:ascii="Arial" w:hAnsi="Arial" w:cs="Arial"/>
          <w:sz w:val="24"/>
          <w:szCs w:val="24"/>
        </w:rPr>
        <w:t>.</w:t>
      </w:r>
    </w:p>
    <w:p w:rsidR="003A5676" w:rsidRPr="00A9242A" w:rsidRDefault="003A5676" w:rsidP="00A9242A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A9242A" w:rsidRDefault="003A5676" w:rsidP="00A9242A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A9242A" w:rsidRDefault="00CC1BC6" w:rsidP="00A9242A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A9242A"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A5676" w:rsidRPr="00A9242A" w:rsidRDefault="003A5676" w:rsidP="00A9242A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931E05" w:rsidRPr="00533071" w:rsidRDefault="00DB4802" w:rsidP="00DB480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A75B4">
        <w:rPr>
          <w:rFonts w:ascii="Arial" w:hAnsi="Arial" w:cs="Arial"/>
          <w:sz w:val="24"/>
          <w:szCs w:val="24"/>
        </w:rPr>
        <w:t xml:space="preserve">s resultados </w:t>
      </w:r>
      <w:r w:rsidR="004C5C1B">
        <w:rPr>
          <w:rFonts w:ascii="Arial" w:hAnsi="Arial" w:cs="Arial"/>
          <w:sz w:val="24"/>
          <w:szCs w:val="24"/>
        </w:rPr>
        <w:t>das análise</w:t>
      </w:r>
      <w:r w:rsidR="00E344B2">
        <w:rPr>
          <w:rFonts w:ascii="Arial" w:hAnsi="Arial" w:cs="Arial"/>
          <w:sz w:val="24"/>
          <w:szCs w:val="24"/>
        </w:rPr>
        <w:t>s</w:t>
      </w:r>
      <w:r w:rsidR="004C5C1B">
        <w:rPr>
          <w:rFonts w:ascii="Arial" w:hAnsi="Arial" w:cs="Arial"/>
          <w:sz w:val="24"/>
          <w:szCs w:val="24"/>
        </w:rPr>
        <w:t xml:space="preserve"> </w:t>
      </w:r>
      <w:r w:rsidR="00DA75B4">
        <w:rPr>
          <w:rFonts w:ascii="Arial" w:hAnsi="Arial" w:cs="Arial"/>
          <w:sz w:val="24"/>
          <w:szCs w:val="24"/>
        </w:rPr>
        <w:t xml:space="preserve">de </w:t>
      </w:r>
      <w:proofErr w:type="gramStart"/>
      <w:r w:rsidR="00DA75B4">
        <w:rPr>
          <w:rFonts w:ascii="Arial" w:hAnsi="Arial" w:cs="Arial"/>
          <w:sz w:val="24"/>
          <w:szCs w:val="24"/>
        </w:rPr>
        <w:t>pH</w:t>
      </w:r>
      <w:proofErr w:type="gramEnd"/>
      <w:r w:rsidR="00DA75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DA75B4">
        <w:rPr>
          <w:rFonts w:ascii="Arial" w:hAnsi="Arial" w:cs="Arial"/>
          <w:sz w:val="24"/>
          <w:szCs w:val="24"/>
        </w:rPr>
        <w:t xml:space="preserve"> de alcalinidade </w:t>
      </w:r>
      <w:r w:rsidR="00E344B2">
        <w:rPr>
          <w:rFonts w:ascii="Arial" w:hAnsi="Arial" w:cs="Arial"/>
          <w:sz w:val="24"/>
          <w:szCs w:val="24"/>
        </w:rPr>
        <w:t>d</w:t>
      </w:r>
      <w:r w:rsidR="004C5C1B">
        <w:rPr>
          <w:rFonts w:ascii="Arial" w:hAnsi="Arial" w:cs="Arial"/>
          <w:sz w:val="24"/>
          <w:szCs w:val="24"/>
        </w:rPr>
        <w:t xml:space="preserve">as amostras de água subterrânea do IFC-CC </w:t>
      </w:r>
      <w:r>
        <w:rPr>
          <w:rFonts w:ascii="Arial" w:hAnsi="Arial" w:cs="Arial"/>
          <w:sz w:val="24"/>
          <w:szCs w:val="24"/>
        </w:rPr>
        <w:t>são apresentados na</w:t>
      </w:r>
      <w:r w:rsidR="00DA75B4">
        <w:rPr>
          <w:rFonts w:ascii="Arial" w:hAnsi="Arial" w:cs="Arial"/>
          <w:sz w:val="24"/>
          <w:szCs w:val="24"/>
        </w:rPr>
        <w:t xml:space="preserve"> Tabela 1.</w:t>
      </w:r>
      <w:r w:rsidR="00931E05" w:rsidRPr="00931E05">
        <w:rPr>
          <w:rFonts w:ascii="Arial" w:hAnsi="Arial" w:cs="Arial"/>
          <w:b/>
          <w:sz w:val="24"/>
          <w:szCs w:val="24"/>
        </w:rPr>
        <w:t xml:space="preserve"> </w:t>
      </w:r>
    </w:p>
    <w:p w:rsidR="000A2DEA" w:rsidRDefault="000A2DEA" w:rsidP="00DB4802">
      <w:pPr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931E05" w:rsidRPr="0004701B" w:rsidRDefault="00931E05" w:rsidP="00DB48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5749">
        <w:rPr>
          <w:rFonts w:ascii="Arial" w:hAnsi="Arial" w:cs="Arial"/>
          <w:b/>
          <w:sz w:val="24"/>
          <w:szCs w:val="24"/>
        </w:rPr>
        <w:t>Tabela 1 – Resultado</w:t>
      </w:r>
      <w:r w:rsidR="005D2142">
        <w:rPr>
          <w:rFonts w:ascii="Arial" w:hAnsi="Arial" w:cs="Arial"/>
          <w:b/>
          <w:sz w:val="24"/>
          <w:szCs w:val="24"/>
        </w:rPr>
        <w:t>s</w:t>
      </w:r>
      <w:r w:rsidRPr="005E5749">
        <w:rPr>
          <w:rFonts w:ascii="Arial" w:hAnsi="Arial" w:cs="Arial"/>
          <w:b/>
          <w:sz w:val="24"/>
          <w:szCs w:val="24"/>
        </w:rPr>
        <w:t xml:space="preserve"> das análises de </w:t>
      </w:r>
      <w:proofErr w:type="gramStart"/>
      <w:r w:rsidRPr="005E5749">
        <w:rPr>
          <w:rFonts w:ascii="Arial" w:hAnsi="Arial" w:cs="Arial"/>
          <w:b/>
          <w:sz w:val="24"/>
          <w:szCs w:val="24"/>
        </w:rPr>
        <w:t>pH</w:t>
      </w:r>
      <w:proofErr w:type="gramEnd"/>
      <w:r w:rsidRPr="005E5749">
        <w:rPr>
          <w:rFonts w:ascii="Arial" w:hAnsi="Arial" w:cs="Arial"/>
          <w:b/>
          <w:sz w:val="24"/>
          <w:szCs w:val="24"/>
        </w:rPr>
        <w:t xml:space="preserve"> e Alcalinidade</w:t>
      </w:r>
      <w:r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elacomgrade"/>
        <w:tblW w:w="8728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1718"/>
        <w:gridCol w:w="1134"/>
        <w:gridCol w:w="1134"/>
        <w:gridCol w:w="1134"/>
        <w:gridCol w:w="1134"/>
        <w:gridCol w:w="1134"/>
        <w:gridCol w:w="1340"/>
      </w:tblGrid>
      <w:tr w:rsidR="0040082D" w:rsidRPr="00BB23C2" w:rsidTr="00533071">
        <w:trPr>
          <w:trHeight w:val="420"/>
          <w:jc w:val="center"/>
        </w:trPr>
        <w:tc>
          <w:tcPr>
            <w:tcW w:w="1718" w:type="dxa"/>
            <w:tcBorders>
              <w:left w:val="nil"/>
              <w:bottom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left w:val="nil"/>
              <w:bottom w:val="nil"/>
              <w:right w:val="single" w:sz="4" w:space="0" w:color="auto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23C2">
              <w:rPr>
                <w:rFonts w:ascii="Arial" w:hAnsi="Arial" w:cs="Arial"/>
                <w:b/>
                <w:sz w:val="20"/>
                <w:szCs w:val="20"/>
              </w:rPr>
              <w:t>pH</w:t>
            </w:r>
            <w:proofErr w:type="gramEnd"/>
          </w:p>
        </w:tc>
        <w:tc>
          <w:tcPr>
            <w:tcW w:w="3608" w:type="dxa"/>
            <w:gridSpan w:val="3"/>
            <w:tcBorders>
              <w:left w:val="single" w:sz="4" w:space="0" w:color="auto"/>
              <w:bottom w:val="nil"/>
              <w:right w:val="nil"/>
            </w:tcBorders>
          </w:tcPr>
          <w:p w:rsidR="0040082D" w:rsidRPr="00DA75B4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ALCALINIDADE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mg de CaCO</w:t>
            </w:r>
            <w:r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.L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 xml:space="preserve">-1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0082D" w:rsidRPr="00BB23C2" w:rsidTr="00533071">
        <w:trPr>
          <w:trHeight w:val="300"/>
          <w:jc w:val="center"/>
        </w:trPr>
        <w:tc>
          <w:tcPr>
            <w:tcW w:w="1718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533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25/07/17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01/08/17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15/08/17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18/04/17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02/05/17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12/09/17</w:t>
            </w:r>
          </w:p>
        </w:tc>
      </w:tr>
      <w:tr w:rsidR="0040082D" w:rsidRPr="00BB23C2" w:rsidTr="00533071">
        <w:trPr>
          <w:trHeight w:val="291"/>
          <w:jc w:val="center"/>
        </w:trPr>
        <w:tc>
          <w:tcPr>
            <w:tcW w:w="17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082D" w:rsidRPr="00BB23C2" w:rsidTr="00533071">
        <w:trPr>
          <w:trHeight w:val="388"/>
          <w:jc w:val="center"/>
        </w:trPr>
        <w:tc>
          <w:tcPr>
            <w:tcW w:w="1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Cisterna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76,1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98,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99,7</w:t>
            </w:r>
          </w:p>
        </w:tc>
      </w:tr>
      <w:tr w:rsidR="0040082D" w:rsidRPr="00BB23C2" w:rsidTr="00533071">
        <w:trPr>
          <w:trHeight w:val="706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B23C2">
              <w:rPr>
                <w:rFonts w:ascii="Arial" w:hAnsi="Arial" w:cs="Arial"/>
                <w:b/>
                <w:sz w:val="20"/>
                <w:szCs w:val="20"/>
              </w:rPr>
              <w:t>Dessedentação</w:t>
            </w:r>
            <w:proofErr w:type="spellEnd"/>
            <w:r w:rsidRPr="00BB23C2">
              <w:rPr>
                <w:rFonts w:ascii="Arial" w:hAnsi="Arial" w:cs="Arial"/>
                <w:b/>
                <w:sz w:val="20"/>
                <w:szCs w:val="20"/>
              </w:rPr>
              <w:t xml:space="preserve"> Bovino de leite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14,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16,3</w:t>
            </w:r>
          </w:p>
        </w:tc>
      </w:tr>
      <w:tr w:rsidR="0040082D" w:rsidRPr="00BB23C2" w:rsidTr="00533071">
        <w:trPr>
          <w:trHeight w:val="431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EPAGRI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6, 6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85,8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105,5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105,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0082D" w:rsidRPr="00BB23C2" w:rsidTr="00533071">
        <w:trPr>
          <w:trHeight w:val="721"/>
          <w:jc w:val="center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Laboratório de Química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78,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100,2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98,6</w:t>
            </w:r>
          </w:p>
        </w:tc>
      </w:tr>
      <w:tr w:rsidR="0040082D" w:rsidRPr="00BB23C2" w:rsidTr="00533071">
        <w:trPr>
          <w:trHeight w:val="603"/>
          <w:jc w:val="center"/>
        </w:trPr>
        <w:tc>
          <w:tcPr>
            <w:tcW w:w="1718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23C2">
              <w:rPr>
                <w:rFonts w:ascii="Arial" w:hAnsi="Arial" w:cs="Arial"/>
                <w:b/>
                <w:sz w:val="20"/>
                <w:szCs w:val="20"/>
              </w:rPr>
              <w:t>Limpeza do Bovino de Leite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5A2E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23C2">
              <w:rPr>
                <w:rFonts w:ascii="Arial" w:hAnsi="Arial" w:cs="Arial"/>
                <w:sz w:val="20"/>
                <w:szCs w:val="20"/>
              </w:rPr>
              <w:t>15,0</w:t>
            </w: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</w:tcPr>
          <w:p w:rsidR="0040082D" w:rsidRPr="00BB23C2" w:rsidRDefault="0040082D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</w:t>
            </w:r>
          </w:p>
        </w:tc>
      </w:tr>
    </w:tbl>
    <w:p w:rsidR="00DA75B4" w:rsidRPr="005E5749" w:rsidRDefault="005E5749" w:rsidP="00DA75B4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5E5749">
        <w:rPr>
          <w:rFonts w:ascii="Arial" w:hAnsi="Arial" w:cs="Arial"/>
          <w:sz w:val="20"/>
          <w:szCs w:val="20"/>
        </w:rPr>
        <w:t>Fonte: Próprio, 2017.</w:t>
      </w:r>
    </w:p>
    <w:p w:rsidR="000A2DEA" w:rsidRPr="00DA75B4" w:rsidRDefault="000A2DEA" w:rsidP="005A2EF3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lastRenderedPageBreak/>
        <w:t>Segundo a Portaria</w:t>
      </w:r>
      <w:r w:rsidRPr="0004701B">
        <w:rPr>
          <w:rFonts w:ascii="Arial" w:eastAsia="Times New Roman" w:hAnsi="Arial" w:cs="Arial"/>
          <w:color w:val="000000"/>
          <w:sz w:val="24"/>
          <w:szCs w:val="24"/>
        </w:rPr>
        <w:t xml:space="preserve"> n° 2.914, recomenda-se que a faixa de </w:t>
      </w:r>
      <w:proofErr w:type="gramStart"/>
      <w:r w:rsidRPr="0004701B">
        <w:rPr>
          <w:rFonts w:ascii="Arial" w:eastAsia="Times New Roman" w:hAnsi="Arial" w:cs="Arial"/>
          <w:color w:val="000000"/>
          <w:sz w:val="24"/>
          <w:szCs w:val="24"/>
        </w:rPr>
        <w:t>pH</w:t>
      </w:r>
      <w:proofErr w:type="gramEnd"/>
      <w:r w:rsidRPr="0004701B">
        <w:rPr>
          <w:rFonts w:ascii="Arial" w:eastAsia="Times New Roman" w:hAnsi="Arial" w:cs="Arial"/>
          <w:color w:val="000000"/>
          <w:sz w:val="24"/>
          <w:szCs w:val="24"/>
        </w:rPr>
        <w:t xml:space="preserve"> para o consumo humano esteja entre 6,0 e 9,5. Com isso, é perceptível que o</w:t>
      </w:r>
      <w:r w:rsidR="008134C2">
        <w:rPr>
          <w:rFonts w:ascii="Arial" w:eastAsia="Times New Roman" w:hAnsi="Arial" w:cs="Arial"/>
          <w:color w:val="000000"/>
          <w:sz w:val="24"/>
          <w:szCs w:val="24"/>
        </w:rPr>
        <w:t>s valores de</w:t>
      </w:r>
      <w:r w:rsidRPr="0004701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4701B">
        <w:rPr>
          <w:rFonts w:ascii="Arial" w:eastAsia="Times New Roman" w:hAnsi="Arial" w:cs="Arial"/>
          <w:color w:val="000000"/>
          <w:sz w:val="24"/>
          <w:szCs w:val="24"/>
        </w:rPr>
        <w:t>pH</w:t>
      </w:r>
      <w:proofErr w:type="gramEnd"/>
      <w:r w:rsidR="008134C2">
        <w:rPr>
          <w:rFonts w:ascii="Arial" w:eastAsia="Times New Roman" w:hAnsi="Arial" w:cs="Arial"/>
          <w:color w:val="000000"/>
          <w:sz w:val="24"/>
          <w:szCs w:val="24"/>
        </w:rPr>
        <w:t xml:space="preserve"> inferiores a 6,0</w:t>
      </w:r>
      <w:r w:rsidRPr="0004701B">
        <w:rPr>
          <w:rFonts w:ascii="Arial" w:eastAsia="Times New Roman" w:hAnsi="Arial" w:cs="Arial"/>
          <w:color w:val="000000"/>
          <w:sz w:val="24"/>
          <w:szCs w:val="24"/>
        </w:rPr>
        <w:t xml:space="preserve"> das águas de </w:t>
      </w:r>
      <w:proofErr w:type="spellStart"/>
      <w:r w:rsidRPr="0004701B">
        <w:rPr>
          <w:rFonts w:ascii="Arial" w:eastAsia="Times New Roman" w:hAnsi="Arial" w:cs="Arial"/>
          <w:color w:val="000000"/>
          <w:sz w:val="24"/>
          <w:szCs w:val="24"/>
        </w:rPr>
        <w:t>dessedentação</w:t>
      </w:r>
      <w:proofErr w:type="spellEnd"/>
      <w:r w:rsidRPr="0004701B">
        <w:rPr>
          <w:rFonts w:ascii="Arial" w:eastAsia="Times New Roman" w:hAnsi="Arial" w:cs="Arial"/>
          <w:color w:val="000000"/>
          <w:sz w:val="24"/>
          <w:szCs w:val="24"/>
        </w:rPr>
        <w:t xml:space="preserve"> do bovino de leite e limpeza da bovino de leite estão abaixo dos padrões estabelecidos pela Portaria. </w:t>
      </w:r>
    </w:p>
    <w:p w:rsidR="000A2DEA" w:rsidRPr="0004701B" w:rsidRDefault="000A2DEA" w:rsidP="005A2EF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Com base nos resultados do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>, já era previsto que nenhum dos pontos de coleta teriam um valor elevado de alcalinidade. Porém, como não há uma legislação própria</w:t>
      </w:r>
      <w:r w:rsidR="00CB5175">
        <w:rPr>
          <w:rFonts w:ascii="Arial" w:hAnsi="Arial" w:cs="Arial"/>
          <w:sz w:val="24"/>
          <w:szCs w:val="24"/>
        </w:rPr>
        <w:t xml:space="preserve"> </w:t>
      </w:r>
      <w:r w:rsidRPr="0004701B">
        <w:rPr>
          <w:rFonts w:ascii="Arial" w:hAnsi="Arial" w:cs="Arial"/>
          <w:sz w:val="24"/>
          <w:szCs w:val="24"/>
        </w:rPr>
        <w:t>não existem valores máximos ou mínimos a serem seguidos.</w:t>
      </w:r>
    </w:p>
    <w:p w:rsidR="005A2EF3" w:rsidRDefault="000A2DEA" w:rsidP="005A2EF3">
      <w:pPr>
        <w:spacing w:after="0" w:line="360" w:lineRule="auto"/>
        <w:ind w:firstLine="1134"/>
        <w:jc w:val="both"/>
        <w:rPr>
          <w:rFonts w:ascii="Arial" w:hAnsi="Arial" w:cs="Arial"/>
          <w:noProof/>
          <w:sz w:val="24"/>
          <w:szCs w:val="24"/>
        </w:rPr>
      </w:pPr>
      <w:r w:rsidRPr="0004701B">
        <w:rPr>
          <w:rFonts w:ascii="Arial" w:hAnsi="Arial" w:cs="Arial"/>
          <w:sz w:val="24"/>
          <w:szCs w:val="24"/>
        </w:rPr>
        <w:t xml:space="preserve">Também houve a comparação dos resultados encontrados, da alcalinidade 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="00AE6936">
        <w:rPr>
          <w:rFonts w:ascii="Arial" w:hAnsi="Arial" w:cs="Arial"/>
          <w:sz w:val="24"/>
          <w:szCs w:val="24"/>
        </w:rPr>
        <w:t xml:space="preserve"> (média dos valores obtidos)</w:t>
      </w:r>
      <w:r w:rsidRPr="0004701B">
        <w:rPr>
          <w:rFonts w:ascii="Arial" w:hAnsi="Arial" w:cs="Arial"/>
          <w:sz w:val="24"/>
          <w:szCs w:val="24"/>
        </w:rPr>
        <w:t>, com os resultados das análises feitas pelos alunos do Projeto Ambiental: Análises Químicas dos anos ante</w:t>
      </w:r>
      <w:r w:rsidR="005E5749">
        <w:rPr>
          <w:rFonts w:ascii="Arial" w:hAnsi="Arial" w:cs="Arial"/>
          <w:sz w:val="24"/>
          <w:szCs w:val="24"/>
        </w:rPr>
        <w:t>riores, apresentados na tabela 2</w:t>
      </w:r>
      <w:r w:rsidRPr="0004701B">
        <w:rPr>
          <w:rFonts w:ascii="Arial" w:hAnsi="Arial" w:cs="Arial"/>
          <w:sz w:val="24"/>
          <w:szCs w:val="24"/>
        </w:rPr>
        <w:t>.</w:t>
      </w:r>
      <w:r w:rsidRPr="000A2DEA">
        <w:rPr>
          <w:rFonts w:ascii="Arial" w:hAnsi="Arial" w:cs="Arial"/>
          <w:noProof/>
          <w:sz w:val="24"/>
          <w:szCs w:val="24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60"/>
        <w:gridCol w:w="1250"/>
        <w:gridCol w:w="1684"/>
        <w:gridCol w:w="2058"/>
        <w:gridCol w:w="2121"/>
        <w:gridCol w:w="1214"/>
      </w:tblGrid>
      <w:tr w:rsidR="005E5749" w:rsidRPr="00CB0C31" w:rsidTr="00D600D1">
        <w:trPr>
          <w:trHeight w:val="731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A26" w:rsidRDefault="007F6A26" w:rsidP="00C70E0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2EF3" w:rsidRPr="005E5749" w:rsidRDefault="005E5749" w:rsidP="00B208B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5749">
              <w:rPr>
                <w:rFonts w:ascii="Arial" w:hAnsi="Arial" w:cs="Arial"/>
                <w:b/>
                <w:sz w:val="24"/>
                <w:szCs w:val="24"/>
              </w:rPr>
              <w:t>Tabela 2- C</w:t>
            </w:r>
            <w:r w:rsidR="00877A38">
              <w:rPr>
                <w:rFonts w:ascii="Arial" w:hAnsi="Arial" w:cs="Arial"/>
                <w:b/>
                <w:sz w:val="24"/>
                <w:szCs w:val="24"/>
              </w:rPr>
              <w:t>omparação dos valores</w:t>
            </w:r>
            <w:r w:rsidRPr="005E5749">
              <w:rPr>
                <w:rFonts w:ascii="Arial" w:hAnsi="Arial" w:cs="Arial"/>
                <w:b/>
                <w:sz w:val="24"/>
                <w:szCs w:val="24"/>
              </w:rPr>
              <w:t xml:space="preserve"> dos parâme</w:t>
            </w:r>
            <w:r w:rsidR="00710ADD">
              <w:rPr>
                <w:rFonts w:ascii="Arial" w:hAnsi="Arial" w:cs="Arial"/>
                <w:b/>
                <w:sz w:val="24"/>
                <w:szCs w:val="24"/>
              </w:rPr>
              <w:t>tros de alcalinidade</w:t>
            </w:r>
            <w:r w:rsidRPr="005E5749">
              <w:rPr>
                <w:rFonts w:ascii="Arial" w:hAnsi="Arial" w:cs="Arial"/>
                <w:b/>
                <w:sz w:val="24"/>
                <w:szCs w:val="24"/>
              </w:rPr>
              <w:t xml:space="preserve"> e </w:t>
            </w:r>
            <w:proofErr w:type="gramStart"/>
            <w:r w:rsidRPr="005E5749">
              <w:rPr>
                <w:rFonts w:ascii="Arial" w:hAnsi="Arial" w:cs="Arial"/>
                <w:b/>
                <w:sz w:val="24"/>
                <w:szCs w:val="24"/>
              </w:rPr>
              <w:t>pH</w:t>
            </w:r>
            <w:proofErr w:type="gramEnd"/>
            <w:r w:rsidRPr="005E5749">
              <w:rPr>
                <w:rFonts w:ascii="Arial" w:hAnsi="Arial" w:cs="Arial"/>
                <w:b/>
                <w:sz w:val="24"/>
                <w:szCs w:val="24"/>
              </w:rPr>
              <w:t xml:space="preserve"> com as análises dos anos anteriores.</w:t>
            </w:r>
          </w:p>
        </w:tc>
      </w:tr>
      <w:tr w:rsidR="005E5749" w:rsidRPr="00CB0C31" w:rsidTr="00D600D1">
        <w:trPr>
          <w:trHeight w:val="800"/>
        </w:trPr>
        <w:tc>
          <w:tcPr>
            <w:tcW w:w="547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0C31">
              <w:rPr>
                <w:rFonts w:ascii="Arial" w:hAnsi="Arial" w:cs="Arial"/>
                <w:b/>
                <w:sz w:val="20"/>
                <w:szCs w:val="20"/>
              </w:rPr>
              <w:t>Cisterna</w:t>
            </w:r>
          </w:p>
        </w:tc>
        <w:tc>
          <w:tcPr>
            <w:tcW w:w="756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0C31">
              <w:rPr>
                <w:rFonts w:ascii="Arial" w:hAnsi="Arial" w:cs="Arial"/>
                <w:b/>
                <w:sz w:val="20"/>
                <w:szCs w:val="20"/>
              </w:rPr>
              <w:t>Dessedentação</w:t>
            </w:r>
            <w:proofErr w:type="spellEnd"/>
            <w:r w:rsidRPr="00CB0C31">
              <w:rPr>
                <w:rFonts w:ascii="Arial" w:hAnsi="Arial" w:cs="Arial"/>
                <w:b/>
                <w:sz w:val="20"/>
                <w:szCs w:val="20"/>
              </w:rPr>
              <w:t xml:space="preserve"> Bovino de leite</w:t>
            </w:r>
          </w:p>
        </w:tc>
        <w:tc>
          <w:tcPr>
            <w:tcW w:w="1138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0C31">
              <w:rPr>
                <w:rFonts w:ascii="Arial" w:hAnsi="Arial" w:cs="Arial"/>
                <w:b/>
                <w:sz w:val="20"/>
                <w:szCs w:val="20"/>
              </w:rPr>
              <w:t>EPAGRI</w:t>
            </w:r>
          </w:p>
        </w:tc>
        <w:tc>
          <w:tcPr>
            <w:tcW w:w="1172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0C31">
              <w:rPr>
                <w:rFonts w:ascii="Arial" w:hAnsi="Arial" w:cs="Arial"/>
                <w:b/>
                <w:sz w:val="20"/>
                <w:szCs w:val="20"/>
              </w:rPr>
              <w:t>Laboratório de Química</w:t>
            </w:r>
          </w:p>
        </w:tc>
        <w:tc>
          <w:tcPr>
            <w:tcW w:w="685" w:type="pct"/>
            <w:tcBorders>
              <w:left w:val="nil"/>
              <w:bottom w:val="nil"/>
              <w:right w:val="nil"/>
            </w:tcBorders>
          </w:tcPr>
          <w:p w:rsidR="005E5749" w:rsidRPr="00CB0C31" w:rsidRDefault="005E5749" w:rsidP="00D600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B0C31">
              <w:rPr>
                <w:rFonts w:ascii="Arial" w:hAnsi="Arial" w:cs="Arial"/>
                <w:b/>
                <w:sz w:val="20"/>
                <w:szCs w:val="20"/>
              </w:rPr>
              <w:t>Limpeza Bovino de Leite</w:t>
            </w:r>
            <w:proofErr w:type="gramEnd"/>
          </w:p>
        </w:tc>
      </w:tr>
      <w:tr w:rsidR="005A2EF3" w:rsidRPr="00CB0C31" w:rsidTr="00D600D1">
        <w:trPr>
          <w:trHeight w:val="508"/>
        </w:trPr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5A2EF3" w:rsidRPr="00CB0C31" w:rsidRDefault="005A2EF3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0C31">
              <w:rPr>
                <w:rFonts w:ascii="Arial" w:hAnsi="Arial" w:cs="Arial"/>
                <w:b/>
                <w:sz w:val="20"/>
                <w:szCs w:val="20"/>
              </w:rPr>
              <w:t>Anos</w:t>
            </w:r>
          </w:p>
        </w:tc>
        <w:tc>
          <w:tcPr>
            <w:tcW w:w="445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F3" w:rsidRPr="00CB0C31" w:rsidRDefault="005A2EF3" w:rsidP="005A2E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B0C31">
              <w:rPr>
                <w:rFonts w:ascii="Arial" w:hAnsi="Arial" w:cs="Arial"/>
                <w:b/>
                <w:sz w:val="20"/>
                <w:szCs w:val="20"/>
              </w:rPr>
              <w:t>pH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08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r w:rsidR="00B208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B0C31">
              <w:rPr>
                <w:rFonts w:ascii="Arial" w:hAnsi="Arial" w:cs="Arial"/>
                <w:b/>
                <w:sz w:val="20"/>
                <w:szCs w:val="20"/>
              </w:rPr>
              <w:t>Alcalinidade</w:t>
            </w:r>
            <w:r w:rsidR="002C7E6C">
              <w:rPr>
                <w:rFonts w:ascii="Arial" w:hAnsi="Arial" w:cs="Arial"/>
                <w:b/>
                <w:sz w:val="20"/>
                <w:szCs w:val="20"/>
              </w:rPr>
              <w:t xml:space="preserve"> (mg de CaCO</w:t>
            </w:r>
            <w:r w:rsidR="002C7E6C" w:rsidRPr="002C7E6C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3</w:t>
            </w:r>
            <w:r w:rsidR="002C7E6C">
              <w:rPr>
                <w:rFonts w:ascii="Arial" w:hAnsi="Arial" w:cs="Arial"/>
                <w:b/>
                <w:sz w:val="20"/>
                <w:szCs w:val="20"/>
              </w:rPr>
              <w:t>.L</w:t>
            </w:r>
            <w:r w:rsidR="002C7E6C" w:rsidRPr="002C7E6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-1</w:t>
            </w:r>
            <w:r w:rsidR="002C7E6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A2EF3" w:rsidRPr="00CB0C31" w:rsidRDefault="005A2EF3" w:rsidP="00C70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C7E6C" w:rsidRPr="00CB0C31" w:rsidTr="00D600D1">
        <w:trPr>
          <w:trHeight w:val="508"/>
        </w:trPr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00D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CB0C31">
              <w:rPr>
                <w:rFonts w:ascii="Arial" w:hAnsi="Arial" w:cs="Arial"/>
                <w:sz w:val="20"/>
                <w:szCs w:val="20"/>
              </w:rPr>
              <w:t>121,2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4,6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21,1</w:t>
            </w:r>
          </w:p>
        </w:tc>
        <w:tc>
          <w:tcPr>
            <w:tcW w:w="11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6,5 / </w:t>
            </w:r>
            <w:r w:rsidRPr="00CB0C31">
              <w:rPr>
                <w:rFonts w:ascii="Arial" w:hAnsi="Arial" w:cs="Arial"/>
                <w:sz w:val="20"/>
                <w:szCs w:val="20"/>
              </w:rPr>
              <w:t>124,6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 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5,3 / </w:t>
            </w:r>
            <w:r w:rsidRPr="00CB0C31">
              <w:rPr>
                <w:rFonts w:ascii="Arial" w:hAnsi="Arial" w:cs="Arial"/>
                <w:sz w:val="20"/>
                <w:szCs w:val="20"/>
              </w:rPr>
              <w:t>25,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C7E6C" w:rsidRPr="00CB0C31" w:rsidTr="00D600D1">
        <w:trPr>
          <w:trHeight w:val="479"/>
        </w:trPr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D600D1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D600D1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5,2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33,3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6,5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93,5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6,9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74,3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5,3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16,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7E6C" w:rsidRPr="00CB0C31" w:rsidTr="00D600D1">
        <w:trPr>
          <w:trHeight w:val="508"/>
        </w:trPr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D600D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 100,0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D600D1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CB0C31">
              <w:rPr>
                <w:rFonts w:ascii="Arial" w:hAnsi="Arial" w:cs="Arial"/>
                <w:sz w:val="20"/>
                <w:szCs w:val="20"/>
              </w:rPr>
              <w:t>21,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D600D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D600D1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CB0C31">
              <w:rPr>
                <w:rFonts w:ascii="Arial" w:hAnsi="Arial" w:cs="Arial"/>
                <w:sz w:val="20"/>
                <w:szCs w:val="20"/>
              </w:rPr>
              <w:t>94,4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7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0ADD"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710A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B0C31">
              <w:rPr>
                <w:rFonts w:ascii="Arial" w:hAnsi="Arial" w:cs="Arial"/>
                <w:sz w:val="20"/>
                <w:szCs w:val="20"/>
              </w:rPr>
              <w:t>-</w:t>
            </w:r>
            <w:r w:rsidR="00710ADD"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 w:rsidR="007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CB0C31">
              <w:rPr>
                <w:rFonts w:ascii="Arial" w:hAnsi="Arial" w:cs="Arial"/>
                <w:sz w:val="20"/>
                <w:szCs w:val="20"/>
              </w:rPr>
              <w:t>19,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7E6C" w:rsidRPr="00CB0C31" w:rsidTr="00D600D1">
        <w:trPr>
          <w:trHeight w:val="479"/>
        </w:trPr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</w:t>
            </w:r>
            <w:r>
              <w:rPr>
                <w:rFonts w:ascii="Arial" w:hAnsi="Arial" w:cs="Arial"/>
                <w:sz w:val="20"/>
                <w:szCs w:val="20"/>
              </w:rPr>
              <w:t xml:space="preserve">4 / </w:t>
            </w:r>
            <w:r w:rsidRPr="00CB0C31">
              <w:rPr>
                <w:rFonts w:ascii="Arial" w:hAnsi="Arial" w:cs="Arial"/>
                <w:sz w:val="20"/>
                <w:szCs w:val="20"/>
              </w:rPr>
              <w:t>88,9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5,2 / </w:t>
            </w:r>
            <w:r w:rsidRPr="00CB0C31">
              <w:rPr>
                <w:rFonts w:ascii="Arial" w:hAnsi="Arial" w:cs="Arial"/>
                <w:sz w:val="20"/>
                <w:szCs w:val="20"/>
              </w:rPr>
              <w:t>14,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</w:t>
            </w:r>
            <w:r>
              <w:rPr>
                <w:rFonts w:ascii="Arial" w:hAnsi="Arial" w:cs="Arial"/>
                <w:sz w:val="20"/>
                <w:szCs w:val="20"/>
              </w:rPr>
              <w:t xml:space="preserve">4 / </w:t>
            </w:r>
            <w:r w:rsidRPr="00CB0C31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6,7 / </w:t>
            </w:r>
            <w:r w:rsidRPr="00CB0C31">
              <w:rPr>
                <w:rFonts w:ascii="Arial" w:hAnsi="Arial" w:cs="Arial"/>
                <w:sz w:val="20"/>
                <w:szCs w:val="20"/>
              </w:rPr>
              <w:t>90,8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5,1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CB0C31">
              <w:rPr>
                <w:rFonts w:ascii="Arial" w:hAnsi="Arial" w:cs="Arial"/>
                <w:sz w:val="20"/>
                <w:szCs w:val="20"/>
              </w:rPr>
              <w:t>18,2</w:t>
            </w:r>
          </w:p>
        </w:tc>
      </w:tr>
      <w:tr w:rsidR="002C7E6C" w:rsidRPr="00CB0C31" w:rsidTr="00D600D1">
        <w:trPr>
          <w:trHeight w:val="508"/>
        </w:trPr>
        <w:tc>
          <w:tcPr>
            <w:tcW w:w="547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C70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03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</w:t>
            </w:r>
            <w:r>
              <w:rPr>
                <w:rFonts w:ascii="Arial" w:hAnsi="Arial" w:cs="Arial"/>
                <w:sz w:val="20"/>
                <w:szCs w:val="20"/>
              </w:rPr>
              <w:t xml:space="preserve">4 / </w:t>
            </w:r>
            <w:r w:rsidRPr="00CB0C31">
              <w:rPr>
                <w:rFonts w:ascii="Arial" w:hAnsi="Arial" w:cs="Arial"/>
                <w:sz w:val="20"/>
                <w:szCs w:val="20"/>
              </w:rPr>
              <w:t>91,3</w:t>
            </w:r>
          </w:p>
        </w:tc>
        <w:tc>
          <w:tcPr>
            <w:tcW w:w="756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5,2 / </w:t>
            </w:r>
            <w:r w:rsidRPr="00CB0C31">
              <w:rPr>
                <w:rFonts w:ascii="Arial" w:hAnsi="Arial" w:cs="Arial"/>
                <w:sz w:val="20"/>
                <w:szCs w:val="20"/>
              </w:rPr>
              <w:t>13,6</w:t>
            </w:r>
          </w:p>
        </w:tc>
        <w:tc>
          <w:tcPr>
            <w:tcW w:w="1138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0C31">
              <w:rPr>
                <w:rFonts w:ascii="Arial" w:hAnsi="Arial" w:cs="Arial"/>
                <w:sz w:val="20"/>
                <w:szCs w:val="20"/>
              </w:rPr>
              <w:t>6,</w:t>
            </w:r>
            <w:r>
              <w:rPr>
                <w:rFonts w:ascii="Arial" w:hAnsi="Arial" w:cs="Arial"/>
                <w:sz w:val="20"/>
                <w:szCs w:val="20"/>
              </w:rPr>
              <w:t xml:space="preserve">7 / </w:t>
            </w:r>
            <w:r w:rsidRPr="00CB0C31">
              <w:rPr>
                <w:rFonts w:ascii="Arial" w:hAnsi="Arial" w:cs="Arial"/>
                <w:sz w:val="20"/>
                <w:szCs w:val="20"/>
              </w:rPr>
              <w:t>98,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72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6,6 / </w:t>
            </w:r>
            <w:r w:rsidRPr="00CB0C31">
              <w:rPr>
                <w:rFonts w:ascii="Arial" w:hAnsi="Arial" w:cs="Arial"/>
                <w:sz w:val="20"/>
                <w:szCs w:val="20"/>
              </w:rPr>
              <w:t>92,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</w:tcPr>
          <w:p w:rsidR="002C7E6C" w:rsidRPr="00CB0C31" w:rsidRDefault="002C7E6C" w:rsidP="00D600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5,3 / </w:t>
            </w:r>
            <w:r w:rsidRPr="00CB0C31">
              <w:rPr>
                <w:rFonts w:ascii="Arial" w:hAnsi="Arial" w:cs="Arial"/>
                <w:sz w:val="20"/>
                <w:szCs w:val="20"/>
              </w:rPr>
              <w:t>15,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8D7B1C" w:rsidRDefault="008D7B1C" w:rsidP="008D7B1C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8D7B1C">
        <w:rPr>
          <w:rFonts w:ascii="Arial" w:hAnsi="Arial" w:cs="Arial"/>
          <w:sz w:val="20"/>
          <w:szCs w:val="20"/>
        </w:rPr>
        <w:t xml:space="preserve">Fonte: </w:t>
      </w:r>
      <w:r w:rsidR="00A11103">
        <w:rPr>
          <w:rFonts w:ascii="Arial" w:hAnsi="Arial" w:cs="Arial"/>
          <w:sz w:val="20"/>
          <w:szCs w:val="20"/>
        </w:rPr>
        <w:t xml:space="preserve">GUBERTT </w:t>
      </w:r>
      <w:proofErr w:type="gramStart"/>
      <w:r w:rsidR="00A11103">
        <w:rPr>
          <w:rFonts w:ascii="Arial" w:hAnsi="Arial" w:cs="Arial"/>
          <w:sz w:val="20"/>
          <w:szCs w:val="20"/>
        </w:rPr>
        <w:t>et</w:t>
      </w:r>
      <w:proofErr w:type="gramEnd"/>
      <w:r w:rsidR="00A11103">
        <w:rPr>
          <w:rFonts w:ascii="Arial" w:hAnsi="Arial" w:cs="Arial"/>
          <w:sz w:val="20"/>
          <w:szCs w:val="20"/>
        </w:rPr>
        <w:t xml:space="preserve"> al, 2014; SANTOS et al, 2015; SILVA et al, 2014; RAMILIO et al, 2015; FUNES et al, 2016;</w:t>
      </w:r>
      <w:r w:rsidR="00F1678D">
        <w:rPr>
          <w:rFonts w:ascii="Arial" w:hAnsi="Arial" w:cs="Arial"/>
          <w:sz w:val="20"/>
          <w:szCs w:val="20"/>
        </w:rPr>
        <w:t xml:space="preserve"> Próprio, 2017</w:t>
      </w:r>
      <w:r w:rsidR="00A11103">
        <w:rPr>
          <w:rFonts w:ascii="Arial" w:hAnsi="Arial" w:cs="Arial"/>
          <w:sz w:val="20"/>
          <w:szCs w:val="20"/>
        </w:rPr>
        <w:t>.</w:t>
      </w:r>
    </w:p>
    <w:p w:rsidR="00B47C74" w:rsidRPr="008D7B1C" w:rsidRDefault="00B47C74" w:rsidP="008D7B1C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A2DEA" w:rsidRDefault="00FD3D76" w:rsidP="000A2DEA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v</w:t>
      </w:r>
      <w:r w:rsidR="000A2DEA">
        <w:rPr>
          <w:rFonts w:ascii="Arial" w:hAnsi="Arial" w:cs="Arial"/>
          <w:sz w:val="24"/>
          <w:szCs w:val="24"/>
        </w:rPr>
        <w:t xml:space="preserve">alores de </w:t>
      </w:r>
      <w:proofErr w:type="gramStart"/>
      <w:r w:rsidR="000A2DEA">
        <w:rPr>
          <w:rFonts w:ascii="Arial" w:hAnsi="Arial" w:cs="Arial"/>
          <w:sz w:val="24"/>
          <w:szCs w:val="24"/>
        </w:rPr>
        <w:t>pH</w:t>
      </w:r>
      <w:proofErr w:type="gramEnd"/>
      <w:r w:rsidR="000A2DEA">
        <w:rPr>
          <w:rFonts w:ascii="Arial" w:hAnsi="Arial" w:cs="Arial"/>
          <w:sz w:val="24"/>
          <w:szCs w:val="24"/>
        </w:rPr>
        <w:t xml:space="preserve"> e alcalinidade não</w:t>
      </w:r>
      <w:r>
        <w:rPr>
          <w:rFonts w:ascii="Arial" w:hAnsi="Arial" w:cs="Arial"/>
          <w:sz w:val="24"/>
          <w:szCs w:val="24"/>
        </w:rPr>
        <w:t xml:space="preserve"> foram</w:t>
      </w:r>
      <w:r w:rsidR="000A2DEA">
        <w:rPr>
          <w:rFonts w:ascii="Arial" w:hAnsi="Arial" w:cs="Arial"/>
          <w:sz w:val="24"/>
          <w:szCs w:val="24"/>
        </w:rPr>
        <w:t xml:space="preserve"> expressos em determinado ano ou ponto de coleta</w:t>
      </w:r>
      <w:r>
        <w:rPr>
          <w:rFonts w:ascii="Arial" w:hAnsi="Arial" w:cs="Arial"/>
          <w:sz w:val="24"/>
          <w:szCs w:val="24"/>
        </w:rPr>
        <w:t xml:space="preserve"> devido </w:t>
      </w:r>
      <w:r w:rsidR="000A2DEA">
        <w:rPr>
          <w:rFonts w:ascii="Arial" w:hAnsi="Arial" w:cs="Arial"/>
          <w:sz w:val="24"/>
          <w:szCs w:val="24"/>
        </w:rPr>
        <w:t>à falta de análises realizadas relacionadas aos parâmetros de pH e alcalinidade no vigente ano de Projeto Ambiental: Análises químicas.</w:t>
      </w:r>
    </w:p>
    <w:p w:rsidR="000A2DEA" w:rsidRDefault="000A2DEA" w:rsidP="000A2DEA">
      <w:pPr>
        <w:pStyle w:val="PargrafodaLista"/>
        <w:spacing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comparar os resultados referentes ao </w:t>
      </w:r>
      <w:proofErr w:type="gramStart"/>
      <w:r>
        <w:rPr>
          <w:rFonts w:ascii="Arial" w:hAnsi="Arial" w:cs="Arial"/>
          <w:sz w:val="24"/>
          <w:szCs w:val="24"/>
        </w:rPr>
        <w:t>pH</w:t>
      </w:r>
      <w:proofErr w:type="gramEnd"/>
      <w:r>
        <w:rPr>
          <w:rFonts w:ascii="Arial" w:hAnsi="Arial" w:cs="Arial"/>
          <w:sz w:val="24"/>
          <w:szCs w:val="24"/>
        </w:rPr>
        <w:t>, é perceptível oscilações</w:t>
      </w:r>
      <w:r w:rsidR="00FD3D76">
        <w:rPr>
          <w:rFonts w:ascii="Arial" w:hAnsi="Arial" w:cs="Arial"/>
          <w:sz w:val="24"/>
          <w:szCs w:val="24"/>
        </w:rPr>
        <w:t xml:space="preserve"> mínimas</w:t>
      </w:r>
      <w:r>
        <w:rPr>
          <w:rFonts w:ascii="Arial" w:hAnsi="Arial" w:cs="Arial"/>
          <w:sz w:val="24"/>
          <w:szCs w:val="24"/>
        </w:rPr>
        <w:t xml:space="preserve"> dos valores obtidos desde o início das análises,</w:t>
      </w:r>
      <w:r w:rsidR="00FD3D76">
        <w:rPr>
          <w:rFonts w:ascii="Arial" w:hAnsi="Arial" w:cs="Arial"/>
          <w:sz w:val="24"/>
          <w:szCs w:val="24"/>
        </w:rPr>
        <w:t xml:space="preserve"> e, principalmente,</w:t>
      </w:r>
      <w:r>
        <w:rPr>
          <w:rFonts w:ascii="Arial" w:hAnsi="Arial" w:cs="Arial"/>
          <w:sz w:val="24"/>
          <w:szCs w:val="24"/>
        </w:rPr>
        <w:t xml:space="preserve"> que</w:t>
      </w:r>
      <w:r w:rsidR="00FD3D76">
        <w:rPr>
          <w:rFonts w:ascii="Arial" w:hAnsi="Arial" w:cs="Arial"/>
          <w:sz w:val="24"/>
          <w:szCs w:val="24"/>
        </w:rPr>
        <w:t xml:space="preserve"> as análises das amostras do</w:t>
      </w:r>
      <w:r>
        <w:rPr>
          <w:rFonts w:ascii="Arial" w:hAnsi="Arial" w:cs="Arial"/>
          <w:sz w:val="24"/>
          <w:szCs w:val="24"/>
        </w:rPr>
        <w:t xml:space="preserve">s pontos de </w:t>
      </w:r>
      <w:proofErr w:type="spellStart"/>
      <w:r>
        <w:rPr>
          <w:rFonts w:ascii="Arial" w:hAnsi="Arial" w:cs="Arial"/>
          <w:sz w:val="24"/>
          <w:szCs w:val="24"/>
        </w:rPr>
        <w:t>dessedentação</w:t>
      </w:r>
      <w:proofErr w:type="spellEnd"/>
      <w:r>
        <w:rPr>
          <w:rFonts w:ascii="Arial" w:hAnsi="Arial" w:cs="Arial"/>
          <w:sz w:val="24"/>
          <w:szCs w:val="24"/>
        </w:rPr>
        <w:t xml:space="preserve"> e limpeza do Bovino de leite </w:t>
      </w:r>
      <w:r>
        <w:rPr>
          <w:rFonts w:ascii="Arial" w:hAnsi="Arial" w:cs="Arial"/>
          <w:sz w:val="24"/>
          <w:szCs w:val="24"/>
        </w:rPr>
        <w:lastRenderedPageBreak/>
        <w:t>sempre obtiveram resultados</w:t>
      </w:r>
      <w:r w:rsidR="000C4FBA">
        <w:rPr>
          <w:rFonts w:ascii="Arial" w:hAnsi="Arial" w:cs="Arial"/>
          <w:sz w:val="24"/>
          <w:szCs w:val="24"/>
        </w:rPr>
        <w:t xml:space="preserve"> </w:t>
      </w:r>
      <w:r w:rsidR="00FD3D76">
        <w:rPr>
          <w:rFonts w:ascii="Arial" w:hAnsi="Arial" w:cs="Arial"/>
          <w:sz w:val="24"/>
          <w:szCs w:val="24"/>
        </w:rPr>
        <w:t>de pH</w:t>
      </w:r>
      <w:r>
        <w:rPr>
          <w:rFonts w:ascii="Arial" w:hAnsi="Arial" w:cs="Arial"/>
          <w:sz w:val="24"/>
          <w:szCs w:val="24"/>
        </w:rPr>
        <w:t xml:space="preserve"> abaixo</w:t>
      </w:r>
      <w:r w:rsidR="00997429">
        <w:rPr>
          <w:rFonts w:ascii="Arial" w:hAnsi="Arial" w:cs="Arial"/>
          <w:sz w:val="24"/>
          <w:szCs w:val="24"/>
        </w:rPr>
        <w:t xml:space="preserve"> de 6,0, ambos os pontos encontram-se em inconformidade com a Portaria 2.914.</w:t>
      </w:r>
    </w:p>
    <w:p w:rsidR="000A2DEA" w:rsidRPr="00B47C74" w:rsidRDefault="000C4FBA" w:rsidP="00B47C74">
      <w:pPr>
        <w:pStyle w:val="PargrafodaLista"/>
        <w:spacing w:after="0" w:line="360" w:lineRule="auto"/>
        <w:ind w:left="0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0A2DEA">
        <w:rPr>
          <w:rFonts w:ascii="Arial" w:hAnsi="Arial" w:cs="Arial"/>
          <w:sz w:val="24"/>
          <w:szCs w:val="24"/>
        </w:rPr>
        <w:t xml:space="preserve"> comparações do parâmetro de alcalinidade</w:t>
      </w:r>
      <w:r w:rsidR="003052AE">
        <w:rPr>
          <w:rFonts w:ascii="Arial" w:hAnsi="Arial" w:cs="Arial"/>
          <w:sz w:val="24"/>
          <w:szCs w:val="24"/>
        </w:rPr>
        <w:t xml:space="preserve"> indicam o</w:t>
      </w:r>
      <w:r w:rsidR="000A2DEA">
        <w:rPr>
          <w:rFonts w:ascii="Arial" w:hAnsi="Arial" w:cs="Arial"/>
          <w:sz w:val="24"/>
          <w:szCs w:val="24"/>
        </w:rPr>
        <w:t xml:space="preserve">scilações </w:t>
      </w:r>
      <w:r w:rsidR="003052AE">
        <w:rPr>
          <w:rFonts w:ascii="Arial" w:hAnsi="Arial" w:cs="Arial"/>
          <w:sz w:val="24"/>
          <w:szCs w:val="24"/>
        </w:rPr>
        <w:t xml:space="preserve">mínimas dos resultados e </w:t>
      </w:r>
      <w:r w:rsidR="003052AE">
        <w:rPr>
          <w:rFonts w:ascii="Arial" w:hAnsi="Arial" w:cs="Arial"/>
          <w:sz w:val="24"/>
          <w:szCs w:val="24"/>
        </w:rPr>
        <w:t xml:space="preserve">pequenas diminuições dos valores de 2013 </w:t>
      </w:r>
      <w:r w:rsidR="003052AE" w:rsidRPr="00B47C74">
        <w:rPr>
          <w:rFonts w:ascii="Arial" w:hAnsi="Arial" w:cs="Arial"/>
          <w:sz w:val="24"/>
          <w:szCs w:val="24"/>
        </w:rPr>
        <w:t>para 2017</w:t>
      </w:r>
      <w:r w:rsidR="003052AE">
        <w:rPr>
          <w:rFonts w:ascii="Arial" w:hAnsi="Arial" w:cs="Arial"/>
          <w:sz w:val="24"/>
          <w:szCs w:val="24"/>
        </w:rPr>
        <w:t>.</w:t>
      </w:r>
    </w:p>
    <w:p w:rsidR="003A5676" w:rsidRPr="00B47C74" w:rsidRDefault="003A5676" w:rsidP="00B47C7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B47C74" w:rsidRDefault="003A5676" w:rsidP="00B47C7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B47C74" w:rsidRDefault="00CC1BC6" w:rsidP="00B47C7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B47C74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Pr="00B47C74" w:rsidRDefault="003A5676" w:rsidP="00B47C7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B50E28" w:rsidRDefault="00B50E28" w:rsidP="00BC6EA7">
      <w:pPr>
        <w:autoSpaceDE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análises </w:t>
      </w:r>
      <w:r w:rsidRPr="0004701B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04701B">
        <w:rPr>
          <w:rFonts w:ascii="Arial" w:hAnsi="Arial" w:cs="Arial"/>
          <w:sz w:val="24"/>
          <w:szCs w:val="24"/>
        </w:rPr>
        <w:t>pH</w:t>
      </w:r>
      <w:proofErr w:type="gramEnd"/>
      <w:r w:rsidRPr="0004701B">
        <w:rPr>
          <w:rFonts w:ascii="Arial" w:hAnsi="Arial" w:cs="Arial"/>
          <w:sz w:val="24"/>
          <w:szCs w:val="24"/>
        </w:rPr>
        <w:t xml:space="preserve"> e alcalinidade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997429">
        <w:rPr>
          <w:rFonts w:ascii="Arial" w:hAnsi="Arial" w:cs="Arial"/>
          <w:sz w:val="24"/>
          <w:szCs w:val="24"/>
        </w:rPr>
        <w:t>as águas subterrâneas do Instituto Federal Catarinense -</w:t>
      </w:r>
      <w:r w:rsidR="006D5A35">
        <w:rPr>
          <w:rFonts w:ascii="Arial" w:hAnsi="Arial" w:cs="Arial"/>
          <w:sz w:val="24"/>
          <w:szCs w:val="24"/>
        </w:rPr>
        <w:t xml:space="preserve"> </w:t>
      </w:r>
      <w:r w:rsidR="00997429">
        <w:rPr>
          <w:rFonts w:ascii="Arial" w:hAnsi="Arial" w:cs="Arial"/>
          <w:sz w:val="24"/>
          <w:szCs w:val="24"/>
        </w:rPr>
        <w:t>Campus Camboriú</w:t>
      </w:r>
      <w:r>
        <w:rPr>
          <w:rFonts w:ascii="Arial" w:hAnsi="Arial" w:cs="Arial"/>
          <w:sz w:val="24"/>
          <w:szCs w:val="24"/>
        </w:rPr>
        <w:t xml:space="preserve"> foram realizadas e </w:t>
      </w:r>
      <w:r>
        <w:rPr>
          <w:rFonts w:ascii="Arial" w:hAnsi="Arial" w:cs="Arial"/>
          <w:sz w:val="24"/>
          <w:szCs w:val="24"/>
        </w:rPr>
        <w:t>comparadas</w:t>
      </w:r>
      <w:r w:rsidRPr="0004701B">
        <w:rPr>
          <w:rFonts w:ascii="Arial" w:hAnsi="Arial" w:cs="Arial"/>
          <w:sz w:val="24"/>
          <w:szCs w:val="24"/>
        </w:rPr>
        <w:t xml:space="preserve"> com a legislação vigente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Portaria 2.914/2011 do Ministério da Saúde</w:t>
      </w:r>
      <w:r>
        <w:rPr>
          <w:rFonts w:ascii="Arial" w:hAnsi="Arial" w:cs="Arial"/>
          <w:sz w:val="24"/>
          <w:szCs w:val="24"/>
        </w:rPr>
        <w:t>,</w:t>
      </w:r>
      <w:r w:rsidRPr="0004701B">
        <w:rPr>
          <w:rFonts w:ascii="Arial" w:hAnsi="Arial" w:cs="Arial"/>
          <w:sz w:val="24"/>
          <w:szCs w:val="24"/>
        </w:rPr>
        <w:t xml:space="preserve"> e pesquisas </w:t>
      </w:r>
      <w:r>
        <w:rPr>
          <w:rFonts w:ascii="Arial" w:hAnsi="Arial" w:cs="Arial"/>
          <w:sz w:val="24"/>
          <w:szCs w:val="24"/>
        </w:rPr>
        <w:t xml:space="preserve">anteriores </w:t>
      </w:r>
      <w:r w:rsidRPr="0004701B">
        <w:rPr>
          <w:rFonts w:ascii="Arial" w:hAnsi="Arial" w:cs="Arial"/>
          <w:sz w:val="24"/>
          <w:szCs w:val="24"/>
        </w:rPr>
        <w:t>do Projeto Ambiental: Análises Químicas</w:t>
      </w:r>
      <w:r>
        <w:rPr>
          <w:rFonts w:ascii="Arial" w:hAnsi="Arial" w:cs="Arial"/>
          <w:sz w:val="24"/>
          <w:szCs w:val="24"/>
        </w:rPr>
        <w:t>.</w:t>
      </w:r>
      <w:r w:rsidR="00997429">
        <w:rPr>
          <w:rFonts w:ascii="Arial" w:hAnsi="Arial" w:cs="Arial"/>
          <w:sz w:val="24"/>
          <w:szCs w:val="24"/>
        </w:rPr>
        <w:t xml:space="preserve"> </w:t>
      </w:r>
    </w:p>
    <w:p w:rsidR="00141D8F" w:rsidRDefault="00141D8F" w:rsidP="00141D8F">
      <w:pPr>
        <w:autoSpaceDE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análises de</w:t>
      </w:r>
      <w:r w:rsidRPr="000470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alcalinidade variaram entre 13,6 e 98,8 </w:t>
      </w:r>
      <w:proofErr w:type="gramStart"/>
      <w:r>
        <w:rPr>
          <w:rFonts w:ascii="Arial" w:hAnsi="Arial" w:cs="Arial"/>
          <w:sz w:val="24"/>
          <w:szCs w:val="24"/>
        </w:rPr>
        <w:t>mg</w:t>
      </w:r>
      <w:proofErr w:type="gramEnd"/>
      <w:r>
        <w:rPr>
          <w:rFonts w:ascii="Arial" w:hAnsi="Arial" w:cs="Arial"/>
          <w:sz w:val="24"/>
          <w:szCs w:val="24"/>
        </w:rPr>
        <w:t xml:space="preserve"> de CaCO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.L</w:t>
      </w:r>
      <w:r w:rsidRPr="00A22D24">
        <w:rPr>
          <w:rFonts w:ascii="Arial" w:hAnsi="Arial" w:cs="Arial"/>
          <w:sz w:val="24"/>
          <w:szCs w:val="24"/>
          <w:vertAlign w:val="superscript"/>
        </w:rPr>
        <w:t>-1</w:t>
      </w:r>
      <w:r w:rsidRPr="00141D8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estes resultados apresentaram-se consistentes como os valores obtidos em análises realizadas em anos anteriores.</w:t>
      </w:r>
    </w:p>
    <w:p w:rsidR="00B50E28" w:rsidRDefault="00B50E28" w:rsidP="00B50E28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Os resultados obtidos n</w:t>
      </w:r>
      <w:r>
        <w:rPr>
          <w:rFonts w:ascii="Arial" w:hAnsi="Arial" w:cs="Arial"/>
          <w:sz w:val="24"/>
          <w:szCs w:val="24"/>
        </w:rPr>
        <w:t xml:space="preserve">as análises de </w:t>
      </w:r>
      <w:proofErr w:type="gramStart"/>
      <w:r>
        <w:rPr>
          <w:rFonts w:ascii="Arial" w:hAnsi="Arial" w:cs="Arial"/>
          <w:sz w:val="24"/>
          <w:szCs w:val="24"/>
        </w:rPr>
        <w:t>pH</w:t>
      </w:r>
      <w:proofErr w:type="gramEnd"/>
      <w:r>
        <w:rPr>
          <w:rFonts w:ascii="Arial" w:hAnsi="Arial" w:cs="Arial"/>
          <w:sz w:val="24"/>
          <w:szCs w:val="24"/>
        </w:rPr>
        <w:t xml:space="preserve"> indicaram valores entre 5,2 e 6,7</w:t>
      </w:r>
      <w:r w:rsidR="00141D8F">
        <w:rPr>
          <w:rFonts w:ascii="Arial" w:hAnsi="Arial" w:cs="Arial"/>
          <w:sz w:val="24"/>
          <w:szCs w:val="24"/>
        </w:rPr>
        <w:t>. A</w:t>
      </w:r>
      <w:r w:rsidRPr="0004701B">
        <w:rPr>
          <w:rFonts w:ascii="Arial" w:hAnsi="Arial" w:cs="Arial"/>
          <w:sz w:val="24"/>
          <w:szCs w:val="24"/>
        </w:rPr>
        <w:t xml:space="preserve"> ocorrência de </w:t>
      </w:r>
      <w:r>
        <w:rPr>
          <w:rFonts w:ascii="Arial" w:hAnsi="Arial" w:cs="Arial"/>
          <w:sz w:val="24"/>
          <w:szCs w:val="24"/>
        </w:rPr>
        <w:t xml:space="preserve">valores de </w:t>
      </w:r>
      <w:proofErr w:type="gramStart"/>
      <w:r>
        <w:rPr>
          <w:rFonts w:ascii="Arial" w:hAnsi="Arial" w:cs="Arial"/>
          <w:sz w:val="24"/>
          <w:szCs w:val="24"/>
        </w:rPr>
        <w:t>pH</w:t>
      </w:r>
      <w:proofErr w:type="gramEnd"/>
      <w:r>
        <w:rPr>
          <w:rFonts w:ascii="Arial" w:hAnsi="Arial" w:cs="Arial"/>
          <w:sz w:val="24"/>
          <w:szCs w:val="24"/>
        </w:rPr>
        <w:t xml:space="preserve"> inferiores ao limite indicado pela legislação e constatação de recorrê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ncia destas </w:t>
      </w:r>
      <w:r w:rsidRPr="0004701B">
        <w:rPr>
          <w:rFonts w:ascii="Arial" w:hAnsi="Arial" w:cs="Arial"/>
          <w:sz w:val="24"/>
          <w:szCs w:val="24"/>
        </w:rPr>
        <w:t>inconf</w:t>
      </w:r>
      <w:r>
        <w:rPr>
          <w:rFonts w:ascii="Arial" w:hAnsi="Arial" w:cs="Arial"/>
          <w:sz w:val="24"/>
          <w:szCs w:val="24"/>
        </w:rPr>
        <w:t xml:space="preserve">ormidades nas análises de pH nas pesquisas realizadas em anos anteriores, torna-se </w:t>
      </w:r>
      <w:r w:rsidRPr="0004701B">
        <w:rPr>
          <w:rFonts w:ascii="Arial" w:hAnsi="Arial" w:cs="Arial"/>
          <w:sz w:val="24"/>
          <w:szCs w:val="24"/>
        </w:rPr>
        <w:t xml:space="preserve">necessário o </w:t>
      </w:r>
      <w:r w:rsidRPr="005F731B">
        <w:rPr>
          <w:rFonts w:ascii="Arial" w:hAnsi="Arial" w:cs="Arial"/>
          <w:sz w:val="24"/>
          <w:szCs w:val="24"/>
        </w:rPr>
        <w:t>frequente monitoramento das águas.</w:t>
      </w:r>
    </w:p>
    <w:p w:rsidR="003A5676" w:rsidRPr="00B47C74" w:rsidRDefault="003A5676" w:rsidP="00BC6EA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B47C74" w:rsidRDefault="003A5676" w:rsidP="00BC6EA7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A5676" w:rsidRPr="00B47C74" w:rsidRDefault="00CC1BC6" w:rsidP="00B47C74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B47C74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45F21" w:rsidRPr="00745F21" w:rsidRDefault="00745F21" w:rsidP="00B47C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F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BRASIL. </w:t>
      </w:r>
      <w:r w:rsidRPr="00745F2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Portaria nº 2914</w:t>
      </w:r>
      <w:r w:rsidRPr="00745F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de 12 de dezembro de 2011. Dispõe sobre os procedimentos de controle e de vigilância da qualidade da água para consumo human</w:t>
      </w:r>
      <w:r w:rsidR="005817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 e seu padrão de potabilidade</w:t>
      </w:r>
      <w:r w:rsidRPr="00745F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Brasília, DF, 12 dez. 2011. Disponível em: &lt;http://bvsms.saude.gov.br/bvs/saudelegis/gm/2011/prt2914_12_12_2011.html&gt;. Acesso em: 05 set. 2018.</w:t>
      </w:r>
    </w:p>
    <w:p w:rsidR="003A5676" w:rsidRDefault="00CC1BC6" w:rsidP="00745F21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.</w:t>
      </w:r>
    </w:p>
    <w:p w:rsidR="00F477EE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FUNES, Gautama </w:t>
      </w:r>
      <w:proofErr w:type="spellStart"/>
      <w:r>
        <w:rPr>
          <w:rFonts w:ascii="Arial" w:hAnsi="Arial" w:cs="Arial"/>
          <w:sz w:val="24"/>
          <w:szCs w:val="24"/>
        </w:rPr>
        <w:t>Moglié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al. </w:t>
      </w:r>
      <w:r w:rsidRPr="005E5749">
        <w:rPr>
          <w:rFonts w:ascii="Arial" w:hAnsi="Arial" w:cs="Arial"/>
          <w:b/>
          <w:sz w:val="24"/>
          <w:szCs w:val="24"/>
        </w:rPr>
        <w:t>Monitoramento da alcalinidade das águas subterrâneas do</w:t>
      </w:r>
      <w:r w:rsidR="005E5749">
        <w:rPr>
          <w:rFonts w:ascii="Arial" w:hAnsi="Arial" w:cs="Arial"/>
          <w:b/>
          <w:sz w:val="24"/>
          <w:szCs w:val="24"/>
        </w:rPr>
        <w:t xml:space="preserve"> IFC-CC</w:t>
      </w:r>
      <w:r>
        <w:rPr>
          <w:rFonts w:ascii="Arial" w:hAnsi="Arial" w:cs="Arial"/>
          <w:sz w:val="24"/>
          <w:szCs w:val="24"/>
        </w:rPr>
        <w:t xml:space="preserve">. In: FEIRA DE INICIAÇÃO CIENTÍFICA E EXTENSÃO, 7, 2016, Camboriú. Resumo expandido. Camboriú: Instituto de Educação, Ciência e Tecnologia Catarinense – Campus Camboriú, 2016. </w:t>
      </w:r>
      <w:proofErr w:type="gramStart"/>
      <w:r>
        <w:rPr>
          <w:rFonts w:ascii="Arial" w:hAnsi="Arial" w:cs="Arial"/>
          <w:sz w:val="24"/>
          <w:szCs w:val="24"/>
        </w:rPr>
        <w:t>p.</w:t>
      </w:r>
      <w:proofErr w:type="gramEnd"/>
      <w:r>
        <w:rPr>
          <w:rFonts w:ascii="Arial" w:hAnsi="Arial" w:cs="Arial"/>
          <w:sz w:val="24"/>
          <w:szCs w:val="24"/>
        </w:rPr>
        <w:t xml:space="preserve"> 1 – 6.</w:t>
      </w:r>
    </w:p>
    <w:p w:rsidR="006478AA" w:rsidRDefault="006478AA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478AA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GUBERTT, Letícia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al. </w:t>
      </w:r>
      <w:r w:rsidRPr="005E5749">
        <w:rPr>
          <w:rFonts w:ascii="Arial" w:hAnsi="Arial" w:cs="Arial"/>
          <w:b/>
          <w:sz w:val="24"/>
          <w:szCs w:val="24"/>
        </w:rPr>
        <w:t>Análise do pH de amostras de águas subterrâneas do</w:t>
      </w:r>
      <w:r w:rsidR="005E5749">
        <w:rPr>
          <w:rFonts w:ascii="Arial" w:hAnsi="Arial" w:cs="Arial"/>
          <w:b/>
          <w:sz w:val="24"/>
          <w:szCs w:val="24"/>
        </w:rPr>
        <w:t xml:space="preserve"> IFC-CC</w:t>
      </w:r>
      <w:r>
        <w:rPr>
          <w:rFonts w:ascii="Arial" w:hAnsi="Arial" w:cs="Arial"/>
          <w:sz w:val="24"/>
          <w:szCs w:val="24"/>
        </w:rPr>
        <w:t xml:space="preserve">. 2014. In: FEIRA DE INICIAÇÃO CIENTÍFICA E EXTENSÃO, 5, 2014, Camboriú. Resumo expandido. Camboriú: Instituto de Educação, Ciência e Tecnologia Catarinense – Campus Camboriú, 2014. </w:t>
      </w:r>
      <w:proofErr w:type="gramStart"/>
      <w:r>
        <w:rPr>
          <w:rFonts w:ascii="Arial" w:hAnsi="Arial" w:cs="Arial"/>
          <w:sz w:val="24"/>
          <w:szCs w:val="24"/>
        </w:rPr>
        <w:t>p.</w:t>
      </w:r>
      <w:proofErr w:type="gramEnd"/>
      <w:r>
        <w:rPr>
          <w:rFonts w:ascii="Arial" w:hAnsi="Arial" w:cs="Arial"/>
          <w:sz w:val="24"/>
          <w:szCs w:val="24"/>
        </w:rPr>
        <w:t xml:space="preserve"> 1 – 6.</w:t>
      </w:r>
    </w:p>
    <w:p w:rsidR="005E5749" w:rsidRDefault="005E5749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91415">
        <w:rPr>
          <w:rFonts w:ascii="Arial" w:hAnsi="Arial" w:cs="Arial"/>
          <w:color w:val="222222"/>
          <w:sz w:val="24"/>
          <w:szCs w:val="24"/>
          <w:shd w:val="clear" w:color="auto" w:fill="FFFFFF"/>
        </w:rPr>
        <w:t>LIRA, Osman de Oliveira. </w:t>
      </w:r>
      <w:r w:rsidRPr="00691415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Manual de Controle da Qualidade da Água para Técnicos que Trabalham em ETAS. </w:t>
      </w:r>
      <w:r w:rsidRPr="006914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2015. Disponível em: </w:t>
      </w:r>
      <w:r w:rsidRPr="0069141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&lt;http://www.funasa.gov.br/site/wp-content/files_mf/manualcont_quali_agua_tecnicos_trab_emetas.pdf&gt;. Acesso em: 05 ago. 2018.</w:t>
      </w:r>
    </w:p>
    <w:p w:rsid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477EE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MAÇANEIRO, Amanda </w:t>
      </w:r>
      <w:proofErr w:type="spellStart"/>
      <w:r>
        <w:rPr>
          <w:rFonts w:ascii="Arial" w:hAnsi="Arial" w:cs="Arial"/>
          <w:sz w:val="24"/>
          <w:szCs w:val="24"/>
        </w:rPr>
        <w:t>Henn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al. </w:t>
      </w:r>
      <w:r w:rsidR="005E5749" w:rsidRPr="005E5749">
        <w:rPr>
          <w:rFonts w:ascii="Arial" w:hAnsi="Arial" w:cs="Arial"/>
          <w:b/>
          <w:sz w:val="24"/>
          <w:szCs w:val="24"/>
        </w:rPr>
        <w:t>Análises físico-químicas das águas subterrâneas do</w:t>
      </w:r>
      <w:r w:rsidR="005E5749">
        <w:rPr>
          <w:rFonts w:ascii="Arial" w:hAnsi="Arial" w:cs="Arial"/>
          <w:b/>
          <w:sz w:val="24"/>
          <w:szCs w:val="24"/>
        </w:rPr>
        <w:t xml:space="preserve"> IFC-CC</w:t>
      </w:r>
      <w:r>
        <w:rPr>
          <w:rFonts w:ascii="Arial" w:hAnsi="Arial" w:cs="Arial"/>
          <w:sz w:val="24"/>
          <w:szCs w:val="24"/>
        </w:rPr>
        <w:t>.</w:t>
      </w:r>
      <w:r w:rsidRPr="004365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In: FEIRA DE INICIAÇÃO CIENTÍFICA E EXTENSÃO, 8, 2017, Camboriú. Resumo expandido. Camboriú: Instituto de Educação, Ciência e Tecnologia Catarinense – Campus Camboriú, 2017. </w:t>
      </w:r>
      <w:proofErr w:type="gramStart"/>
      <w:r>
        <w:rPr>
          <w:rFonts w:ascii="Arial" w:hAnsi="Arial" w:cs="Arial"/>
          <w:sz w:val="24"/>
          <w:szCs w:val="24"/>
        </w:rPr>
        <w:t>p.</w:t>
      </w:r>
      <w:proofErr w:type="gramEnd"/>
      <w:r>
        <w:rPr>
          <w:rFonts w:ascii="Arial" w:hAnsi="Arial" w:cs="Arial"/>
          <w:sz w:val="24"/>
          <w:szCs w:val="24"/>
        </w:rPr>
        <w:t xml:space="preserve"> 1 – 6.</w:t>
      </w:r>
    </w:p>
    <w:p w:rsidR="006478AA" w:rsidRPr="006478AA" w:rsidRDefault="006478AA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RAMILIO, </w:t>
      </w:r>
      <w:proofErr w:type="spellStart"/>
      <w:r>
        <w:rPr>
          <w:rFonts w:ascii="Arial" w:hAnsi="Arial" w:cs="Arial"/>
          <w:sz w:val="24"/>
          <w:szCs w:val="24"/>
        </w:rPr>
        <w:t>Naiane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al. </w:t>
      </w:r>
      <w:r w:rsidRPr="005E5749">
        <w:rPr>
          <w:rFonts w:ascii="Arial" w:hAnsi="Arial" w:cs="Arial"/>
          <w:b/>
          <w:sz w:val="24"/>
          <w:szCs w:val="24"/>
        </w:rPr>
        <w:t>Análise de alcalinidade das águas subterrâneas do</w:t>
      </w:r>
      <w:r>
        <w:rPr>
          <w:rFonts w:ascii="Arial" w:hAnsi="Arial" w:cs="Arial"/>
          <w:b/>
          <w:sz w:val="24"/>
          <w:szCs w:val="24"/>
        </w:rPr>
        <w:t xml:space="preserve"> IFC-CC</w:t>
      </w:r>
      <w:r>
        <w:rPr>
          <w:rFonts w:ascii="Arial" w:hAnsi="Arial" w:cs="Arial"/>
          <w:sz w:val="24"/>
          <w:szCs w:val="24"/>
        </w:rPr>
        <w:t xml:space="preserve">. 2015. In: FEIRA DE INICIAÇÃO CIENTÍFICA E EXTENSÃO, 6, 2015, Camboriú. Resumo expandido. Camboriú: Instituto de Educação, Ciência e Tecnologia Catarinense – Campus Camboriú, 2015. </w:t>
      </w:r>
      <w:proofErr w:type="gramStart"/>
      <w:r>
        <w:rPr>
          <w:rFonts w:ascii="Arial" w:hAnsi="Arial" w:cs="Arial"/>
          <w:sz w:val="24"/>
          <w:szCs w:val="24"/>
        </w:rPr>
        <w:t>p.</w:t>
      </w:r>
      <w:proofErr w:type="gramEnd"/>
      <w:r>
        <w:rPr>
          <w:rFonts w:ascii="Arial" w:hAnsi="Arial" w:cs="Arial"/>
          <w:sz w:val="24"/>
          <w:szCs w:val="24"/>
        </w:rPr>
        <w:t xml:space="preserve"> 1 – 6.</w:t>
      </w:r>
    </w:p>
    <w:p w:rsidR="00664B69" w:rsidRP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4B69" w:rsidRP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4B69">
        <w:rPr>
          <w:rFonts w:ascii="Arial" w:hAnsi="Arial" w:cs="Arial"/>
          <w:sz w:val="24"/>
          <w:szCs w:val="24"/>
        </w:rPr>
        <w:t xml:space="preserve">RICHTER, Carlos A; NETTO, José M. de Azevedo. </w:t>
      </w:r>
      <w:r w:rsidRPr="00664B69">
        <w:rPr>
          <w:rFonts w:ascii="Arial" w:hAnsi="Arial" w:cs="Arial"/>
          <w:b/>
          <w:sz w:val="24"/>
          <w:szCs w:val="24"/>
        </w:rPr>
        <w:t>Tratamento de água</w:t>
      </w:r>
      <w:r w:rsidRPr="00664B69">
        <w:rPr>
          <w:rFonts w:ascii="Arial" w:hAnsi="Arial" w:cs="Arial"/>
          <w:sz w:val="24"/>
          <w:szCs w:val="24"/>
        </w:rPr>
        <w:t xml:space="preserve">: tecnologia atualizada. São Paulo: </w:t>
      </w:r>
      <w:proofErr w:type="gramStart"/>
      <w:r w:rsidRPr="00664B69">
        <w:rPr>
          <w:rFonts w:ascii="Arial" w:hAnsi="Arial" w:cs="Arial"/>
          <w:sz w:val="24"/>
          <w:szCs w:val="24"/>
        </w:rPr>
        <w:t xml:space="preserve">Editora Edgard </w:t>
      </w:r>
      <w:proofErr w:type="spellStart"/>
      <w:r w:rsidRPr="00664B69">
        <w:rPr>
          <w:rFonts w:ascii="Arial" w:hAnsi="Arial" w:cs="Arial"/>
          <w:sz w:val="24"/>
          <w:szCs w:val="24"/>
        </w:rPr>
        <w:t>Blucher</w:t>
      </w:r>
      <w:proofErr w:type="spellEnd"/>
      <w:proofErr w:type="gramEnd"/>
      <w:r w:rsidRPr="00664B69">
        <w:rPr>
          <w:rFonts w:ascii="Arial" w:hAnsi="Arial" w:cs="Arial"/>
          <w:sz w:val="24"/>
          <w:szCs w:val="24"/>
        </w:rPr>
        <w:t xml:space="preserve"> LTDA. 5 ed. 1991. 332 p.</w:t>
      </w:r>
    </w:p>
    <w:p w:rsidR="00664B69" w:rsidRPr="00664B69" w:rsidRDefault="00664B69" w:rsidP="00664B6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77EE" w:rsidRPr="00664B69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4B69">
        <w:rPr>
          <w:rFonts w:ascii="Arial" w:hAnsi="Arial" w:cs="Arial"/>
          <w:sz w:val="24"/>
          <w:szCs w:val="24"/>
        </w:rPr>
        <w:t xml:space="preserve">SANTOS, </w:t>
      </w:r>
      <w:proofErr w:type="spellStart"/>
      <w:r w:rsidRPr="00664B69">
        <w:rPr>
          <w:rFonts w:ascii="Arial" w:hAnsi="Arial" w:cs="Arial"/>
          <w:sz w:val="24"/>
          <w:szCs w:val="24"/>
        </w:rPr>
        <w:t>Deyvid</w:t>
      </w:r>
      <w:proofErr w:type="spellEnd"/>
      <w:r w:rsidRPr="00664B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64B69">
        <w:rPr>
          <w:rFonts w:ascii="Arial" w:hAnsi="Arial" w:cs="Arial"/>
          <w:sz w:val="24"/>
          <w:szCs w:val="24"/>
        </w:rPr>
        <w:t>et</w:t>
      </w:r>
      <w:proofErr w:type="gramEnd"/>
      <w:r w:rsidRPr="00664B69">
        <w:rPr>
          <w:rFonts w:ascii="Arial" w:hAnsi="Arial" w:cs="Arial"/>
          <w:sz w:val="24"/>
          <w:szCs w:val="24"/>
        </w:rPr>
        <w:t xml:space="preserve"> al. </w:t>
      </w:r>
      <w:r w:rsidRPr="00664B69">
        <w:rPr>
          <w:rFonts w:ascii="Arial" w:hAnsi="Arial" w:cs="Arial"/>
          <w:b/>
          <w:sz w:val="24"/>
          <w:szCs w:val="24"/>
        </w:rPr>
        <w:t xml:space="preserve">Análise do Potencial </w:t>
      </w:r>
      <w:proofErr w:type="spellStart"/>
      <w:r w:rsidRPr="00664B69">
        <w:rPr>
          <w:rFonts w:ascii="Arial" w:hAnsi="Arial" w:cs="Arial"/>
          <w:b/>
          <w:sz w:val="24"/>
          <w:szCs w:val="24"/>
        </w:rPr>
        <w:t>Hidrogeniônico</w:t>
      </w:r>
      <w:proofErr w:type="spellEnd"/>
      <w:r w:rsidRPr="00664B69">
        <w:rPr>
          <w:rFonts w:ascii="Arial" w:hAnsi="Arial" w:cs="Arial"/>
          <w:b/>
          <w:sz w:val="24"/>
          <w:szCs w:val="24"/>
        </w:rPr>
        <w:t xml:space="preserve"> das águas subterrâneas do</w:t>
      </w:r>
      <w:r w:rsidR="005E5749" w:rsidRPr="00664B69">
        <w:rPr>
          <w:rFonts w:ascii="Arial" w:hAnsi="Arial" w:cs="Arial"/>
          <w:b/>
          <w:sz w:val="24"/>
          <w:szCs w:val="24"/>
        </w:rPr>
        <w:t xml:space="preserve"> IFC-CC</w:t>
      </w:r>
      <w:r w:rsidRPr="00664B69">
        <w:rPr>
          <w:rFonts w:ascii="Arial" w:hAnsi="Arial" w:cs="Arial"/>
          <w:sz w:val="24"/>
          <w:szCs w:val="24"/>
        </w:rPr>
        <w:t xml:space="preserve">. In: FEIRA DE INICIAÇÃO CIENTÍFICA E EXTENSÃO, 6, 2015, Camboriú. Resumo expandido. Camboriú: Instituto de Educação, Ciência e Tecnologia Catarinense – Campus Camboriú, 2015. </w:t>
      </w:r>
      <w:proofErr w:type="gramStart"/>
      <w:r w:rsidRPr="00664B69">
        <w:rPr>
          <w:rFonts w:ascii="Arial" w:hAnsi="Arial" w:cs="Arial"/>
          <w:sz w:val="24"/>
          <w:szCs w:val="24"/>
        </w:rPr>
        <w:t>p.</w:t>
      </w:r>
      <w:proofErr w:type="gramEnd"/>
      <w:r w:rsidRPr="00664B69">
        <w:rPr>
          <w:rFonts w:ascii="Arial" w:hAnsi="Arial" w:cs="Arial"/>
          <w:sz w:val="24"/>
          <w:szCs w:val="24"/>
        </w:rPr>
        <w:t xml:space="preserve"> 1 – 5.</w:t>
      </w:r>
    </w:p>
    <w:p w:rsidR="00F477EE" w:rsidRPr="00664B69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478AA" w:rsidRPr="00664B69" w:rsidRDefault="00F477EE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4B69">
        <w:rPr>
          <w:rFonts w:ascii="Arial" w:hAnsi="Arial" w:cs="Arial"/>
          <w:sz w:val="24"/>
          <w:szCs w:val="24"/>
        </w:rPr>
        <w:t xml:space="preserve">SILVA, Anelise Caroline da; </w:t>
      </w:r>
      <w:proofErr w:type="gramStart"/>
      <w:r w:rsidRPr="00664B69">
        <w:rPr>
          <w:rFonts w:ascii="Arial" w:hAnsi="Arial" w:cs="Arial"/>
          <w:sz w:val="24"/>
          <w:szCs w:val="24"/>
        </w:rPr>
        <w:t>FARIAS,</w:t>
      </w:r>
      <w:proofErr w:type="gramEnd"/>
      <w:r w:rsidRPr="00664B69">
        <w:rPr>
          <w:rFonts w:ascii="Arial" w:hAnsi="Arial" w:cs="Arial"/>
          <w:sz w:val="24"/>
          <w:szCs w:val="24"/>
        </w:rPr>
        <w:t xml:space="preserve"> Vitória da Silva; TEIXEIRA, Ana Cristina </w:t>
      </w:r>
      <w:proofErr w:type="spellStart"/>
      <w:r w:rsidRPr="00664B69">
        <w:rPr>
          <w:rFonts w:ascii="Arial" w:hAnsi="Arial" w:cs="Arial"/>
          <w:sz w:val="24"/>
          <w:szCs w:val="24"/>
        </w:rPr>
        <w:t>Franzoi</w:t>
      </w:r>
      <w:proofErr w:type="spellEnd"/>
      <w:r w:rsidRPr="00664B69">
        <w:rPr>
          <w:rFonts w:ascii="Arial" w:hAnsi="Arial" w:cs="Arial"/>
          <w:sz w:val="24"/>
          <w:szCs w:val="24"/>
        </w:rPr>
        <w:t xml:space="preserve">; MARTENDAL, Adriano. </w:t>
      </w:r>
      <w:r w:rsidRPr="00664B69">
        <w:rPr>
          <w:rFonts w:ascii="Arial" w:hAnsi="Arial" w:cs="Arial"/>
          <w:b/>
          <w:sz w:val="24"/>
          <w:szCs w:val="24"/>
        </w:rPr>
        <w:t>Análise da alcalinidade das águas subterrâneas utilizadas no IFC</w:t>
      </w:r>
      <w:r w:rsidR="005E5749" w:rsidRPr="00664B69">
        <w:rPr>
          <w:rFonts w:ascii="Arial" w:hAnsi="Arial" w:cs="Arial"/>
          <w:b/>
          <w:sz w:val="24"/>
          <w:szCs w:val="24"/>
        </w:rPr>
        <w:t>-CC</w:t>
      </w:r>
      <w:r w:rsidRPr="00664B69">
        <w:rPr>
          <w:rFonts w:ascii="Arial" w:hAnsi="Arial" w:cs="Arial"/>
          <w:sz w:val="24"/>
          <w:szCs w:val="24"/>
        </w:rPr>
        <w:t xml:space="preserve">. In: FEIRA DE INICIAÇÃO CIENTÍFICA E EXTENSÃO, 5, 2014, Camboriú. Resumo expandido. Camboriú: Instituto de Educação, Ciência e Tecnologia Catarinense – Campus Camboriú, 2014. </w:t>
      </w:r>
      <w:proofErr w:type="gramStart"/>
      <w:r w:rsidRPr="00664B69">
        <w:rPr>
          <w:rFonts w:ascii="Arial" w:hAnsi="Arial" w:cs="Arial"/>
          <w:sz w:val="24"/>
          <w:szCs w:val="24"/>
        </w:rPr>
        <w:t>p.</w:t>
      </w:r>
      <w:proofErr w:type="gramEnd"/>
      <w:r w:rsidRPr="00664B69">
        <w:rPr>
          <w:rFonts w:ascii="Arial" w:hAnsi="Arial" w:cs="Arial"/>
          <w:sz w:val="24"/>
          <w:szCs w:val="24"/>
        </w:rPr>
        <w:t xml:space="preserve"> 1 –</w:t>
      </w:r>
      <w:r w:rsidR="006478AA" w:rsidRPr="00664B69">
        <w:rPr>
          <w:rFonts w:ascii="Arial" w:hAnsi="Arial" w:cs="Arial"/>
          <w:sz w:val="24"/>
          <w:szCs w:val="24"/>
        </w:rPr>
        <w:t xml:space="preserve"> 4</w:t>
      </w:r>
    </w:p>
    <w:p w:rsidR="006478AA" w:rsidRPr="00664B69" w:rsidRDefault="006478AA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478AA" w:rsidRPr="00664B69" w:rsidRDefault="00691415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64B69">
        <w:rPr>
          <w:rFonts w:ascii="Arial" w:hAnsi="Arial" w:cs="Arial"/>
          <w:sz w:val="24"/>
          <w:szCs w:val="24"/>
          <w:shd w:val="clear" w:color="auto" w:fill="FFFFFF"/>
        </w:rPr>
        <w:t>SILVA, Lilian Lúcia Rocha e. </w:t>
      </w:r>
      <w:r w:rsidRPr="00664B69">
        <w:rPr>
          <w:rStyle w:val="Forte"/>
          <w:rFonts w:ascii="Arial" w:hAnsi="Arial" w:cs="Arial"/>
          <w:sz w:val="24"/>
          <w:szCs w:val="24"/>
          <w:shd w:val="clear" w:color="auto" w:fill="FFFFFF"/>
        </w:rPr>
        <w:t>Introdução à Volumetria. </w:t>
      </w:r>
      <w:r w:rsidRPr="00664B69">
        <w:rPr>
          <w:rFonts w:ascii="Arial" w:hAnsi="Arial" w:cs="Arial"/>
          <w:sz w:val="24"/>
          <w:szCs w:val="24"/>
          <w:shd w:val="clear" w:color="auto" w:fill="FFFFFF"/>
        </w:rPr>
        <w:t xml:space="preserve">[200-?]. Disponível em: &lt;http://www.ufjf.br/baccan/files/2011/05/Aula-2_-Introdução-a-volumetria_2011.pdf&gt;. Acesso em: 02 set. 2017. </w:t>
      </w:r>
    </w:p>
    <w:p w:rsidR="006478AA" w:rsidRPr="006478AA" w:rsidRDefault="006478AA" w:rsidP="00745F2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478AA" w:rsidRPr="006478AA" w:rsidSect="006478AA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B6" w:rsidRDefault="002E34B6" w:rsidP="003A5676">
      <w:pPr>
        <w:spacing w:after="0" w:line="240" w:lineRule="auto"/>
      </w:pPr>
      <w:r>
        <w:separator/>
      </w:r>
    </w:p>
  </w:endnote>
  <w:endnote w:type="continuationSeparator" w:id="0">
    <w:p w:rsidR="002E34B6" w:rsidRDefault="002E34B6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B6" w:rsidRDefault="002E34B6" w:rsidP="003A5676">
      <w:pPr>
        <w:spacing w:after="0" w:line="240" w:lineRule="auto"/>
      </w:pPr>
      <w:r>
        <w:separator/>
      </w:r>
    </w:p>
  </w:footnote>
  <w:footnote w:type="continuationSeparator" w:id="0">
    <w:p w:rsidR="002E34B6" w:rsidRDefault="002E34B6" w:rsidP="003A5676">
      <w:pPr>
        <w:spacing w:after="0" w:line="240" w:lineRule="auto"/>
      </w:pPr>
      <w:r>
        <w:continuationSeparator/>
      </w:r>
    </w:p>
  </w:footnote>
  <w:footnote w:id="1">
    <w:p w:rsidR="00B94191" w:rsidRDefault="00B94191">
      <w:pPr>
        <w:pStyle w:val="Textodenotaderodap"/>
        <w:rPr>
          <w:sz w:val="18"/>
          <w:szCs w:val="18"/>
        </w:rPr>
      </w:pPr>
      <w:proofErr w:type="gramStart"/>
      <w:r w:rsidRPr="00B94191">
        <w:rPr>
          <w:sz w:val="14"/>
          <w:szCs w:val="14"/>
        </w:rPr>
        <w:t>1</w:t>
      </w:r>
      <w:proofErr w:type="gramEnd"/>
      <w:r>
        <w:rPr>
          <w:sz w:val="14"/>
          <w:szCs w:val="14"/>
        </w:rPr>
        <w:t xml:space="preserve"> </w:t>
      </w:r>
      <w:r w:rsidRPr="00B94191">
        <w:rPr>
          <w:sz w:val="18"/>
          <w:szCs w:val="18"/>
        </w:rPr>
        <w:t xml:space="preserve">Aluno do curso técnico em Controle Ambiental. Instituto federal Catarinense. </w:t>
      </w:r>
      <w:proofErr w:type="spellStart"/>
      <w:r w:rsidRPr="00B94191">
        <w:rPr>
          <w:sz w:val="18"/>
          <w:szCs w:val="18"/>
        </w:rPr>
        <w:t>Email</w:t>
      </w:r>
      <w:proofErr w:type="spellEnd"/>
      <w:r w:rsidRPr="00B94191">
        <w:rPr>
          <w:sz w:val="18"/>
          <w:szCs w:val="18"/>
        </w:rPr>
        <w:t>: carloscxcxavier@gmail.com.</w:t>
      </w:r>
    </w:p>
    <w:p w:rsidR="00B94191" w:rsidRDefault="00B94191">
      <w:pPr>
        <w:pStyle w:val="Textodenotaderodap"/>
        <w:rPr>
          <w:sz w:val="18"/>
          <w:szCs w:val="18"/>
        </w:rPr>
      </w:pPr>
      <w:proofErr w:type="gramStart"/>
      <w:r w:rsidRPr="00B94191">
        <w:rPr>
          <w:sz w:val="14"/>
          <w:szCs w:val="14"/>
        </w:rPr>
        <w:t>2</w:t>
      </w:r>
      <w:proofErr w:type="gramEnd"/>
      <w:r w:rsidRPr="00B94191">
        <w:rPr>
          <w:sz w:val="18"/>
          <w:szCs w:val="18"/>
        </w:rPr>
        <w:t xml:space="preserve"> Aluno do curso técnico em Controle Ambiental. Instituto federal Catarinense. </w:t>
      </w:r>
      <w:proofErr w:type="spellStart"/>
      <w:r w:rsidRPr="00B94191">
        <w:rPr>
          <w:sz w:val="18"/>
          <w:szCs w:val="18"/>
        </w:rPr>
        <w:t>Email</w:t>
      </w:r>
      <w:proofErr w:type="spellEnd"/>
      <w:r w:rsidRPr="00B94191">
        <w:rPr>
          <w:sz w:val="18"/>
          <w:szCs w:val="18"/>
        </w:rPr>
        <w:t xml:space="preserve">: tecnoart.erick@hotmail.com. </w:t>
      </w:r>
    </w:p>
    <w:p w:rsidR="00B94191" w:rsidRDefault="00B94191">
      <w:pPr>
        <w:pStyle w:val="Textodenotaderodap"/>
        <w:rPr>
          <w:sz w:val="18"/>
          <w:szCs w:val="18"/>
        </w:rPr>
      </w:pPr>
      <w:proofErr w:type="gramStart"/>
      <w:r w:rsidRPr="00B94191">
        <w:rPr>
          <w:sz w:val="14"/>
          <w:szCs w:val="14"/>
        </w:rPr>
        <w:t>3</w:t>
      </w:r>
      <w:proofErr w:type="gramEnd"/>
      <w:r w:rsidRPr="00B94191">
        <w:rPr>
          <w:sz w:val="18"/>
          <w:szCs w:val="18"/>
        </w:rPr>
        <w:t xml:space="preserve"> Aluno do curso técnico em Controle Ambiental. Instituto federal Catarinense. </w:t>
      </w:r>
      <w:proofErr w:type="spellStart"/>
      <w:r w:rsidRPr="00B94191">
        <w:rPr>
          <w:sz w:val="18"/>
          <w:szCs w:val="18"/>
        </w:rPr>
        <w:t>Email</w:t>
      </w:r>
      <w:proofErr w:type="spellEnd"/>
      <w:r w:rsidRPr="00B94191">
        <w:rPr>
          <w:sz w:val="18"/>
          <w:szCs w:val="18"/>
        </w:rPr>
        <w:t xml:space="preserve">: rafavds2010@hotmail.com. </w:t>
      </w:r>
    </w:p>
    <w:p w:rsidR="00B94191" w:rsidRPr="00B94191" w:rsidRDefault="00B94191">
      <w:pPr>
        <w:pStyle w:val="Textodenotaderodap"/>
        <w:rPr>
          <w:sz w:val="18"/>
          <w:szCs w:val="18"/>
          <w:lang w:val="en-US"/>
        </w:rPr>
      </w:pPr>
      <w:proofErr w:type="gramStart"/>
      <w:r w:rsidRPr="00B94191">
        <w:rPr>
          <w:sz w:val="14"/>
          <w:szCs w:val="14"/>
        </w:rPr>
        <w:t>4</w:t>
      </w:r>
      <w:proofErr w:type="gramEnd"/>
      <w:r w:rsidRPr="00B94191">
        <w:rPr>
          <w:sz w:val="18"/>
          <w:szCs w:val="18"/>
        </w:rPr>
        <w:t xml:space="preserve"> Doutor em Química. Instituto Federal Catarinense. </w:t>
      </w:r>
      <w:r w:rsidRPr="00B94191">
        <w:rPr>
          <w:sz w:val="18"/>
          <w:szCs w:val="18"/>
          <w:lang w:val="en-US"/>
        </w:rPr>
        <w:t xml:space="preserve">Email: adriano.martendal@ifc.edu.br. </w:t>
      </w:r>
    </w:p>
    <w:p w:rsidR="00B94191" w:rsidRPr="005F731B" w:rsidRDefault="00B94191">
      <w:pPr>
        <w:pStyle w:val="Textodenotaderodap"/>
        <w:rPr>
          <w:lang w:val="en-US"/>
        </w:rPr>
      </w:pPr>
      <w:proofErr w:type="gramStart"/>
      <w:r w:rsidRPr="00B94191">
        <w:rPr>
          <w:sz w:val="14"/>
          <w:szCs w:val="14"/>
        </w:rPr>
        <w:t>5</w:t>
      </w:r>
      <w:proofErr w:type="gramEnd"/>
      <w:r w:rsidRPr="00B94191">
        <w:rPr>
          <w:sz w:val="14"/>
          <w:szCs w:val="14"/>
        </w:rPr>
        <w:t xml:space="preserve"> </w:t>
      </w:r>
      <w:r w:rsidRPr="00B94191">
        <w:rPr>
          <w:sz w:val="18"/>
          <w:szCs w:val="18"/>
        </w:rPr>
        <w:t xml:space="preserve">Doutora em Química. Instituto Federal Catarinense. </w:t>
      </w:r>
      <w:r w:rsidRPr="005F731B">
        <w:rPr>
          <w:sz w:val="18"/>
          <w:szCs w:val="18"/>
          <w:lang w:val="en-US"/>
        </w:rPr>
        <w:t>Email: ana.teixeira@ifc.edu.br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3B2F99DE" wp14:editId="2C2EAA0C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009FB"/>
    <w:rsid w:val="000317F7"/>
    <w:rsid w:val="000846A0"/>
    <w:rsid w:val="000A2DEA"/>
    <w:rsid w:val="000C4FBA"/>
    <w:rsid w:val="0011594B"/>
    <w:rsid w:val="00141D8F"/>
    <w:rsid w:val="00171A72"/>
    <w:rsid w:val="001F2B9E"/>
    <w:rsid w:val="002941FD"/>
    <w:rsid w:val="002A6630"/>
    <w:rsid w:val="002C7E6C"/>
    <w:rsid w:val="002E34B6"/>
    <w:rsid w:val="003052AE"/>
    <w:rsid w:val="00326569"/>
    <w:rsid w:val="003A012F"/>
    <w:rsid w:val="003A5676"/>
    <w:rsid w:val="003C45CD"/>
    <w:rsid w:val="003E159D"/>
    <w:rsid w:val="0040082D"/>
    <w:rsid w:val="00432534"/>
    <w:rsid w:val="0043658A"/>
    <w:rsid w:val="004416AF"/>
    <w:rsid w:val="004B0754"/>
    <w:rsid w:val="004C5C1B"/>
    <w:rsid w:val="004F5214"/>
    <w:rsid w:val="00527E51"/>
    <w:rsid w:val="00533071"/>
    <w:rsid w:val="005675E3"/>
    <w:rsid w:val="00581754"/>
    <w:rsid w:val="0058462B"/>
    <w:rsid w:val="005A2EF3"/>
    <w:rsid w:val="005D2142"/>
    <w:rsid w:val="005E5749"/>
    <w:rsid w:val="005F731B"/>
    <w:rsid w:val="006478AA"/>
    <w:rsid w:val="00664B69"/>
    <w:rsid w:val="00691415"/>
    <w:rsid w:val="006920EB"/>
    <w:rsid w:val="006B7E4A"/>
    <w:rsid w:val="006C1284"/>
    <w:rsid w:val="006D5A35"/>
    <w:rsid w:val="00710ADD"/>
    <w:rsid w:val="00745F21"/>
    <w:rsid w:val="007F6A26"/>
    <w:rsid w:val="008134C2"/>
    <w:rsid w:val="00877A38"/>
    <w:rsid w:val="008D7B1C"/>
    <w:rsid w:val="008E1C8C"/>
    <w:rsid w:val="00900820"/>
    <w:rsid w:val="00931E05"/>
    <w:rsid w:val="00956CEC"/>
    <w:rsid w:val="00997429"/>
    <w:rsid w:val="009C0C54"/>
    <w:rsid w:val="00A11103"/>
    <w:rsid w:val="00A22D24"/>
    <w:rsid w:val="00A31315"/>
    <w:rsid w:val="00A35D31"/>
    <w:rsid w:val="00A57302"/>
    <w:rsid w:val="00A9242A"/>
    <w:rsid w:val="00AE5073"/>
    <w:rsid w:val="00AE6936"/>
    <w:rsid w:val="00B208B6"/>
    <w:rsid w:val="00B31EE2"/>
    <w:rsid w:val="00B47C74"/>
    <w:rsid w:val="00B50E28"/>
    <w:rsid w:val="00B71125"/>
    <w:rsid w:val="00B80F8A"/>
    <w:rsid w:val="00B94191"/>
    <w:rsid w:val="00BC6EA7"/>
    <w:rsid w:val="00BF5401"/>
    <w:rsid w:val="00CA4427"/>
    <w:rsid w:val="00CB5175"/>
    <w:rsid w:val="00CC1BC6"/>
    <w:rsid w:val="00CF5BD1"/>
    <w:rsid w:val="00CF722D"/>
    <w:rsid w:val="00D54075"/>
    <w:rsid w:val="00D600D1"/>
    <w:rsid w:val="00D62A9E"/>
    <w:rsid w:val="00D81C34"/>
    <w:rsid w:val="00DA75B4"/>
    <w:rsid w:val="00DB4802"/>
    <w:rsid w:val="00DF0DAC"/>
    <w:rsid w:val="00E04EB5"/>
    <w:rsid w:val="00E06E45"/>
    <w:rsid w:val="00E22698"/>
    <w:rsid w:val="00E344B2"/>
    <w:rsid w:val="00E43353"/>
    <w:rsid w:val="00E54055"/>
    <w:rsid w:val="00E94F13"/>
    <w:rsid w:val="00F1678D"/>
    <w:rsid w:val="00F477EE"/>
    <w:rsid w:val="00F544E5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12F"/>
  </w:style>
  <w:style w:type="character" w:styleId="Hyperlink">
    <w:name w:val="Hyperlink"/>
    <w:basedOn w:val="Fontepargpadro"/>
    <w:uiPriority w:val="99"/>
    <w:unhideWhenUsed/>
    <w:rsid w:val="00E54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A35D3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0A2DEA"/>
    <w:pPr>
      <w:ind w:left="720"/>
      <w:contextualSpacing/>
    </w:pPr>
    <w:rPr>
      <w:rFonts w:cs="Times New Roman"/>
      <w:lang w:eastAsia="en-US"/>
    </w:rPr>
  </w:style>
  <w:style w:type="table" w:styleId="Tabelacomgrade">
    <w:name w:val="Table Grid"/>
    <w:basedOn w:val="Tabelanormal"/>
    <w:uiPriority w:val="39"/>
    <w:rsid w:val="000A2DE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691415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9419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9419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94191"/>
    <w:rPr>
      <w:vertAlign w:val="superscri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9419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12F"/>
  </w:style>
  <w:style w:type="character" w:styleId="Hyperlink">
    <w:name w:val="Hyperlink"/>
    <w:basedOn w:val="Fontepargpadro"/>
    <w:uiPriority w:val="99"/>
    <w:unhideWhenUsed/>
    <w:rsid w:val="00E540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A35D3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0A2DEA"/>
    <w:pPr>
      <w:ind w:left="720"/>
      <w:contextualSpacing/>
    </w:pPr>
    <w:rPr>
      <w:rFonts w:cs="Times New Roman"/>
      <w:lang w:eastAsia="en-US"/>
    </w:rPr>
  </w:style>
  <w:style w:type="table" w:styleId="Tabelacomgrade">
    <w:name w:val="Table Grid"/>
    <w:basedOn w:val="Tabelanormal"/>
    <w:uiPriority w:val="39"/>
    <w:rsid w:val="000A2DE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691415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9419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9419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94191"/>
    <w:rPr>
      <w:vertAlign w:val="superscript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9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FB9E5-9A14-4D03-AC73-9787A99D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Adriano IFC</cp:lastModifiedBy>
  <cp:revision>44</cp:revision>
  <dcterms:created xsi:type="dcterms:W3CDTF">2018-08-10T12:33:00Z</dcterms:created>
  <dcterms:modified xsi:type="dcterms:W3CDTF">2018-08-10T13:30:00Z</dcterms:modified>
</cp:coreProperties>
</file>