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450829965"/>
      </w:sdtPr>
      <w:sdtEndPr/>
      <w:sdtContent>
        <w:p w:rsidR="00223748" w:rsidRDefault="00EF766B">
          <w:pPr>
            <w:spacing w:after="14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ANÁLISE DE ALCALINIDADE DAS ÁGUAS SUBTERRÂNEAS DO INSTITUTO FEDERAL CATARINENSE - CAMPUS CAMBORIÚ</w:t>
          </w:r>
        </w:p>
      </w:sdtContent>
    </w:sdt>
    <w:sdt>
      <w:sdtPr>
        <w:tag w:val="goog_rdk_1"/>
        <w:id w:val="1310523811"/>
        <w:showingPlcHdr/>
      </w:sdtPr>
      <w:sdtEndPr/>
      <w:sdtContent>
        <w:p w:rsidR="00223748" w:rsidRDefault="00BD54AA">
          <w:pPr>
            <w:spacing w:after="14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"/>
        <w:id w:val="-1970038139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  <w:vertAlign w:val="superscript"/>
            </w:rPr>
          </w:pP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Zayda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Liriel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Kieltyka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Velazquez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Ana Cristina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Franzoi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Adriano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Martendal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3"/>
          </w:r>
          <w:proofErr w:type="gramStart"/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;</w:t>
          </w:r>
          <w:proofErr w:type="gramEnd"/>
        </w:p>
      </w:sdtContent>
    </w:sdt>
    <w:sdt>
      <w:sdtPr>
        <w:tag w:val="goog_rdk_3"/>
        <w:id w:val="1299800280"/>
      </w:sdtPr>
      <w:sdtEndPr/>
      <w:sdtContent>
        <w:p w:rsidR="00223748" w:rsidRDefault="00634A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"/>
        <w:id w:val="-1961105942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5"/>
        <w:id w:val="-1608109831"/>
      </w:sdtPr>
      <w:sdtEndPr/>
      <w:sdtContent>
        <w:p w:rsidR="00223748" w:rsidRDefault="00634A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6"/>
        <w:id w:val="598523743"/>
      </w:sdtPr>
      <w:sdtEndPr/>
      <w:sdtContent>
        <w:p w:rsidR="00223748" w:rsidRDefault="00EF766B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No processo de análise da água subterrânea, com objetivo de determinar a alcalinidade, a profundidade apresenta grande relevância. Quanto maior a distância entre a superfície do solo e a água subterrânea, maior o tempo de contato da água com diversos minerais e, no processo de infiltração pode tornar-se alcalina. Além da determinação da alcalinidade, realizou-se a comparação dos resultados obtidos em 2015. O método empregado para a análise foi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titulação volumétrica, tendo como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titulante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ácido sulfúrico e, como indicador, o alaranjado de metila. Os resultados obtidos variaram entre 19,0-26,0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mg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para águas menos profundas e, entre 82,0-87,5 mg.L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, para mais profundas. Os resultados de alcalinidade,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realizadas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em 2018, assemelham-se aos obtidos em 2015, entre 17,84-21,72 mg.L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e, entre 93,12-102,04 mg.L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sdt>
      <w:sdtPr>
        <w:tag w:val="goog_rdk_7"/>
        <w:id w:val="-115526265"/>
        <w:showingPlcHdr/>
      </w:sdtPr>
      <w:sdtEndPr/>
      <w:sdtContent>
        <w:p w:rsidR="00223748" w:rsidRDefault="00BD54AA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8"/>
        <w:id w:val="-1058077141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:</w:t>
          </w:r>
          <w:r>
            <w:rPr>
              <w:rFonts w:ascii="Arial" w:eastAsia="Arial" w:hAnsi="Arial" w:cs="Arial"/>
              <w:sz w:val="24"/>
              <w:szCs w:val="24"/>
            </w:rPr>
            <w:t xml:space="preserve"> Alcalinidade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>Análise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 xml:space="preserve">Águas Subterrâneas. Titulação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Volumétrica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proofErr w:type="gramEnd"/>
        </w:p>
      </w:sdtContent>
    </w:sdt>
    <w:sdt>
      <w:sdtPr>
        <w:tag w:val="goog_rdk_9"/>
        <w:id w:val="-540662610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0"/>
        <w:id w:val="1807656600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1"/>
        <w:id w:val="2099056303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sdt>
      <w:sdtPr>
        <w:tag w:val="goog_rdk_12"/>
        <w:id w:val="-1777783132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3"/>
        <w:id w:val="-1985159845"/>
      </w:sdtPr>
      <w:sdtEndPr/>
      <w:sdtContent>
        <w:p w:rsidR="00223748" w:rsidRDefault="00EF766B">
          <w:pPr>
            <w:tabs>
              <w:tab w:val="left" w:pos="1132"/>
            </w:tabs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homem dispõe de diversos recursos naturais, entre eles a água aparece como um dos mais importantes, sendo indispensável para a sobrevivência (MOTA, 1995). Contudo, ela pode conter determinadas substâncias, elementos químicos e microrganismos, que devem ser eliminados ou reduzidos a concentrações que não sejam prejudiciais à saúde do ser humano (DI BERNARDO, 2000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).</w:t>
          </w:r>
          <w:proofErr w:type="gramEnd"/>
        </w:p>
      </w:sdtContent>
    </w:sdt>
    <w:sdt>
      <w:sdtPr>
        <w:tag w:val="goog_rdk_14"/>
        <w:id w:val="1461448657"/>
      </w:sdtPr>
      <w:sdtEndPr/>
      <w:sdtContent>
        <w:p w:rsidR="00223748" w:rsidRDefault="00EF766B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alcalinidade, apesar de não classificar águas naturais, não caracterizar emissão de esgotos e, nem padrão de potabilidade, tem sua importância para auxiliar na definição das dosagens de agentes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floculantes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e, fornecendo as características corrosivas e incrustantes da água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analisada.</w:t>
          </w:r>
          <w:proofErr w:type="gramEnd"/>
        </w:p>
      </w:sdtContent>
    </w:sdt>
    <w:sdt>
      <w:sdtPr>
        <w:tag w:val="goog_rdk_15"/>
        <w:id w:val="-1972897665"/>
      </w:sdtPr>
      <w:sdtEndPr/>
      <w:sdtContent>
        <w:p w:rsidR="00223748" w:rsidRDefault="00EF766B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Este parâmetro é analisado pelos estudantes do curso de Controle Ambiental do IFC-CC desde o ano de 2011, no setor de análises químicas. Sendo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de suma importância no processo cotidiano da lavagem das bananas, realizado no próprio Instituto. Para maior eficiência da dosagem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floculante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na lavagem das bananas, deve-se ter conhecimento da alcalinidade da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água.</w:t>
          </w:r>
          <w:proofErr w:type="gramEnd"/>
        </w:p>
      </w:sdtContent>
    </w:sdt>
    <w:sdt>
      <w:sdtPr>
        <w:tag w:val="goog_rdk_16"/>
        <w:id w:val="-1946531382"/>
      </w:sdtPr>
      <w:sdtEndPr/>
      <w:sdtContent>
        <w:p w:rsidR="00223748" w:rsidRDefault="00EF766B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alcalinidade é representada pela presença dos íons hidróxido, carbonato e bicarbonato (MACÊDO, 2003) e não constitui risco potencial à saúde pública. Uma água alcalina é aquela com capacidade quantitativa de neutralizar um ácido forte até determinado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pH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(REIS, 2011).</w:t>
          </w:r>
        </w:p>
      </w:sdtContent>
    </w:sdt>
    <w:sdt>
      <w:sdtPr>
        <w:tag w:val="goog_rdk_17"/>
        <w:id w:val="725334442"/>
        <w:showingPlcHdr/>
      </w:sdtPr>
      <w:sdtEndPr/>
      <w:sdtContent>
        <w:p w:rsidR="00223748" w:rsidRDefault="00BD54AA">
          <w:pPr>
            <w:spacing w:after="0" w:line="24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8"/>
        <w:id w:val="393082186"/>
        <w:showingPlcHdr/>
      </w:sdtPr>
      <w:sdtEndPr/>
      <w:sdtContent>
        <w:p w:rsidR="00223748" w:rsidRDefault="00BD54AA">
          <w:pPr>
            <w:spacing w:after="0" w:line="24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9"/>
        <w:id w:val="-2143642669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20"/>
        <w:id w:val="1471934910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1"/>
        <w:id w:val="2090184938"/>
      </w:sdtPr>
      <w:sdtEndPr/>
      <w:sdtContent>
        <w:p w:rsidR="00223748" w:rsidRDefault="00EF766B">
          <w:pPr>
            <w:tabs>
              <w:tab w:val="left" w:pos="1132"/>
            </w:tabs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Para realizar a determinação da alcalinidade,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utilizou-se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os seguintes materiais e reagentes: Bureta graduada de 50mL,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erlenmeyer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de 250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suporte universal, pipeta volumétrica,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pipetador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ácido sulfúrico concentrado (H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SO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- Nuclear), hidróxido de Sódio 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NaOH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-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Synth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), fenolftaleína (C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20</w:t>
          </w:r>
          <w:r>
            <w:rPr>
              <w:rFonts w:ascii="Arial" w:eastAsia="Arial" w:hAnsi="Arial" w:cs="Arial"/>
              <w:sz w:val="24"/>
              <w:szCs w:val="24"/>
            </w:rPr>
            <w:t>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14</w:t>
          </w:r>
          <w:r>
            <w:rPr>
              <w:rFonts w:ascii="Arial" w:eastAsia="Arial" w:hAnsi="Arial" w:cs="Arial"/>
              <w:sz w:val="24"/>
              <w:szCs w:val="24"/>
            </w:rPr>
            <w:t>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- Nuclear) e alaranjado de Metila (C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14</w:t>
          </w:r>
          <w:r>
            <w:rPr>
              <w:rFonts w:ascii="Arial" w:eastAsia="Arial" w:hAnsi="Arial" w:cs="Arial"/>
              <w:sz w:val="24"/>
              <w:szCs w:val="24"/>
            </w:rPr>
            <w:t>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14</w:t>
          </w:r>
          <w:r>
            <w:rPr>
              <w:rFonts w:ascii="Arial" w:eastAsia="Arial" w:hAnsi="Arial" w:cs="Arial"/>
              <w:sz w:val="24"/>
              <w:szCs w:val="24"/>
            </w:rPr>
            <w:t>N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NaO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S - Nuclear).</w:t>
          </w:r>
        </w:p>
      </w:sdtContent>
    </w:sdt>
    <w:sdt>
      <w:sdtPr>
        <w:tag w:val="goog_rdk_22"/>
        <w:id w:val="1971312633"/>
        <w:showingPlcHdr/>
      </w:sdtPr>
      <w:sdtEndPr/>
      <w:sdtContent>
        <w:p w:rsidR="00223748" w:rsidRDefault="00BD54A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3"/>
        <w:id w:val="-946306478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Metodologia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Utilizada:</w:t>
          </w:r>
          <w:proofErr w:type="gramEnd"/>
        </w:p>
      </w:sdtContent>
    </w:sdt>
    <w:sdt>
      <w:sdtPr>
        <w:tag w:val="goog_rdk_24"/>
        <w:id w:val="-629391969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Inicialmente, foi preparada uma solução de ácido sulfúrico (H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SO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), utilizada como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titulante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na determinação da alcalinidade das amostras, com concentração aproximada de 0,01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mol.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</w:p>
      </w:sdtContent>
    </w:sdt>
    <w:sdt>
      <w:sdtPr>
        <w:tag w:val="goog_rdk_25"/>
        <w:id w:val="1091516991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Em seguida, realizou-se a padronização do 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SO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utilizando o hidróxido de sódio (</w:t>
          </w:r>
          <w:proofErr w:type="spellStart"/>
          <w:proofErr w:type="gramStart"/>
          <w:r>
            <w:rPr>
              <w:rFonts w:ascii="Arial" w:eastAsia="Arial" w:hAnsi="Arial" w:cs="Arial"/>
              <w:sz w:val="24"/>
              <w:szCs w:val="24"/>
            </w:rPr>
            <w:t>NaOH</w:t>
          </w:r>
          <w:proofErr w:type="spellEnd"/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) previamente padronizado, com a fenolftaleína, como indicador. A concentração do ácido sulfúrico, após a padronização, foi de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0,01122 mol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/L.</w:t>
          </w:r>
        </w:p>
      </w:sdtContent>
    </w:sdt>
    <w:sdt>
      <w:sdtPr>
        <w:tag w:val="goog_rdk_26"/>
        <w:id w:val="-436676200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proofErr w:type="gramStart"/>
          <w:r>
            <w:rPr>
              <w:rFonts w:ascii="Arial" w:eastAsia="Arial" w:hAnsi="Arial" w:cs="Arial"/>
              <w:sz w:val="24"/>
              <w:szCs w:val="24"/>
            </w:rPr>
            <w:t>Após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finalizada a preparação das soluções, a serem utilizadas nas titulações, percorreu-se o Campus, visitando os pontos específicos, determinados para a coleta das amostras, abaixo descritos:</w:t>
          </w:r>
        </w:p>
      </w:sdtContent>
    </w:sdt>
    <w:sdt>
      <w:sdtPr>
        <w:tag w:val="goog_rdk_27"/>
        <w:id w:val="284159094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1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 Mangueira do bovino de leite, proveniente de um poço a 20m de profundidade, utilizada para limpeza do local.</w:t>
          </w:r>
        </w:p>
      </w:sdtContent>
    </w:sdt>
    <w:sdt>
      <w:sdtPr>
        <w:tag w:val="goog_rdk_28"/>
        <w:id w:val="-771628002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: Torneira do bovino de leite, retirada de uma profundidade  de 25m, utilizada para o consumo humano 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dessedentação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dos animais.</w:t>
          </w:r>
        </w:p>
      </w:sdtContent>
    </w:sdt>
    <w:sdt>
      <w:sdtPr>
        <w:tag w:val="goog_rdk_29"/>
        <w:id w:val="-1171023898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3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 Cisterna, de água proveniente de fonte subterrânea a 75m de profundidade, utilizada para o consumo no campus Camboriú.</w:t>
          </w:r>
        </w:p>
      </w:sdtContent>
    </w:sdt>
    <w:sdt>
      <w:sdtPr>
        <w:tag w:val="goog_rdk_30"/>
        <w:id w:val="-1282802599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4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 EPAGRI, água proveniente de fonte subterrânea a 45m de profundidade, utilizada para o abastecimento dos tanques da piscicultura.</w:t>
          </w:r>
        </w:p>
      </w:sdtContent>
    </w:sdt>
    <w:sdt>
      <w:sdtPr>
        <w:tag w:val="goog_rdk_31"/>
        <w:id w:val="1522673390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5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 Torneira do Ginásio, água proveniente da caixa d’ água.</w:t>
          </w:r>
        </w:p>
      </w:sdtContent>
    </w:sdt>
    <w:sdt>
      <w:sdtPr>
        <w:tag w:val="goog_rdk_32"/>
        <w:id w:val="-1169481215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Ponto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6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: Torneira do Laboratório, proveniente da caixa d'água do campus.</w:t>
          </w:r>
        </w:p>
      </w:sdtContent>
    </w:sdt>
    <w:sdt>
      <w:sdtPr>
        <w:tag w:val="goog_rdk_33"/>
        <w:id w:val="-575676079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Para iniciar a titulação, pipetou-se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50mL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da amostra de cada ponto, em triplicata, adicionando a cada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Erlenmeyer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três gotas do indicador, alaranjado de metila. Em seguida, preencheu-se a bureta com ácido sulfúrico, e abriu-se a bureta, de modo a permitir que o H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SO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escoasse até a amostra gota a gota. Agitando a amostra, observou-se o ponto de viragem, indicado pela alteração de cor da amostra, de amarela para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alaranjada.</w:t>
          </w:r>
          <w:proofErr w:type="gramEnd"/>
        </w:p>
      </w:sdtContent>
    </w:sdt>
    <w:sdt>
      <w:sdtPr>
        <w:tag w:val="goog_rdk_34"/>
        <w:id w:val="1120734754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Os resultados alcançados foram submetidos ao tratamento estatístico, obtendo-se o desvio padrão, medida que indica o grau de dispersão de um conjunto de dados, ou seja, sua uniformidade. Quanto mais próximo de zero estiver o resultado, mais homogêneos são os dados. Para calculá-lo utiliza-se a equação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abaixo:</w:t>
          </w:r>
          <w:proofErr w:type="gramEnd"/>
        </w:p>
      </w:sdtContent>
    </w:sdt>
    <w:sdt>
      <w:sdtPr>
        <w:tag w:val="goog_rdk_35"/>
        <w:id w:val="197827782"/>
      </w:sdtPr>
      <w:sdtEndPr/>
      <w:sdtContent>
        <w:p w:rsidR="00BD54AA" w:rsidRDefault="00BD54AA" w:rsidP="00BD54AA">
          <w:pPr>
            <w:widowControl w:val="0"/>
            <w:spacing w:line="36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sz w:val="24"/>
              <w:szCs w:val="24"/>
            </w:rPr>
            <w:t>s =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16FB682C" wp14:editId="45D81ACE">
                <wp:extent cx="276225" cy="2158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2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3748" w:rsidRDefault="00634A6B">
          <w:pPr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6"/>
        <w:id w:val="-1124453018"/>
      </w:sdtPr>
      <w:sdtEndPr/>
      <w:sdtContent>
        <w:p w:rsidR="00223748" w:rsidRDefault="00651729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 qual “s” indica o desvio padrão e “s</w:t>
          </w:r>
          <w:r w:rsidR="00EF766B">
            <w:rPr>
              <w:rFonts w:ascii="Arial" w:eastAsia="Arial" w:hAnsi="Arial" w:cs="Arial"/>
              <w:sz w:val="24"/>
              <w:szCs w:val="24"/>
              <w:vertAlign w:val="superscript"/>
            </w:rPr>
            <w:t>2</w:t>
          </w:r>
          <w:r w:rsidR="00EF766B">
            <w:rPr>
              <w:rFonts w:ascii="Arial" w:eastAsia="Arial" w:hAnsi="Arial" w:cs="Arial"/>
              <w:sz w:val="24"/>
              <w:szCs w:val="24"/>
            </w:rPr>
            <w:t xml:space="preserve">” a variância, estimada pela fórmula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abaixo:</w:t>
          </w:r>
          <w:proofErr w:type="gramEnd"/>
        </w:p>
      </w:sdtContent>
    </w:sdt>
    <w:sdt>
      <w:sdtPr>
        <w:tag w:val="goog_rdk_37"/>
        <w:id w:val="-283588665"/>
      </w:sdtPr>
      <w:sdtEndPr/>
      <w:sdtContent>
        <w:p w:rsidR="00223748" w:rsidRDefault="00634A6B">
          <w:pPr>
            <w:widowControl w:val="0"/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</w:rPr>
          </w:pPr>
          <w:sdt>
            <w:sdtPr>
              <w:tag w:val="goog_rdk_38"/>
              <w:id w:val="-432051511"/>
            </w:sdtPr>
            <w:sdtEndPr/>
            <w:sdtContent>
              <w:r w:rsidR="00EF766B">
                <w:rPr>
                  <w:rFonts w:ascii="Arial Unicode MS" w:eastAsia="Arial Unicode MS" w:hAnsi="Arial Unicode MS" w:cs="Arial Unicode MS"/>
                  <w:sz w:val="24"/>
                  <w:szCs w:val="24"/>
                  <w:highlight w:val="white"/>
                  <w:u w:val="single"/>
                </w:rPr>
                <w:t xml:space="preserve">∑ </w:t>
              </w:r>
              <w:proofErr w:type="gramStart"/>
              <w:r w:rsidR="00EF766B">
                <w:rPr>
                  <w:rFonts w:ascii="Arial Unicode MS" w:eastAsia="Arial Unicode MS" w:hAnsi="Arial Unicode MS" w:cs="Arial Unicode MS"/>
                  <w:sz w:val="24"/>
                  <w:szCs w:val="24"/>
                  <w:highlight w:val="white"/>
                  <w:u w:val="single"/>
                </w:rPr>
                <w:t xml:space="preserve">( </w:t>
              </w:r>
              <w:proofErr w:type="gramEnd"/>
              <w:r w:rsidR="00EF766B">
                <w:rPr>
                  <w:rFonts w:ascii="Arial Unicode MS" w:eastAsia="Arial Unicode MS" w:hAnsi="Arial Unicode MS" w:cs="Arial Unicode MS"/>
                  <w:sz w:val="24"/>
                  <w:szCs w:val="24"/>
                  <w:highlight w:val="white"/>
                  <w:u w:val="single"/>
                </w:rPr>
                <w:t>x</w:t>
              </w:r>
            </w:sdtContent>
          </w:sdt>
          <w:r w:rsidR="00EF766B">
            <w:rPr>
              <w:rFonts w:ascii="Arial" w:eastAsia="Arial" w:hAnsi="Arial" w:cs="Arial"/>
              <w:sz w:val="24"/>
              <w:szCs w:val="24"/>
              <w:highlight w:val="white"/>
              <w:u w:val="single"/>
              <w:vertAlign w:val="subscript"/>
            </w:rPr>
            <w:t>i</w:t>
          </w:r>
          <w:r w:rsidR="00EF766B">
            <w:rPr>
              <w:rFonts w:ascii="Arial" w:eastAsia="Arial" w:hAnsi="Arial" w:cs="Arial"/>
              <w:sz w:val="24"/>
              <w:szCs w:val="24"/>
              <w:highlight w:val="white"/>
              <w:u w:val="single"/>
            </w:rPr>
            <w:t xml:space="preserve"> – Média)</w:t>
          </w:r>
          <w:r w:rsidR="00EF766B">
            <w:rPr>
              <w:rFonts w:ascii="Arial" w:eastAsia="Arial" w:hAnsi="Arial" w:cs="Arial"/>
              <w:sz w:val="24"/>
              <w:szCs w:val="24"/>
              <w:highlight w:val="white"/>
              <w:u w:val="single"/>
              <w:vertAlign w:val="superscript"/>
            </w:rPr>
            <w:t>2</w:t>
          </w:r>
        </w:p>
      </w:sdtContent>
    </w:sdt>
    <w:sdt>
      <w:sdtPr>
        <w:tag w:val="goog_rdk_39"/>
        <w:id w:val="-1875998882"/>
      </w:sdtPr>
      <w:sdtEndPr/>
      <w:sdtContent>
        <w:p w:rsidR="00223748" w:rsidRDefault="00EF766B">
          <w:pPr>
            <w:widowControl w:val="0"/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>(n – 1)</w:t>
          </w:r>
        </w:p>
      </w:sdtContent>
    </w:sdt>
    <w:sdt>
      <w:sdtPr>
        <w:tag w:val="goog_rdk_40"/>
        <w:id w:val="1932237956"/>
        <w:showingPlcHdr/>
      </w:sdtPr>
      <w:sdtEndPr/>
      <w:sdtContent>
        <w:p w:rsidR="00223748" w:rsidRDefault="00BD54AA">
          <w:pPr>
            <w:widowControl w:val="0"/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1"/>
        <w:id w:val="-813255353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partir do desvio padrão, pôde-se calcular o coeficiente de variação, que, sendo uma medida relativa de variabilidade, expressa a margem de erro em porcentagem, que é calculado através da seguinte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fórmula:</w:t>
          </w:r>
          <w:proofErr w:type="gramEnd"/>
        </w:p>
      </w:sdtContent>
    </w:sdt>
    <w:sdt>
      <w:sdtPr>
        <w:tag w:val="goog_rdk_42"/>
        <w:id w:val="-1064479899"/>
      </w:sdtPr>
      <w:sdtEndPr/>
      <w:sdtContent>
        <w:p w:rsidR="00223748" w:rsidRDefault="00EF766B">
          <w:pPr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CV =</w:t>
          </w:r>
          <w:r>
            <w:rPr>
              <w:rFonts w:ascii="Arial" w:eastAsia="Arial" w:hAnsi="Arial" w:cs="Arial"/>
              <w:sz w:val="24"/>
              <w:szCs w:val="24"/>
              <w:u w:val="single"/>
            </w:rPr>
            <w:t xml:space="preserve"> desvio padrão (s)</w:t>
          </w:r>
          <w:r>
            <w:rPr>
              <w:rFonts w:ascii="Arial" w:eastAsia="Arial" w:hAnsi="Arial" w:cs="Arial"/>
              <w:sz w:val="24"/>
              <w:szCs w:val="24"/>
            </w:rPr>
            <w:t xml:space="preserve"> x100%</w:t>
          </w:r>
        </w:p>
      </w:sdtContent>
    </w:sdt>
    <w:sdt>
      <w:sdtPr>
        <w:tag w:val="goog_rdk_43"/>
        <w:id w:val="-1875375046"/>
      </w:sdtPr>
      <w:sdtEndPr/>
      <w:sdtContent>
        <w:p w:rsidR="00223748" w:rsidRDefault="00EF766B">
          <w:pPr>
            <w:spacing w:after="0" w:line="360" w:lineRule="auto"/>
            <w:ind w:firstLine="1133"/>
            <w:jc w:val="center"/>
            <w:rPr>
              <w:rFonts w:ascii="Arial" w:eastAsia="Arial" w:hAnsi="Arial" w:cs="Arial"/>
              <w:sz w:val="24"/>
              <w:szCs w:val="24"/>
              <w:u w:val="single"/>
            </w:rPr>
          </w:pPr>
          <w:proofErr w:type="gramStart"/>
          <w:r w:rsidRPr="00BD54AA">
            <w:rPr>
              <w:rFonts w:ascii="Arial" w:eastAsia="Arial" w:hAnsi="Arial" w:cs="Arial"/>
              <w:sz w:val="24"/>
              <w:szCs w:val="24"/>
            </w:rPr>
            <w:t>média</w:t>
          </w:r>
          <w:proofErr w:type="gramEnd"/>
        </w:p>
      </w:sdtContent>
    </w:sdt>
    <w:sdt>
      <w:sdtPr>
        <w:tag w:val="goog_rdk_44"/>
        <w:id w:val="1703284693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5"/>
        <w:id w:val="-1533036209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6"/>
        <w:id w:val="1862236601"/>
      </w:sdtPr>
      <w:sdtEndPr/>
      <w:sdtContent>
        <w:p w:rsidR="00651729" w:rsidRDefault="0065172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</w:p>
        <w:p w:rsidR="00651729" w:rsidRDefault="00651729">
          <w:r>
            <w:br w:type="page"/>
          </w:r>
        </w:p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lastRenderedPageBreak/>
            <w:t>RESULTADOS</w:t>
          </w:r>
          <w:bookmarkStart w:id="0" w:name="_GoBack"/>
          <w:bookmarkEnd w:id="0"/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E DISCUSSÃO</w:t>
          </w:r>
        </w:p>
      </w:sdtContent>
    </w:sdt>
    <w:sdt>
      <w:sdtPr>
        <w:tag w:val="goog_rdk_47"/>
        <w:id w:val="131223867"/>
        <w:showingPlcHdr/>
      </w:sdtPr>
      <w:sdtEndPr/>
      <w:sdtContent>
        <w:p w:rsidR="00651729" w:rsidRPr="00651729" w:rsidRDefault="00BD54AA" w:rsidP="0065172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t xml:space="preserve">     </w:t>
          </w:r>
        </w:p>
      </w:sdtContent>
    </w:sdt>
    <w:p w:rsidR="00223748" w:rsidRDefault="00634A6B">
      <w:pPr>
        <w:tabs>
          <w:tab w:val="left" w:pos="1132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48"/>
          <w:id w:val="-1512142453"/>
        </w:sdtPr>
        <w:sdtEndPr/>
        <w:sdtContent>
          <w:r w:rsidR="00EF766B">
            <w:rPr>
              <w:rFonts w:ascii="Arial" w:eastAsia="Arial" w:hAnsi="Arial" w:cs="Arial"/>
              <w:sz w:val="24"/>
              <w:szCs w:val="24"/>
            </w:rPr>
            <w:t xml:space="preserve">Os resultados e as médias alcançadas nas análises de alcalinidade, realizadas em diferentes pontos do IFC-CC, durante as três semanas consecutivas, </w:t>
          </w:r>
        </w:sdtContent>
      </w:sdt>
      <w:sdt>
        <w:sdtPr>
          <w:tag w:val="goog_rdk_49"/>
          <w:id w:val="-220520300"/>
        </w:sdtPr>
        <w:sdtEndPr/>
        <w:sdtContent>
          <w:r w:rsidR="00EF766B">
            <w:rPr>
              <w:rFonts w:ascii="Arial" w:eastAsia="Arial" w:hAnsi="Arial" w:cs="Arial"/>
              <w:sz w:val="24"/>
              <w:szCs w:val="24"/>
            </w:rPr>
            <w:t xml:space="preserve">nos dias 12,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19</w:t>
          </w:r>
          <w:proofErr w:type="gramEnd"/>
          <w:r w:rsidR="00EF766B"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e</w:t>
          </w:r>
          <w:proofErr w:type="gramEnd"/>
          <w:r w:rsidR="00EF766B">
            <w:rPr>
              <w:rFonts w:ascii="Arial" w:eastAsia="Arial" w:hAnsi="Arial" w:cs="Arial"/>
              <w:sz w:val="24"/>
              <w:szCs w:val="24"/>
            </w:rPr>
            <w:t xml:space="preserve"> 26 de abril, de 2018, estão descritos na Tabela 1.</w:t>
          </w:r>
        </w:sdtContent>
      </w:sdt>
    </w:p>
    <w:sdt>
      <w:sdtPr>
        <w:tag w:val="goog_rdk_50"/>
        <w:id w:val="245847321"/>
        <w:showingPlcHdr/>
      </w:sdtPr>
      <w:sdtEndPr/>
      <w:sdtContent>
        <w:p w:rsidR="00223748" w:rsidRDefault="00BD54AA">
          <w:pPr>
            <w:tabs>
              <w:tab w:val="left" w:pos="1132"/>
            </w:tabs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1"/>
        <w:id w:val="37173670"/>
      </w:sdtPr>
      <w:sdtEndPr/>
      <w:sdtContent>
        <w:p w:rsidR="00223748" w:rsidRDefault="00EF766B">
          <w:pPr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1.</w:t>
          </w:r>
          <w:r>
            <w:rPr>
              <w:rFonts w:ascii="Arial" w:eastAsia="Arial" w:hAnsi="Arial" w:cs="Arial"/>
              <w:sz w:val="20"/>
              <w:szCs w:val="20"/>
            </w:rPr>
            <w:t xml:space="preserve"> Alcalinidade das amostras das águas subterrâneas do IFC-CC, em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2018.</w:t>
          </w:r>
          <w:proofErr w:type="gramEnd"/>
        </w:p>
      </w:sdtContent>
    </w:sdt>
    <w:tbl>
      <w:tblPr>
        <w:tblStyle w:val="a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223748"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2"/>
              <w:id w:val="-698241131"/>
              <w:showingPlcHdr/>
            </w:sdtPr>
            <w:sdtEndPr/>
            <w:sdtContent>
              <w:p w:rsidR="00223748" w:rsidRDefault="00BD54AA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3"/>
              <w:id w:val="128476495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Dia 12/04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4"/>
              <w:id w:val="-859044097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Dia 19/04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5"/>
              <w:id w:val="-1646345987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Dia 26/04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6"/>
              <w:id w:val="55621542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Média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7"/>
              <w:id w:val="-184878183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Desvio Padrão</w:t>
                </w:r>
              </w:p>
            </w:sdtContent>
          </w:sdt>
        </w:tc>
      </w:tr>
      <w:tr w:rsidR="00223748">
        <w:trPr>
          <w:trHeight w:val="440"/>
        </w:trPr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8"/>
              <w:id w:val="-826896758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Pontos de Coleta</w:t>
                </w:r>
              </w:p>
            </w:sdtContent>
          </w:sdt>
        </w:tc>
        <w:tc>
          <w:tcPr>
            <w:tcW w:w="7555" w:type="dxa"/>
            <w:gridSpan w:val="5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9"/>
              <w:id w:val="-182326603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(</w:t>
                </w:r>
                <w:proofErr w:type="gram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mg</w:t>
                </w:r>
                <w:proofErr w:type="gram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de CaCO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/L)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4"/>
              <w:id w:val="199660727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gram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Mangueira Bovino</w:t>
                </w:r>
                <w:proofErr w:type="gramEnd"/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5"/>
              <w:id w:val="-192300996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21,0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6"/>
              <w:id w:val="-1187137468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20,0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7"/>
              <w:id w:val="193292993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26,0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8"/>
              <w:id w:val="-808861106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22,3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9"/>
              <w:id w:val="-169390396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3,2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0"/>
              <w:id w:val="1193964776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gram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Torneira Bovino</w:t>
                </w:r>
                <w:proofErr w:type="gramEnd"/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1"/>
              <w:id w:val="141581565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21,0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2"/>
              <w:id w:val="-385885306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18,0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"/>
              <w:id w:val="-674899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19,0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"/>
              <w:id w:val="203583830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19,3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5"/>
              <w:id w:val="1844113707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1,5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6"/>
              <w:id w:val="155133827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Cisterna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7"/>
              <w:id w:val="-97128219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82,5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8"/>
              <w:id w:val="-6295599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87,0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9"/>
              <w:id w:val="186755644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83,5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0"/>
              <w:id w:val="142105812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84,3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1"/>
              <w:id w:val="196383566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2,3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2"/>
              <w:id w:val="-119275185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EPAGRI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3"/>
              <w:id w:val="-1880847764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86,0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4"/>
              <w:id w:val="-157597327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87,5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5"/>
              <w:id w:val="-1775089027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85,0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6"/>
              <w:id w:val="-356039384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86,2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7"/>
              <w:id w:val="184643888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1,2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8"/>
              <w:id w:val="56468434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Ginásio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9"/>
              <w:id w:val="-2056760178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0"/>
              <w:id w:val="606856084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1"/>
              <w:id w:val="38861869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83,5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2"/>
              <w:id w:val="-1508422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3"/>
              <w:id w:val="-168928481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0,5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4"/>
              <w:id w:val="37774424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Torneira Laboratório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5"/>
              <w:id w:val="-28797410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82,0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6"/>
              <w:id w:val="-165275659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7"/>
              <w:id w:val="-54259514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86,0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8"/>
              <w:id w:val="60816459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84,2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9"/>
              <w:id w:val="-176853204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2,0</w:t>
                </w:r>
              </w:p>
            </w:sdtContent>
          </w:sdt>
        </w:tc>
      </w:tr>
    </w:tbl>
    <w:sdt>
      <w:sdtPr>
        <w:tag w:val="goog_rdk_100"/>
        <w:id w:val="2118484889"/>
      </w:sdtPr>
      <w:sdtEndPr/>
      <w:sdtContent>
        <w:p w:rsidR="00223748" w:rsidRDefault="00EF766B">
          <w:pPr>
            <w:spacing w:after="0" w:line="360" w:lineRule="auto"/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Fonte: A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autora.</w:t>
          </w:r>
          <w:proofErr w:type="gramEnd"/>
        </w:p>
      </w:sdtContent>
    </w:sdt>
    <w:sdt>
      <w:sdtPr>
        <w:tag w:val="goog_rdk_101"/>
        <w:id w:val="-317114590"/>
        <w:showingPlcHdr/>
      </w:sdtPr>
      <w:sdtEndPr/>
      <w:sdtContent>
        <w:p w:rsidR="00223748" w:rsidRDefault="00BD54AA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2"/>
        <w:id w:val="1835874262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Observando a tabela e os dados obtidos, pode-se notar que, em alguns pontos, como na torneira e na mangueira do bovino de leite, os valores são bem menores, quando comparados aos pontos da Cisterna e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EPAGRI.</w:t>
          </w:r>
          <w:proofErr w:type="gramEnd"/>
        </w:p>
      </w:sdtContent>
    </w:sdt>
    <w:sdt>
      <w:sdtPr>
        <w:tag w:val="goog_rdk_103"/>
        <w:id w:val="1876885395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A variação entre esses pontos ocorre devido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diferença entre suas profundidades, ou seja, na mangueira e torneira do bovino os valores são menores por serem provenientes de fontes de 20m de profundidade, o que impede que a água possua tantos minerais. Já a água da Cisterna, que provêm de 75m de profundidade, tem mais tempo de contato com o solo, durante o processo de infiltração, carregando maior quantidade de minerais e tornando-se mais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alcalina.</w:t>
          </w:r>
          <w:proofErr w:type="gramEnd"/>
        </w:p>
      </w:sdtContent>
    </w:sdt>
    <w:sdt>
      <w:sdtPr>
        <w:tag w:val="goog_rdk_104"/>
        <w:id w:val="1008251403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Analisando os resultados da Tabela 1, percebeu-se que houve alteração no ponto da mangueira do bovino, entre a segunda e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terceira semana, com variação de 6,0 mg de CaCO</w:t>
          </w:r>
          <w:r>
            <w:rPr>
              <w:rFonts w:ascii="Arial" w:eastAsia="Arial" w:hAnsi="Arial" w:cs="Arial"/>
              <w:sz w:val="24"/>
              <w:szCs w:val="24"/>
              <w:highlight w:val="white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/L. Esta mudança pode ter ocorrido em função da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lastRenderedPageBreak/>
            <w:t>exposição prolongada da amostra ao ar, durante a titulação, estando em contato não apenas com microrganismos, como também com o gás carbônico (CO</w:t>
          </w:r>
          <w:r>
            <w:rPr>
              <w:rFonts w:ascii="Arial" w:eastAsia="Arial" w:hAnsi="Arial" w:cs="Arial"/>
              <w:sz w:val="24"/>
              <w:szCs w:val="24"/>
              <w:highlight w:val="white"/>
              <w:vertAlign w:val="subscript"/>
            </w:rPr>
            <w:t>2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).</w:t>
          </w:r>
        </w:p>
      </w:sdtContent>
    </w:sdt>
    <w:sdt>
      <w:sdtPr>
        <w:tag w:val="goog_rdk_105"/>
        <w:id w:val="-1530873780"/>
      </w:sdtPr>
      <w:sdtEndPr/>
      <w:sdtContent>
        <w:p w:rsidR="00223748" w:rsidRDefault="00EF766B">
          <w:pPr>
            <w:widowControl w:val="0"/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Com a finalidade de comparar os resultados das análises realizadas em 2018 com os de 2015, segue abaixo a Tabela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2.</w:t>
          </w:r>
          <w:proofErr w:type="gramEnd"/>
        </w:p>
      </w:sdtContent>
    </w:sdt>
    <w:sdt>
      <w:sdtPr>
        <w:tag w:val="goog_rdk_106"/>
        <w:id w:val="-1730298710"/>
        <w:showingPlcHdr/>
      </w:sdtPr>
      <w:sdtEndPr/>
      <w:sdtContent>
        <w:p w:rsidR="00223748" w:rsidRDefault="00BD54AA">
          <w:pPr>
            <w:widowControl w:val="0"/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7"/>
        <w:id w:val="833186015"/>
      </w:sdtPr>
      <w:sdtEndPr/>
      <w:sdtContent>
        <w:p w:rsidR="00223748" w:rsidRDefault="00EF766B">
          <w:pPr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2.</w:t>
          </w:r>
          <w:r>
            <w:rPr>
              <w:rFonts w:ascii="Arial" w:eastAsia="Arial" w:hAnsi="Arial" w:cs="Arial"/>
              <w:sz w:val="20"/>
              <w:szCs w:val="20"/>
            </w:rPr>
            <w:t xml:space="preserve"> Resultados de alcalinidade das águas subterrâneas do IFC-CC, em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2015.</w:t>
          </w:r>
          <w:proofErr w:type="gramEnd"/>
        </w:p>
      </w:sdtContent>
    </w:sdt>
    <w:tbl>
      <w:tblPr>
        <w:tblStyle w:val="a0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223748"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8"/>
              <w:id w:val="-2038807965"/>
              <w:showingPlcHdr/>
            </w:sdtPr>
            <w:sdtEndPr/>
            <w:sdtContent>
              <w:p w:rsidR="00223748" w:rsidRDefault="00BD54AA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9"/>
              <w:id w:val="70074809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15/09/15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65133094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22/09/15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1"/>
              <w:id w:val="-157011179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29/09/15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169688703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Média</w:t>
                </w:r>
              </w:p>
            </w:sdtContent>
          </w:sdt>
        </w:tc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"/>
              <w:id w:val="1733420637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Desvio Padrão</w:t>
                </w:r>
              </w:p>
            </w:sdtContent>
          </w:sdt>
        </w:tc>
      </w:tr>
      <w:tr w:rsidR="00223748">
        <w:trPr>
          <w:trHeight w:val="440"/>
        </w:trPr>
        <w:tc>
          <w:tcPr>
            <w:tcW w:w="1511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-58206593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Pontos de Coleta</w:t>
                </w:r>
              </w:p>
            </w:sdtContent>
          </w:sdt>
        </w:tc>
        <w:tc>
          <w:tcPr>
            <w:tcW w:w="7555" w:type="dxa"/>
            <w:gridSpan w:val="5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-1484850308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(</w:t>
                </w:r>
                <w:proofErr w:type="gram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mg</w:t>
                </w:r>
                <w:proofErr w:type="gram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de CaCO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/L)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73050894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Limpeza do Setor Bovino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1"/>
              <w:id w:val="-44855302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17,8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2"/>
              <w:id w:val="-90915407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19,4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3"/>
              <w:id w:val="88522195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20,5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"/>
              <w:id w:val="2061049758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19,2</w:t>
                </w:r>
              </w:p>
            </w:sdtContent>
          </w:sdt>
        </w:tc>
        <w:tc>
          <w:tcPr>
            <w:tcW w:w="151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"/>
              <w:id w:val="103092100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1,3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6"/>
              <w:id w:val="80335700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gram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Torneira Bovino</w:t>
                </w:r>
                <w:proofErr w:type="gramEnd"/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7"/>
              <w:id w:val="192322415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20,5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8"/>
              <w:id w:val="-907303494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20,9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"/>
              <w:id w:val="57277652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21,7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"/>
              <w:id w:val="-1092545976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21,0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"/>
              <w:id w:val="-192895085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0,5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"/>
              <w:id w:val="78724580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EPAGRI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"/>
              <w:id w:val="179642190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93,1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"/>
              <w:id w:val="844830273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94,2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"/>
              <w:id w:val="191119611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95,8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"/>
              <w:id w:val="84406339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94,4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"/>
              <w:id w:val="-162630056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1,3</w:t>
                </w:r>
              </w:p>
            </w:sdtContent>
          </w:sdt>
        </w:tc>
      </w:tr>
      <w:tr w:rsidR="00223748"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"/>
              <w:id w:val="184944168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Cisterna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-100050612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98,1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144959618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99,7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1118796035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102,0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"/>
              <w:id w:val="-732611752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99,9</w:t>
                </w:r>
              </w:p>
            </w:sdtContent>
          </w:sdt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3"/>
              <w:id w:val="-491870909"/>
            </w:sdtPr>
            <w:sdtEndPr/>
            <w:sdtContent>
              <w:p w:rsidR="00223748" w:rsidRDefault="00EF766B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1,9</w:t>
                </w:r>
              </w:p>
            </w:sdtContent>
          </w:sdt>
        </w:tc>
      </w:tr>
    </w:tbl>
    <w:sdt>
      <w:sdtPr>
        <w:tag w:val="goog_rdk_144"/>
        <w:id w:val="1402800368"/>
      </w:sdtPr>
      <w:sdtEndPr/>
      <w:sdtContent>
        <w:p w:rsidR="00223748" w:rsidRDefault="00EF766B" w:rsidP="00BD54AA">
          <w:pPr>
            <w:widowControl w:val="0"/>
            <w:spacing w:after="0" w:line="360" w:lineRule="auto"/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Fonte: A </w:t>
          </w:r>
          <w:proofErr w:type="gramStart"/>
          <w:r>
            <w:rPr>
              <w:rFonts w:ascii="Arial" w:eastAsia="Arial" w:hAnsi="Arial" w:cs="Arial"/>
              <w:sz w:val="20"/>
              <w:szCs w:val="20"/>
            </w:rPr>
            <w:t>autora.</w:t>
          </w:r>
          <w:proofErr w:type="gramEnd"/>
        </w:p>
      </w:sdtContent>
    </w:sdt>
    <w:sdt>
      <w:sdtPr>
        <w:tag w:val="goog_rdk_145"/>
        <w:id w:val="397785861"/>
        <w:showingPlcHdr/>
      </w:sdtPr>
      <w:sdtEndPr/>
      <w:sdtContent>
        <w:p w:rsidR="00223748" w:rsidRDefault="00BD54AA">
          <w:pPr>
            <w:widowControl w:val="0"/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46"/>
        <w:id w:val="431952669"/>
      </w:sdtPr>
      <w:sdtEndPr/>
      <w:sdtContent>
        <w:p w:rsidR="00223748" w:rsidRDefault="00EF766B">
          <w:pPr>
            <w:widowControl w:val="0"/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Pode-se observar que os valores do ano de 2015 são um pouco maiores, nos pontos de maior profundidade, devido ao longo período de chuvas durante as semanas de análise naquele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ano.</w:t>
          </w:r>
          <w:proofErr w:type="gramEnd"/>
        </w:p>
      </w:sdtContent>
    </w:sdt>
    <w:sdt>
      <w:sdtPr>
        <w:tag w:val="goog_rdk_147"/>
        <w:id w:val="-1975524422"/>
      </w:sdtPr>
      <w:sdtEndPr/>
      <w:sdtContent>
        <w:p w:rsidR="00223748" w:rsidRDefault="00EF766B">
          <w:pPr>
            <w:widowControl w:val="0"/>
            <w:spacing w:after="0" w:line="360" w:lineRule="auto"/>
            <w:ind w:firstLine="1133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Contudo, os resultados deste projeto, quando comparados aos de 2015, em muito se assemelham, tendo em vista que as águas menos profundas encontravam-se entre 17,84 - 21,72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mg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e em 2018 os valores obtidos ficaram entre 19,0 - 26,0 mg.L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. Nas amostras de águas mais profundas, o resultado estava entre 93,12 - 102,04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mg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no ao ano de 2015 e, em 2018 ficaram entre 82,0 - 87,5 mg.L</w:t>
          </w:r>
          <w:r>
            <w:rPr>
              <w:rFonts w:ascii="Arial" w:eastAsia="Arial" w:hAnsi="Arial" w:cs="Arial"/>
              <w:sz w:val="24"/>
              <w:szCs w:val="24"/>
              <w:vertAlign w:val="superscript"/>
            </w:rPr>
            <w:t>-1</w:t>
          </w:r>
          <w:r>
            <w:rPr>
              <w:rFonts w:ascii="Arial" w:eastAsia="Arial" w:hAnsi="Arial" w:cs="Arial"/>
              <w:sz w:val="24"/>
              <w:szCs w:val="24"/>
            </w:rPr>
            <w:t xml:space="preserve"> de CaCO</w:t>
          </w:r>
          <w:r>
            <w:rPr>
              <w:rFonts w:ascii="Arial" w:eastAsia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sdt>
      <w:sdtPr>
        <w:tag w:val="goog_rdk_148"/>
        <w:id w:val="-859277568"/>
        <w:showingPlcHdr/>
      </w:sdtPr>
      <w:sdtEndPr/>
      <w:sdtContent>
        <w:p w:rsidR="00223748" w:rsidRDefault="00BD54AA">
          <w:pPr>
            <w:widowControl w:val="0"/>
            <w:spacing w:after="0" w:line="240" w:lineRule="auto"/>
            <w:ind w:firstLine="1133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49"/>
        <w:id w:val="-1946530253"/>
        <w:showingPlcHdr/>
      </w:sdtPr>
      <w:sdtEndPr/>
      <w:sdtContent>
        <w:p w:rsidR="00223748" w:rsidRDefault="00BD54AA">
          <w:pPr>
            <w:widowControl w:val="0"/>
            <w:spacing w:after="0" w:line="240" w:lineRule="auto"/>
            <w:ind w:firstLine="1133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50"/>
        <w:id w:val="1192875884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CONCLUSÕES</w:t>
          </w:r>
        </w:p>
      </w:sdtContent>
    </w:sdt>
    <w:sdt>
      <w:sdtPr>
        <w:tag w:val="goog_rdk_151"/>
        <w:id w:val="-1173257825"/>
        <w:showingPlcHdr/>
      </w:sdtPr>
      <w:sdtEndPr/>
      <w:sdtContent>
        <w:p w:rsidR="00223748" w:rsidRDefault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52"/>
        <w:id w:val="512029229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As amostras da água subterrânea de pontos específicos do IFC-CC, submetidas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análise e determinação de alcalinidade por meio da titulação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volumétrica ácido-base, apresentados na Tabela 1, alcançaram o objetivo proposto no início do trabalho.</w:t>
          </w:r>
        </w:p>
      </w:sdtContent>
    </w:sdt>
    <w:sdt>
      <w:sdtPr>
        <w:tag w:val="goog_rdk_153"/>
        <w:id w:val="457224240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Comprovou-se por meio das análises que a alcalinidade aumenta em função da profundidade da fonte da amostra de água, em consequência do maior tempo de contato entre a água que infiltra no solo e os minerais nele presentes. Assim, ocorre maior diluição e carregamento dos minerais, o que torna a água mais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alcalina.</w:t>
          </w:r>
          <w:proofErr w:type="gramEnd"/>
        </w:p>
      </w:sdtContent>
    </w:sdt>
    <w:sdt>
      <w:sdtPr>
        <w:tag w:val="goog_rdk_154"/>
        <w:id w:val="2090423368"/>
      </w:sdtPr>
      <w:sdtEndPr/>
      <w:sdtContent>
        <w:p w:rsidR="00223748" w:rsidRDefault="00EF766B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Constatou-se ainda, ao comparar com dados de anos anteriores a semelhança dos resultados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obtidos.</w:t>
          </w:r>
          <w:proofErr w:type="gramEnd"/>
        </w:p>
      </w:sdtContent>
    </w:sdt>
    <w:sdt>
      <w:sdtPr>
        <w:tag w:val="goog_rdk_155"/>
        <w:id w:val="-1232067006"/>
        <w:showingPlcHdr/>
      </w:sdtPr>
      <w:sdtEndPr/>
      <w:sdtContent>
        <w:p w:rsidR="00223748" w:rsidRDefault="00BD54AA">
          <w:pPr>
            <w:spacing w:after="0" w:line="24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56"/>
        <w:id w:val="129990867"/>
        <w:showingPlcHdr/>
      </w:sdtPr>
      <w:sdtEndPr/>
      <w:sdtContent>
        <w:p w:rsidR="00223748" w:rsidRDefault="00BD54AA">
          <w:pPr>
            <w:spacing w:after="0" w:line="24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57"/>
        <w:id w:val="-1986933947"/>
      </w:sdtPr>
      <w:sdtEndPr/>
      <w:sdtContent>
        <w:p w:rsidR="00BD54AA" w:rsidRDefault="00EF766B" w:rsidP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  <w:p w:rsidR="00223748" w:rsidRDefault="00634A6B" w:rsidP="00BD54A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158"/>
        <w:id w:val="-2018296030"/>
      </w:sdtPr>
      <w:sdtEndPr/>
      <w:sdtContent>
        <w:p w:rsidR="00223748" w:rsidRDefault="00EF76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DI BERNARDO, Luiz; DI BERNARDO, </w:t>
          </w:r>
          <w:proofErr w:type="spell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Angela</w:t>
          </w:r>
          <w:proofErr w:type="spell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; CENTURIONE FILHO, Paulo Luiz. </w:t>
          </w:r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 xml:space="preserve">Ensaios de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>tratabilidade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 xml:space="preserve"> de água e dos resíduos gerados em estações de tratamento de água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São Carlos: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Rima,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2002.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237p.</w:t>
          </w:r>
          <w:proofErr w:type="gramEnd"/>
        </w:p>
      </w:sdtContent>
    </w:sdt>
    <w:sdt>
      <w:sdtPr>
        <w:tag w:val="goog_rdk_159"/>
        <w:id w:val="1069309041"/>
        <w:showingPlcHdr/>
      </w:sdtPr>
      <w:sdtEndPr/>
      <w:sdtContent>
        <w:p w:rsidR="00223748" w:rsidRDefault="00BD54A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60"/>
        <w:id w:val="-1409217264"/>
      </w:sdtPr>
      <w:sdtEndPr/>
      <w:sdtContent>
        <w:p w:rsidR="00223748" w:rsidRDefault="00EF76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MACÊDO, Jorge Antônio Barros de. </w:t>
          </w:r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>Métodos laboratoriais de análises físico-químicas e microbiológicas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2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ed. Belo Horizonte: CRQ-MG, 2003.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450p.</w:t>
          </w:r>
          <w:proofErr w:type="gramEnd"/>
        </w:p>
      </w:sdtContent>
    </w:sdt>
    <w:sdt>
      <w:sdtPr>
        <w:tag w:val="goog_rdk_161"/>
        <w:id w:val="1822001958"/>
        <w:showingPlcHdr/>
      </w:sdtPr>
      <w:sdtEndPr/>
      <w:sdtContent>
        <w:p w:rsidR="00223748" w:rsidRDefault="00BD54A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t xml:space="preserve">     </w:t>
          </w:r>
        </w:p>
      </w:sdtContent>
    </w:sdt>
    <w:sdt>
      <w:sdtPr>
        <w:tag w:val="goog_rdk_162"/>
        <w:id w:val="-1725060947"/>
      </w:sdtPr>
      <w:sdtEndPr/>
      <w:sdtContent>
        <w:p w:rsidR="00223748" w:rsidRDefault="00EF76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MOTA, </w:t>
          </w:r>
          <w:proofErr w:type="spell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Suetônio</w:t>
          </w:r>
          <w:proofErr w:type="spell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</w:t>
          </w:r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>Preservação e conservação de recursos hídricos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2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ed. Rio de Janeiro: ABES, 1995.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200p.</w:t>
          </w:r>
          <w:proofErr w:type="gramEnd"/>
        </w:p>
      </w:sdtContent>
    </w:sdt>
    <w:sdt>
      <w:sdtPr>
        <w:tag w:val="goog_rdk_163"/>
        <w:id w:val="1516656362"/>
      </w:sdtPr>
      <w:sdtEndPr/>
      <w:sdtContent>
        <w:p w:rsidR="00223748" w:rsidRDefault="00634A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</w:p>
      </w:sdtContent>
    </w:sdt>
    <w:sdt>
      <w:sdtPr>
        <w:tag w:val="goog_rdk_164"/>
        <w:id w:val="-1668011345"/>
      </w:sdtPr>
      <w:sdtEndPr/>
      <w:sdtContent>
        <w:p w:rsidR="00223748" w:rsidRDefault="00EF76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REIS, </w:t>
          </w:r>
          <w:proofErr w:type="spell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Dilson</w:t>
          </w:r>
          <w:proofErr w:type="spell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</w:t>
          </w:r>
          <w:r>
            <w:rPr>
              <w:rFonts w:ascii="Arial" w:eastAsia="Arial" w:hAnsi="Arial" w:cs="Arial"/>
              <w:b/>
              <w:sz w:val="24"/>
              <w:szCs w:val="24"/>
              <w:highlight w:val="white"/>
            </w:rPr>
            <w:t>Relatório de alcalinidade e dureza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. 2011. Disponível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em:</w:t>
          </w:r>
          <w:proofErr w:type="gramEnd"/>
        </w:p>
      </w:sdtContent>
    </w:sdt>
    <w:sdt>
      <w:sdtPr>
        <w:tag w:val="goog_rdk_165"/>
        <w:id w:val="-999120145"/>
      </w:sdtPr>
      <w:sdtEndPr/>
      <w:sdtContent>
        <w:p w:rsidR="00223748" w:rsidRDefault="00EF76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&lt;http://www.ebah.com.br/content/ABAAAff18AJ/relatorio-alacalinidade-dureza&gt;. Acesso em: 02 ago.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2018.</w:t>
          </w:r>
          <w:proofErr w:type="gramEnd"/>
        </w:p>
      </w:sdtContent>
    </w:sdt>
    <w:sdt>
      <w:sdtPr>
        <w:tag w:val="goog_rdk_166"/>
        <w:id w:val="105940320"/>
      </w:sdtPr>
      <w:sdtEndPr/>
      <w:sdtContent>
        <w:p w:rsidR="00223748" w:rsidRDefault="00634A6B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:rsidR="00223748" w:rsidRPr="00A6188E" w:rsidRDefault="00634A6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sdt>
        <w:sdtPr>
          <w:tag w:val="goog_rdk_167"/>
          <w:id w:val="496313248"/>
        </w:sdtPr>
        <w:sdtEndPr/>
        <w:sdtContent>
          <w:r w:rsidR="00EF766B">
            <w:rPr>
              <w:rFonts w:ascii="Arial" w:eastAsia="Arial" w:hAnsi="Arial" w:cs="Arial"/>
              <w:sz w:val="24"/>
              <w:szCs w:val="24"/>
            </w:rPr>
            <w:t xml:space="preserve">SILVA, Anelise C.;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FARIAS,</w:t>
          </w:r>
          <w:proofErr w:type="gramEnd"/>
          <w:r w:rsidR="00EF766B">
            <w:rPr>
              <w:rFonts w:ascii="Arial" w:eastAsia="Arial" w:hAnsi="Arial" w:cs="Arial"/>
              <w:sz w:val="24"/>
              <w:szCs w:val="24"/>
            </w:rPr>
            <w:t xml:space="preserve"> Vitória da S.</w:t>
          </w:r>
          <w:r w:rsidR="00A6188E">
            <w:rPr>
              <w:rFonts w:ascii="Arial" w:eastAsia="Arial" w:hAnsi="Arial" w:cs="Arial"/>
              <w:sz w:val="24"/>
              <w:szCs w:val="24"/>
            </w:rPr>
            <w:t>; TEIXEIRA, Ana C. F.; MARTENDAL, Adriano.</w:t>
          </w:r>
          <w:r w:rsidR="00EF766B">
            <w:rPr>
              <w:rFonts w:ascii="Arial" w:eastAsia="Arial" w:hAnsi="Arial" w:cs="Arial"/>
              <w:b/>
              <w:sz w:val="24"/>
              <w:szCs w:val="24"/>
            </w:rPr>
            <w:t xml:space="preserve"> Análise da alcalinidade das águas subterrâneas utilizadas no IFC – Campus</w:t>
          </w:r>
        </w:sdtContent>
      </w:sdt>
      <w:r w:rsidR="00A6188E">
        <w:rPr>
          <w:rFonts w:ascii="Arial" w:eastAsia="Arial" w:hAnsi="Arial" w:cs="Arial"/>
          <w:b/>
          <w:sz w:val="24"/>
          <w:szCs w:val="24"/>
        </w:rPr>
        <w:t xml:space="preserve"> </w:t>
      </w:r>
      <w:sdt>
        <w:sdtPr>
          <w:tag w:val="goog_rdk_168"/>
          <w:id w:val="-226613517"/>
        </w:sdtPr>
        <w:sdtEndPr/>
        <w:sdtContent>
          <w:r w:rsidR="00EF766B">
            <w:rPr>
              <w:rFonts w:ascii="Arial" w:eastAsia="Arial" w:hAnsi="Arial" w:cs="Arial"/>
              <w:b/>
              <w:sz w:val="24"/>
              <w:szCs w:val="24"/>
            </w:rPr>
            <w:t>Camboriú.</w:t>
          </w:r>
          <w:r w:rsidR="00EF766B">
            <w:rPr>
              <w:rFonts w:ascii="Arial" w:eastAsia="Arial" w:hAnsi="Arial" w:cs="Arial"/>
              <w:sz w:val="24"/>
              <w:szCs w:val="24"/>
            </w:rPr>
            <w:t xml:space="preserve"> 2014. In: FEIRA DE INICIAÇÃO CIENTÍFICA E EXTENSÃO, 5,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2014,</w:t>
          </w:r>
          <w:proofErr w:type="gramEnd"/>
        </w:sdtContent>
      </w:sdt>
      <w:r w:rsidR="00A6188E">
        <w:rPr>
          <w:rFonts w:ascii="Arial" w:eastAsia="Arial" w:hAnsi="Arial" w:cs="Arial"/>
          <w:b/>
          <w:sz w:val="24"/>
          <w:szCs w:val="24"/>
        </w:rPr>
        <w:t xml:space="preserve"> </w:t>
      </w:r>
      <w:sdt>
        <w:sdtPr>
          <w:tag w:val="goog_rdk_169"/>
          <w:id w:val="2036692581"/>
        </w:sdtPr>
        <w:sdtEndPr/>
        <w:sdtContent>
          <w:r w:rsidR="00EF766B">
            <w:rPr>
              <w:rFonts w:ascii="Arial" w:eastAsia="Arial" w:hAnsi="Arial" w:cs="Arial"/>
              <w:sz w:val="24"/>
              <w:szCs w:val="24"/>
            </w:rPr>
            <w:t>Camboriú. Anais. Camboriú: Instituto Federal de Educação, Ciência e Tecnologia</w:t>
          </w:r>
        </w:sdtContent>
      </w:sdt>
      <w:r w:rsidR="00A6188E">
        <w:rPr>
          <w:rFonts w:ascii="Arial" w:eastAsia="Arial" w:hAnsi="Arial" w:cs="Arial"/>
          <w:b/>
          <w:sz w:val="24"/>
          <w:szCs w:val="24"/>
        </w:rPr>
        <w:t xml:space="preserve"> </w:t>
      </w:r>
      <w:sdt>
        <w:sdtPr>
          <w:tag w:val="goog_rdk_170"/>
          <w:id w:val="1622183137"/>
        </w:sdtPr>
        <w:sdtEndPr/>
        <w:sdtContent>
          <w:r w:rsidR="00EF766B">
            <w:rPr>
              <w:rFonts w:ascii="Arial" w:eastAsia="Arial" w:hAnsi="Arial" w:cs="Arial"/>
              <w:sz w:val="24"/>
              <w:szCs w:val="24"/>
            </w:rPr>
            <w:t xml:space="preserve">Catarinense – Campus Camboriú, 2014. </w:t>
          </w:r>
          <w:proofErr w:type="gramStart"/>
          <w:r w:rsidR="00EF766B">
            <w:rPr>
              <w:rFonts w:ascii="Arial" w:eastAsia="Arial" w:hAnsi="Arial" w:cs="Arial"/>
              <w:sz w:val="24"/>
              <w:szCs w:val="24"/>
            </w:rPr>
            <w:t>1</w:t>
          </w:r>
          <w:proofErr w:type="gramEnd"/>
          <w:r w:rsidR="00EF766B">
            <w:rPr>
              <w:rFonts w:ascii="Arial" w:eastAsia="Arial" w:hAnsi="Arial" w:cs="Arial"/>
              <w:sz w:val="24"/>
              <w:szCs w:val="24"/>
            </w:rPr>
            <w:t xml:space="preserve"> CD-ROM.</w:t>
          </w:r>
        </w:sdtContent>
      </w:sdt>
    </w:p>
    <w:sectPr w:rsidR="00223748" w:rsidRPr="00A6188E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A6B" w:rsidRDefault="00634A6B">
      <w:pPr>
        <w:spacing w:after="0" w:line="240" w:lineRule="auto"/>
      </w:pPr>
      <w:r>
        <w:separator/>
      </w:r>
    </w:p>
  </w:endnote>
  <w:endnote w:type="continuationSeparator" w:id="0">
    <w:p w:rsidR="00634A6B" w:rsidRDefault="0063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A6B" w:rsidRDefault="00634A6B">
      <w:pPr>
        <w:spacing w:after="0" w:line="240" w:lineRule="auto"/>
      </w:pPr>
      <w:r>
        <w:separator/>
      </w:r>
    </w:p>
  </w:footnote>
  <w:footnote w:type="continuationSeparator" w:id="0">
    <w:p w:rsidR="00634A6B" w:rsidRDefault="00634A6B">
      <w:pPr>
        <w:spacing w:after="0" w:line="240" w:lineRule="auto"/>
      </w:pPr>
      <w:r>
        <w:continuationSeparator/>
      </w:r>
    </w:p>
  </w:footnote>
  <w:footnote w:id="1">
    <w:sdt>
      <w:sdtPr>
        <w:tag w:val="goog_rdk_171"/>
        <w:id w:val="495386750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Estudante do curso de Controle Ambiental IFC - Campus Camboriú. E-mail: zaydaliriel@hotmail.com</w:t>
          </w:r>
        </w:p>
      </w:sdtContent>
    </w:sdt>
  </w:footnote>
  <w:footnote w:id="2">
    <w:sdt>
      <w:sdtPr>
        <w:tag w:val="goog_rdk_172"/>
        <w:id w:val="706066228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Doutora em Química, UFSC; Professora do IFC - Campus Camboriú. E-mail: ana.teixeira@ifc.edu.br</w:t>
          </w:r>
        </w:p>
      </w:sdtContent>
    </w:sdt>
  </w:footnote>
  <w:footnote w:id="3">
    <w:sdt>
      <w:sdtPr>
        <w:tag w:val="goog_rdk_173"/>
        <w:id w:val="-1271623952"/>
      </w:sdtPr>
      <w:sdtEndPr/>
      <w:sdtContent>
        <w:p w:rsidR="00223748" w:rsidRDefault="00EF766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Doutor em Química, UFSC; Professor do IFC - Campus Camboriú. E-mail: adriano.martendal@ifc.edu.br</w:t>
          </w:r>
        </w:p>
      </w:sdtContent>
    </w:sdt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174"/>
      <w:id w:val="-1598320851"/>
    </w:sdtPr>
    <w:sdtEndPr/>
    <w:sdtContent>
      <w:p w:rsidR="00223748" w:rsidRDefault="00EF766B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>
              <wp:extent cx="3619474" cy="584084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474" cy="58408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175"/>
      <w:id w:val="221341049"/>
    </w:sdtPr>
    <w:sdtEndPr/>
    <w:sdtContent>
      <w:p w:rsidR="00223748" w:rsidRDefault="00634A6B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3748"/>
    <w:rsid w:val="00147EDD"/>
    <w:rsid w:val="00223748"/>
    <w:rsid w:val="002E1504"/>
    <w:rsid w:val="00634A6B"/>
    <w:rsid w:val="00651729"/>
    <w:rsid w:val="009A198B"/>
    <w:rsid w:val="00A6188E"/>
    <w:rsid w:val="00BD54AA"/>
    <w:rsid w:val="00E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3A5676"/>
  </w:style>
  <w:style w:type="table" w:customStyle="1" w:styleId="TableNormal1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3A5676"/>
  </w:style>
  <w:style w:type="table" w:customStyle="1" w:styleId="TableNormal1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WbcYANBz67jM8o/y9XMVuEG6Q==">AMUW2mUNH63CB9bg21Wm0SjFlUDYSKBwVUD82A8xCHUNJqPxJc3DVAC8vOYgzVWBoZ5/Jv6bW09vAluhYZZEeMHO5fySxq/G5nrcaSFd/f+ruarTMpV6gTDRAWFd3HSWmkYvi5gdRhtLEtj4OkiSFIniC6xHLJIhqKTzVO6rXYjNOMl8+BGImgI=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1570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Adriano IFC</cp:lastModifiedBy>
  <cp:revision>5</cp:revision>
  <cp:lastPrinted>2019-07-04T13:17:00Z</cp:lastPrinted>
  <dcterms:created xsi:type="dcterms:W3CDTF">2019-07-03T13:41:00Z</dcterms:created>
  <dcterms:modified xsi:type="dcterms:W3CDTF">2019-07-04T13:19:00Z</dcterms:modified>
</cp:coreProperties>
</file>