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FA0" w:rsidRDefault="00541B0C">
      <w:pPr>
        <w:spacing w:before="120" w:after="12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LEVANTAMENTO DOS ESTABELECIMENTOS QUE OFERECEM CARDÁPIOS À TURISTAS E MORADORES COM RESTRIÇÕES ALIMENTARES EM BALNEÁRIO CAMBORIÚ</w:t>
      </w:r>
    </w:p>
    <w:p w:rsidR="00247FA0" w:rsidRDefault="00541B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sz w:val="24"/>
          <w:szCs w:val="24"/>
        </w:rPr>
        <w:t>Bruna Martins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sz w:val="24"/>
          <w:szCs w:val="24"/>
        </w:rPr>
        <w:t>,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Isadora Rafaela Santos Simão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>
        <w:rPr>
          <w:rFonts w:ascii="Arial" w:eastAsia="Arial" w:hAnsi="Arial" w:cs="Arial"/>
          <w:i/>
          <w:sz w:val="24"/>
          <w:szCs w:val="24"/>
        </w:rPr>
        <w:t>, Keila de Matos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>
        <w:rPr>
          <w:rFonts w:ascii="Arial" w:eastAsia="Arial" w:hAnsi="Arial" w:cs="Arial"/>
          <w:i/>
          <w:sz w:val="24"/>
          <w:szCs w:val="24"/>
        </w:rPr>
        <w:t>,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Eliziane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Carla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Scariot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4"/>
      </w:r>
      <w:r>
        <w:rPr>
          <w:rFonts w:ascii="Arial" w:eastAsia="Arial" w:hAnsi="Arial" w:cs="Arial"/>
          <w:i/>
          <w:sz w:val="24"/>
          <w:szCs w:val="24"/>
        </w:rPr>
        <w:t>,Fernanda Carvalho Humann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5"/>
      </w:r>
    </w:p>
    <w:p w:rsidR="00247FA0" w:rsidRDefault="00247F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247FA0" w:rsidRDefault="00541B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247FA0" w:rsidRDefault="00247F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247FA0" w:rsidRDefault="00541B0C">
      <w:pPr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alimentação é um fator muito importante para a  qualidade de vida das pessoas. As restrições alimentares, podem privar o turista de aproveitar sua viagem. Diante disso, nosso objetivo foi verificar se os estabelecimentos de Balneário Camboriú estavam hab</w:t>
      </w:r>
      <w:r>
        <w:rPr>
          <w:rFonts w:ascii="Arial" w:eastAsia="Arial" w:hAnsi="Arial" w:cs="Arial"/>
          <w:sz w:val="24"/>
          <w:szCs w:val="24"/>
        </w:rPr>
        <w:t xml:space="preserve">ilitados para atender turistas e moradores com restrições alimentares, como o glúten e a lactose, e verificar a variedade de pratos ou quais poderiam ser adaptados à esta restrição. Para isso, foi elaborado um questionário, que foi aplicado ao responsável </w:t>
      </w:r>
      <w:r>
        <w:rPr>
          <w:rFonts w:ascii="Arial" w:eastAsia="Arial" w:hAnsi="Arial" w:cs="Arial"/>
          <w:sz w:val="24"/>
          <w:szCs w:val="24"/>
        </w:rPr>
        <w:t xml:space="preserve">pelo local. A seleção dos estabelecimentos foi efetuada com base nos lugares de Balneário Camboriú listados pelo </w:t>
      </w:r>
      <w:proofErr w:type="spellStart"/>
      <w:r>
        <w:rPr>
          <w:rFonts w:ascii="Arial" w:eastAsia="Arial" w:hAnsi="Arial" w:cs="Arial"/>
          <w:sz w:val="24"/>
          <w:szCs w:val="24"/>
        </w:rPr>
        <w:t>TripAdvisor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totalizaram 63 restaurantes; e café/chá e </w:t>
      </w:r>
      <w:proofErr w:type="spellStart"/>
      <w:r>
        <w:rPr>
          <w:rFonts w:ascii="Arial" w:eastAsia="Arial" w:hAnsi="Arial" w:cs="Arial"/>
          <w:sz w:val="24"/>
          <w:szCs w:val="24"/>
        </w:rPr>
        <w:t>docerias</w:t>
      </w:r>
      <w:proofErr w:type="spellEnd"/>
      <w:r>
        <w:rPr>
          <w:rFonts w:ascii="Arial" w:eastAsia="Arial" w:hAnsi="Arial" w:cs="Arial"/>
          <w:sz w:val="24"/>
          <w:szCs w:val="24"/>
        </w:rPr>
        <w:t>, totalizou 34. Desses 97 estabelecimentos foram selecionados apenas os que s</w:t>
      </w:r>
      <w:r>
        <w:rPr>
          <w:rFonts w:ascii="Arial" w:eastAsia="Arial" w:hAnsi="Arial" w:cs="Arial"/>
          <w:sz w:val="24"/>
          <w:szCs w:val="24"/>
        </w:rPr>
        <w:t>e encontram na Avenida Atlântica e Brasil, que são os locais que recebe maior demanda de turistas e moradores na cidade. Após obtermos os resultados, esperamos que os estabelecimentos estejam aptos a receber esse público.</w:t>
      </w:r>
    </w:p>
    <w:p w:rsidR="00247FA0" w:rsidRDefault="00247F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247FA0" w:rsidRDefault="00541B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Intolerância. glú</w:t>
      </w:r>
      <w:r>
        <w:rPr>
          <w:rFonts w:ascii="Arial" w:eastAsia="Arial" w:hAnsi="Arial" w:cs="Arial"/>
          <w:sz w:val="24"/>
          <w:szCs w:val="24"/>
        </w:rPr>
        <w:t>ten. lactose. restaurantes. Balneário Camboriú.</w:t>
      </w:r>
    </w:p>
    <w:p w:rsidR="00247FA0" w:rsidRDefault="00247F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247FA0" w:rsidRDefault="00247F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247FA0" w:rsidRDefault="00541B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247FA0" w:rsidRDefault="00247F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18"/>
          <w:szCs w:val="18"/>
        </w:rPr>
      </w:pPr>
    </w:p>
    <w:p w:rsidR="00247FA0" w:rsidRDefault="00541B0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alimentação é algo importante e insubstituível na vida do ser humano. Porém o metabolismo dos organismos é diferente, algumas pessoas desenvolvem uma intolerância a alguns tipos de alimentos e/ou ingredientes. Apenas 37% dos consumidores que têm alguma a</w:t>
      </w:r>
      <w:r>
        <w:rPr>
          <w:rFonts w:ascii="Arial" w:eastAsia="Arial" w:hAnsi="Arial" w:cs="Arial"/>
          <w:sz w:val="24"/>
          <w:szCs w:val="24"/>
        </w:rPr>
        <w:t xml:space="preserve">lergia ou intolerância alimentar dizem ter suas </w:t>
      </w:r>
      <w:r>
        <w:rPr>
          <w:rFonts w:ascii="Arial" w:eastAsia="Arial" w:hAnsi="Arial" w:cs="Arial"/>
          <w:sz w:val="24"/>
          <w:szCs w:val="24"/>
        </w:rPr>
        <w:lastRenderedPageBreak/>
        <w:t>necessidades atendidas (NIELSEN, 2016 apud SOUZA, 2017). Dentre essas alergias e intolerâncias, está  à lactose e/ou ao glúten, que se apresentam da seguinte forma:</w:t>
      </w:r>
    </w:p>
    <w:p w:rsidR="00247FA0" w:rsidRDefault="00541B0C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Má absorção ou má digestão de lactose, é a </w:t>
      </w:r>
      <w:r>
        <w:rPr>
          <w:rFonts w:ascii="Arial" w:eastAsia="Arial" w:hAnsi="Arial" w:cs="Arial"/>
          <w:sz w:val="24"/>
          <w:szCs w:val="24"/>
        </w:rPr>
        <w:t xml:space="preserve">diminuição na capacidade de hidrolisar a </w:t>
      </w:r>
      <w:proofErr w:type="spellStart"/>
      <w:r>
        <w:rPr>
          <w:rFonts w:ascii="Arial" w:eastAsia="Arial" w:hAnsi="Arial" w:cs="Arial"/>
          <w:sz w:val="24"/>
          <w:szCs w:val="24"/>
        </w:rPr>
        <w:t>lactose.O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aparecimento de sintomas abdominais por má absorção de lactose caracteriza a intolerância à lactose </w:t>
      </w:r>
      <w:r>
        <w:rPr>
          <w:rFonts w:ascii="Arial" w:eastAsia="Arial" w:hAnsi="Arial" w:cs="Arial"/>
          <w:sz w:val="24"/>
          <w:szCs w:val="24"/>
          <w:highlight w:val="white"/>
        </w:rPr>
        <w:t>(MATTAR; MAZO, 2010).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47FA0" w:rsidRDefault="00541B0C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Segundo Araújo et al (2010 p.2) “A terapia durante a transição alimentar deve ser </w:t>
      </w:r>
      <w:r>
        <w:rPr>
          <w:rFonts w:ascii="Arial" w:eastAsia="Arial" w:hAnsi="Arial" w:cs="Arial"/>
          <w:sz w:val="24"/>
          <w:szCs w:val="24"/>
          <w:highlight w:val="white"/>
        </w:rPr>
        <w:t>bem conduzida pelo nutricionista para melhor adesão do paciente à dieta, já que é uma doença cujo tratamento é fundamentalmente dietético.”</w:t>
      </w:r>
    </w:p>
    <w:p w:rsidR="00247FA0" w:rsidRDefault="00541B0C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Segundo Monte (2015) “Às alergias e intolerâncias alimentares são uma problemática crescente nos dias que correm e </w:t>
      </w:r>
      <w:r>
        <w:rPr>
          <w:rFonts w:ascii="Arial" w:eastAsia="Arial" w:hAnsi="Arial" w:cs="Arial"/>
          <w:sz w:val="24"/>
          <w:szCs w:val="24"/>
        </w:rPr>
        <w:t xml:space="preserve">têm um impacto negativo na economia familiar, interações sociais, absentismo laboral e escolar, bem como na qualidade de vida dos indivíduos.” </w:t>
      </w:r>
    </w:p>
    <w:p w:rsidR="00247FA0" w:rsidRDefault="00541B0C">
      <w:pPr>
        <w:spacing w:after="0" w:line="360" w:lineRule="auto"/>
        <w:ind w:firstLine="1133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Balneário Camboriú é uma cidade de grande impacto no turismo, então a demanda de turistas em época de “alta temp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orada” é muito grande; mas não sabemos se Balneário está realmente apto a atender as necessidades alimentares de tantos turistas (e até mesmo dos moradores). Diante disso, o </w:t>
      </w:r>
      <w:r>
        <w:rPr>
          <w:rFonts w:ascii="Arial" w:eastAsia="Arial" w:hAnsi="Arial" w:cs="Arial"/>
          <w:sz w:val="24"/>
          <w:szCs w:val="24"/>
        </w:rPr>
        <w:t>objetivo do nosso projeto é verificar quais restaurantes de Balneário Camboriú est</w:t>
      </w:r>
      <w:r>
        <w:rPr>
          <w:rFonts w:ascii="Arial" w:eastAsia="Arial" w:hAnsi="Arial" w:cs="Arial"/>
          <w:sz w:val="24"/>
          <w:szCs w:val="24"/>
        </w:rPr>
        <w:t>ão preparados para atender turistas intolerantes a glúten e/ou a lactose , e analisar a diversidade de pratos que os restaurantes oferecem às pessoas com restrições alimentares, podendo ou não adaptá-los.</w:t>
      </w:r>
    </w:p>
    <w:p w:rsidR="00247FA0" w:rsidRDefault="00247FA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247FA0" w:rsidRDefault="00247F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247FA0" w:rsidRDefault="00541B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247FA0" w:rsidRDefault="00247F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247FA0" w:rsidRDefault="00541B0C">
      <w:pPr>
        <w:spacing w:after="0" w:line="360" w:lineRule="auto"/>
        <w:ind w:right="106" w:firstLine="1133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estabelecimentos amostrados pela presente pesquisa foram selecionados a partir da relação apresentada pela </w:t>
      </w:r>
      <w:proofErr w:type="spellStart"/>
      <w:r>
        <w:rPr>
          <w:rFonts w:ascii="Arial" w:eastAsia="Arial" w:hAnsi="Arial" w:cs="Arial"/>
          <w:sz w:val="24"/>
          <w:szCs w:val="24"/>
        </w:rPr>
        <w:t>TripAdvisor</w:t>
      </w:r>
      <w:proofErr w:type="spellEnd"/>
      <w:r>
        <w:rPr>
          <w:rFonts w:ascii="Arial" w:eastAsia="Arial" w:hAnsi="Arial" w:cs="Arial"/>
          <w:sz w:val="24"/>
          <w:szCs w:val="24"/>
        </w:rPr>
        <w:t>, com os filtros de restaurantes de Balneário Camboriú, preços moderados e sofisticados, com mais de cem avaliações com pontuação de qu</w:t>
      </w:r>
      <w:r>
        <w:rPr>
          <w:rFonts w:ascii="Arial" w:eastAsia="Arial" w:hAnsi="Arial" w:cs="Arial"/>
          <w:sz w:val="24"/>
          <w:szCs w:val="24"/>
        </w:rPr>
        <w:t xml:space="preserve">atro ou mais que totalizou 63 restaurantes, e para café/chá e </w:t>
      </w:r>
      <w:proofErr w:type="spellStart"/>
      <w:r>
        <w:rPr>
          <w:rFonts w:ascii="Arial" w:eastAsia="Arial" w:hAnsi="Arial" w:cs="Arial"/>
          <w:sz w:val="24"/>
          <w:szCs w:val="24"/>
        </w:rPr>
        <w:t>docerias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terá o filtro de Balneário Camboriú, com avaliação acima de 12 e pontuação quatro ou mais, que totalizou 34. Desses 97 estabelecimentos foram selecionados apenas os que se encontram na </w:t>
      </w:r>
      <w:r>
        <w:rPr>
          <w:rFonts w:ascii="Arial" w:eastAsia="Arial" w:hAnsi="Arial" w:cs="Arial"/>
          <w:sz w:val="24"/>
          <w:szCs w:val="24"/>
        </w:rPr>
        <w:t xml:space="preserve">Avenida Atlântica e Avenida Brasil para a amostragem, já que é o local que recebe maior demanda de turistas e moradores na cidade. Foram elaborados questionários com perguntas objetivas, </w:t>
      </w:r>
      <w:r>
        <w:rPr>
          <w:rFonts w:ascii="Arial" w:eastAsia="Arial" w:hAnsi="Arial" w:cs="Arial"/>
          <w:sz w:val="24"/>
          <w:szCs w:val="24"/>
        </w:rPr>
        <w:lastRenderedPageBreak/>
        <w:t>posteriormente entregues no local. As respostas foram tabuladas e ana</w:t>
      </w:r>
      <w:r>
        <w:rPr>
          <w:rFonts w:ascii="Arial" w:eastAsia="Arial" w:hAnsi="Arial" w:cs="Arial"/>
          <w:sz w:val="24"/>
          <w:szCs w:val="24"/>
        </w:rPr>
        <w:t>lisadas para identificação dos estabelecimentos que estão aptos a receber os turistas com essas intolerâncias, indicadas ou não ao consumidor, se há pratos que podem ser adaptados, e o quantitativo dos pratos para estes turistas, ilustrados através de gráf</w:t>
      </w:r>
      <w:r>
        <w:rPr>
          <w:rFonts w:ascii="Arial" w:eastAsia="Arial" w:hAnsi="Arial" w:cs="Arial"/>
          <w:sz w:val="24"/>
          <w:szCs w:val="24"/>
        </w:rPr>
        <w:t>icos.</w:t>
      </w:r>
    </w:p>
    <w:p w:rsidR="00247FA0" w:rsidRDefault="00247F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247FA0" w:rsidRDefault="00247F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247FA0" w:rsidRDefault="00541B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247FA0" w:rsidRDefault="00247F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247FA0" w:rsidRDefault="00541B0C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Foram aplicados 52 questionários, dos quais 47 foram respondidos. </w:t>
      </w:r>
    </w:p>
    <w:p w:rsidR="00247FA0" w:rsidRDefault="00541B0C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 Figura 01 podemos visualizar o percentual de pratos que são oferecidos pelos estabelecimentos amostrados.</w:t>
      </w:r>
    </w:p>
    <w:p w:rsidR="00247FA0" w:rsidRDefault="00541B0C">
      <w:pPr>
        <w:spacing w:after="0" w:line="360" w:lineRule="auto"/>
        <w:ind w:left="1417" w:hanging="141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Figura 01 - Percentual de pratos oferecidos nos </w:t>
      </w:r>
      <w:r>
        <w:rPr>
          <w:rFonts w:ascii="Arial" w:eastAsia="Arial" w:hAnsi="Arial" w:cs="Arial"/>
          <w:sz w:val="24"/>
          <w:szCs w:val="24"/>
        </w:rPr>
        <w:t>restaurantes amostrados para intolerantes à lactose e / ou glúten.</w:t>
      </w:r>
    </w:p>
    <w:p w:rsidR="00247FA0" w:rsidRDefault="00541B0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114300" distB="114300" distL="114300" distR="114300">
            <wp:extent cx="5006340" cy="2662548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6625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7FA0" w:rsidRDefault="00541B0C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gráfico acima mostra a quantidade percentual oferecida de pratos nos restaurantes pesquisados. Sendo separado por colunas, as quais representam os estabelecimentos que oferecem: 1) prat</w:t>
      </w:r>
      <w:r>
        <w:rPr>
          <w:rFonts w:ascii="Arial" w:eastAsia="Arial" w:hAnsi="Arial" w:cs="Arial"/>
          <w:sz w:val="24"/>
          <w:szCs w:val="24"/>
        </w:rPr>
        <w:t>os especificamente para pessoas com intolerância à lactose; 2) pratos especificamente para pessoas com intolerância à glúten; 3) pratos não especificados para pessoas com intolerância à lactose, mas que podem ser consumidos pelos mesmo; 4)  pratos não espe</w:t>
      </w:r>
      <w:r>
        <w:rPr>
          <w:rFonts w:ascii="Arial" w:eastAsia="Arial" w:hAnsi="Arial" w:cs="Arial"/>
          <w:sz w:val="24"/>
          <w:szCs w:val="24"/>
        </w:rPr>
        <w:t xml:space="preserve">cificados para pessoas com intolerância ao glúten; mas que podem ser consumidos pelos mesmo 5) pratos que não podem ser consumidos por intolerantes à lactose, mas os estabelecimentos o adaptam para esse público e 6) pratos que não podem ser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consumidos por </w:t>
      </w:r>
      <w:r>
        <w:rPr>
          <w:rFonts w:ascii="Arial" w:eastAsia="Arial" w:hAnsi="Arial" w:cs="Arial"/>
          <w:sz w:val="24"/>
          <w:szCs w:val="24"/>
        </w:rPr>
        <w:t xml:space="preserve">intolerantes à glúten, mas os estabelecimentos o adaptam para esse público. Com a seguinte legenda  “não informado”, quando os estabelecimentos não informaram uma quantidade de pratos, “nenhum”, quando não ofereciam nenhum prato, “pouca variedade”, quando </w:t>
      </w:r>
      <w:r>
        <w:rPr>
          <w:rFonts w:ascii="Arial" w:eastAsia="Arial" w:hAnsi="Arial" w:cs="Arial"/>
          <w:sz w:val="24"/>
          <w:szCs w:val="24"/>
        </w:rPr>
        <w:t>se tinha no máximo 5 pratos no cardápio, “variedade mediana”, quando o estabelecimento tinha no máximo 15 pratos, e por último “muita variedade”, para quando se oferecia mais de 15 pratos</w:t>
      </w:r>
    </w:p>
    <w:p w:rsidR="00247FA0" w:rsidRDefault="00541B0C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acordo com os resultados verificados podemos notar que mais de 70</w:t>
      </w:r>
      <w:r>
        <w:rPr>
          <w:rFonts w:ascii="Arial" w:eastAsia="Arial" w:hAnsi="Arial" w:cs="Arial"/>
          <w:sz w:val="24"/>
          <w:szCs w:val="24"/>
        </w:rPr>
        <w:t>% dos estabelecimentos não oferecem nenhum tipo de prato específico para intolerantes à lactose, e mais de 60% não oferecem pratos específicos para  intolerantes ao glúten, apenas, no caso da intolerância a lactose, é oferecido pouca variedade de pratos qu</w:t>
      </w:r>
      <w:r>
        <w:rPr>
          <w:rFonts w:ascii="Arial" w:eastAsia="Arial" w:hAnsi="Arial" w:cs="Arial"/>
          <w:sz w:val="24"/>
          <w:szCs w:val="24"/>
        </w:rPr>
        <w:t>e já estão no cardápio e que esse público pode consumir, porém, em questão a intolerância ao glúten, ainda é maior a quantidade de estabelecimentos que não têm nenhum prato para atender esse público. E por fim, podemos perceber que grande parte dos estabel</w:t>
      </w:r>
      <w:r>
        <w:rPr>
          <w:rFonts w:ascii="Arial" w:eastAsia="Arial" w:hAnsi="Arial" w:cs="Arial"/>
          <w:sz w:val="24"/>
          <w:szCs w:val="24"/>
        </w:rPr>
        <w:t>ecimentos não informaram se fazem adaptações para o público intolerante à lactose, entretanto, a segunda maior porcentagem de dados é que não é feita essa adaptação de pratos, e podemos notar também que não é feita adaptações de pratos para intolerantes ao</w:t>
      </w:r>
      <w:r>
        <w:rPr>
          <w:rFonts w:ascii="Arial" w:eastAsia="Arial" w:hAnsi="Arial" w:cs="Arial"/>
          <w:sz w:val="24"/>
          <w:szCs w:val="24"/>
        </w:rPr>
        <w:t xml:space="preserve"> glúten, mostrando uma porcentagem de não adaptações maior que a para o público com intolerância à lactose. </w:t>
      </w:r>
    </w:p>
    <w:p w:rsidR="00247FA0" w:rsidRDefault="00541B0C">
      <w:pPr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dados para intolerantes a glúten podem ser pior em consequência da dificuldade de serem feitos pratos para esse público, já que os estabelecimen</w:t>
      </w:r>
      <w:r>
        <w:rPr>
          <w:rFonts w:ascii="Arial" w:eastAsia="Arial" w:hAnsi="Arial" w:cs="Arial"/>
          <w:sz w:val="24"/>
          <w:szCs w:val="24"/>
        </w:rPr>
        <w:t>tos teriam que ter uma cozinha separada para fazer esses pratos, esse caso seria para o público celíaco, e em nossa pesquisa escolhemos apenas as intolerâncias, mesmo assim é apresentado pouca variedade para esse público.</w:t>
      </w:r>
    </w:p>
    <w:p w:rsidR="00247FA0" w:rsidRDefault="00247F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247FA0" w:rsidRDefault="00247F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247FA0" w:rsidRDefault="00541B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247FA0" w:rsidRDefault="00247F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247FA0" w:rsidRDefault="00541B0C">
      <w:pPr>
        <w:spacing w:after="0" w:line="360" w:lineRule="auto"/>
        <w:ind w:right="106"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Apesar do próprio </w:t>
      </w:r>
      <w:proofErr w:type="spellStart"/>
      <w:r>
        <w:rPr>
          <w:rFonts w:ascii="Arial" w:eastAsia="Arial" w:hAnsi="Arial" w:cs="Arial"/>
          <w:sz w:val="24"/>
          <w:szCs w:val="24"/>
        </w:rPr>
        <w:t>TripAdvisor</w:t>
      </w:r>
      <w:proofErr w:type="spellEnd"/>
      <w:r>
        <w:rPr>
          <w:rFonts w:ascii="Arial" w:eastAsia="Arial" w:hAnsi="Arial" w:cs="Arial"/>
          <w:sz w:val="24"/>
          <w:szCs w:val="24"/>
        </w:rPr>
        <w:t>, quando seus usuários fazem avaliações, questionar àqueles clientes se o estabelecimento oferece ou não pratos para pessoas que possuem essas intolerâncias, esses dados não são disponibilizados para o público. A avaliação fica</w:t>
      </w:r>
      <w:r>
        <w:rPr>
          <w:rFonts w:ascii="Arial" w:eastAsia="Arial" w:hAnsi="Arial" w:cs="Arial"/>
          <w:sz w:val="24"/>
          <w:szCs w:val="24"/>
        </w:rPr>
        <w:t>rá prejudicada se o usuário não souber identificar os pratos que são destinados à intolerantes ao glúten e a lactose, caso não haja identificação no cardápio.</w:t>
      </w:r>
    </w:p>
    <w:p w:rsidR="00247FA0" w:rsidRDefault="00541B0C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Os dados amostrados pela pesquisa não foram tão satisfatórios, pois deveriam apresentar maior por</w:t>
      </w:r>
      <w:r>
        <w:rPr>
          <w:rFonts w:ascii="Arial" w:eastAsia="Arial" w:hAnsi="Arial" w:cs="Arial"/>
          <w:sz w:val="24"/>
          <w:szCs w:val="24"/>
        </w:rPr>
        <w:t xml:space="preserve">centagem de variedade de pratos, já que a quantidade de pessoas intolerantes a lactose e / ou a glúten cresce a cada ano, e os estabelecimentos, como restaurantes, cafés / chás e </w:t>
      </w:r>
      <w:proofErr w:type="spellStart"/>
      <w:r>
        <w:rPr>
          <w:rFonts w:ascii="Arial" w:eastAsia="Arial" w:hAnsi="Arial" w:cs="Arial"/>
          <w:sz w:val="24"/>
          <w:szCs w:val="24"/>
        </w:rPr>
        <w:t>docerias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utilizados para essa pesquisa, devem ter a preocupação de oferecer </w:t>
      </w:r>
      <w:r>
        <w:rPr>
          <w:rFonts w:ascii="Arial" w:eastAsia="Arial" w:hAnsi="Arial" w:cs="Arial"/>
          <w:sz w:val="24"/>
          <w:szCs w:val="24"/>
        </w:rPr>
        <w:t>mais opções para esse público, principalmente pelo fato de Balneário Camboriú ser uma cidade turística, tendo que se importar com o público que ela recebe, e também os moradores.</w:t>
      </w:r>
    </w:p>
    <w:p w:rsidR="00247FA0" w:rsidRDefault="00541B0C">
      <w:pPr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Podemos perceber que Balneário Camboriú pode não estar totalmente apta para r</w:t>
      </w:r>
      <w:r>
        <w:rPr>
          <w:rFonts w:ascii="Arial" w:eastAsia="Arial" w:hAnsi="Arial" w:cs="Arial"/>
          <w:sz w:val="24"/>
          <w:szCs w:val="24"/>
        </w:rPr>
        <w:t>eceber esse público, mas os estabelecimentos mostraram grande interesse em melhorar seus cardápios e ter variedade para intolerantes à lactose e / ou ao glúten.</w:t>
      </w:r>
    </w:p>
    <w:p w:rsidR="00247FA0" w:rsidRDefault="00247F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247FA0" w:rsidRDefault="00247F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247FA0" w:rsidRDefault="00541B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247FA0" w:rsidRDefault="00541B0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ARAÚJO,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Halina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Mayer Chaves et al. Doença celíaca, hábitos e práticas alimentares e qualidade de vida. 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Revista de nutrição</w:t>
      </w:r>
      <w:r>
        <w:rPr>
          <w:rFonts w:ascii="Arial" w:eastAsia="Arial" w:hAnsi="Arial" w:cs="Arial"/>
          <w:sz w:val="24"/>
          <w:szCs w:val="24"/>
          <w:highlight w:val="white"/>
        </w:rPr>
        <w:t>, Campinas, vol. 23, n. 3, p. 467- 472, maio/jun. 2010. Disponível em: &lt;http://www.scielo.br/scielo.php?script=sci_arttext&amp;pid=S1415-5</w:t>
      </w:r>
      <w:r>
        <w:rPr>
          <w:rFonts w:ascii="Arial" w:eastAsia="Arial" w:hAnsi="Arial" w:cs="Arial"/>
          <w:sz w:val="24"/>
          <w:szCs w:val="24"/>
          <w:highlight w:val="white"/>
        </w:rPr>
        <w:t>273201000030001&gt;. Acesso em: 22 out. 2018.</w:t>
      </w:r>
    </w:p>
    <w:p w:rsidR="00247FA0" w:rsidRDefault="00247FA0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:rsidR="00247FA0" w:rsidRDefault="00541B0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MATTAR, Rejane; MAZO, Daniel Ferraz de Campos. Intolerância à lactose: mudança de paradigmas com a biologia molecular.</w:t>
      </w: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 Revista da Associação Médica Brasileira</w:t>
      </w:r>
      <w:r>
        <w:rPr>
          <w:rFonts w:ascii="Arial" w:eastAsia="Arial" w:hAnsi="Arial" w:cs="Arial"/>
          <w:sz w:val="24"/>
          <w:szCs w:val="24"/>
          <w:highlight w:val="white"/>
        </w:rPr>
        <w:t>, São Paulo, vol. 56, n. 2, p. 230- 236, jan. 2010. Di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sponível em: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eta</w:t>
      </w:r>
      <w:proofErr w:type="spellEnd"/>
    </w:p>
    <w:p w:rsidR="00247FA0" w:rsidRDefault="00247FA0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:rsidR="00247FA0" w:rsidRDefault="00541B0C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MONTE, Helena Maria Carvalho. </w:t>
      </w: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Alergias e intolerâncias alimentares novas perspectivas. </w:t>
      </w:r>
      <w:r>
        <w:rPr>
          <w:rFonts w:ascii="Arial" w:eastAsia="Arial" w:hAnsi="Arial" w:cs="Arial"/>
          <w:sz w:val="24"/>
          <w:szCs w:val="24"/>
          <w:highlight w:val="white"/>
        </w:rPr>
        <w:t>2015. Disponível em: &lt; https://repositorio-aberto.up.pt/bitstream/10216/81841/2/37590.pdf &gt;. Acesso em: 22 out. 2018.</w:t>
      </w:r>
    </w:p>
    <w:p w:rsidR="00247FA0" w:rsidRDefault="00247FA0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:rsidR="00247FA0" w:rsidRDefault="00541B0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SOUZA, Carolina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Cutrim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Fernandes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de. </w:t>
      </w:r>
      <w:r>
        <w:rPr>
          <w:rFonts w:ascii="Arial" w:eastAsia="Arial" w:hAnsi="Arial" w:cs="Arial"/>
          <w:b/>
          <w:sz w:val="24"/>
          <w:szCs w:val="24"/>
        </w:rPr>
        <w:t>Consumidores com intolerância ou alergia alimentar: um estudo exploratório sobre suas estratégias de compra</w:t>
      </w:r>
      <w:r>
        <w:rPr>
          <w:rFonts w:ascii="Arial" w:eastAsia="Arial" w:hAnsi="Arial" w:cs="Arial"/>
          <w:sz w:val="24"/>
          <w:szCs w:val="24"/>
        </w:rPr>
        <w:t>. 2017. Disponível em: &lt;https://www.maxwell.vrac.puc-rio.br/32522/32522.PDF&gt;. Acesso em: 22 out. 2018.</w:t>
      </w:r>
    </w:p>
    <w:p w:rsidR="00247FA0" w:rsidRDefault="00247F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sectPr w:rsidR="00247FA0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41B0C">
      <w:pPr>
        <w:spacing w:after="0" w:line="240" w:lineRule="auto"/>
      </w:pPr>
      <w:r>
        <w:separator/>
      </w:r>
    </w:p>
  </w:endnote>
  <w:endnote w:type="continuationSeparator" w:id="0">
    <w:p w:rsidR="00000000" w:rsidRDefault="00541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FA0" w:rsidRDefault="00247FA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41B0C">
      <w:pPr>
        <w:spacing w:after="0" w:line="240" w:lineRule="auto"/>
      </w:pPr>
      <w:r>
        <w:separator/>
      </w:r>
    </w:p>
  </w:footnote>
  <w:footnote w:type="continuationSeparator" w:id="0">
    <w:p w:rsidR="00000000" w:rsidRDefault="00541B0C">
      <w:pPr>
        <w:spacing w:after="0" w:line="240" w:lineRule="auto"/>
      </w:pPr>
      <w:r>
        <w:continuationSeparator/>
      </w:r>
    </w:p>
  </w:footnote>
  <w:footnote w:id="1">
    <w:p w:rsidR="00247FA0" w:rsidRDefault="00541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sz w:val="20"/>
          <w:szCs w:val="20"/>
        </w:rPr>
        <w:t xml:space="preserve"> Estudante do Ensino Médio, do Curso técnico em hospedagem integrado ao ensino médio, no Instituto Federal Catarinense Campus Camboriú. E-mail: </w:t>
      </w:r>
      <w:hyperlink r:id="rId1">
        <w:r>
          <w:rPr>
            <w:rFonts w:ascii="Arial" w:eastAsia="Arial" w:hAnsi="Arial" w:cs="Arial"/>
            <w:sz w:val="20"/>
            <w:szCs w:val="20"/>
          </w:rPr>
          <w:t>bruna.martins.bc@gmail.com</w:t>
        </w:r>
      </w:hyperlink>
    </w:p>
  </w:footnote>
  <w:footnote w:id="2">
    <w:p w:rsidR="00247FA0" w:rsidRDefault="00541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Estudante do Ensino Médio, do Curso técnico em hospedagem integrado ao ensino médio, no Instituto Federal Catarinense Campus Camboriú. E-mail: </w:t>
      </w:r>
      <w:hyperlink r:id="rId2">
        <w:r>
          <w:rPr>
            <w:rFonts w:ascii="Arial" w:eastAsia="Arial" w:hAnsi="Arial" w:cs="Arial"/>
            <w:sz w:val="20"/>
            <w:szCs w:val="20"/>
          </w:rPr>
          <w:t>isadora74230@gmail.com</w:t>
        </w:r>
      </w:hyperlink>
    </w:p>
  </w:footnote>
  <w:footnote w:id="3">
    <w:p w:rsidR="00247FA0" w:rsidRDefault="00541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Estudante do Ensino Médio, do Curso técnico em hospedagem integrado ao ensino médio, no Instituto Federal Catarinense Campus Camboriú. E-mail: keila.matos098@gmail.com</w:t>
      </w:r>
    </w:p>
  </w:footnote>
  <w:footnote w:id="4">
    <w:p w:rsidR="00247FA0" w:rsidRDefault="00541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Doutorado em </w:t>
      </w:r>
      <w:proofErr w:type="spellStart"/>
      <w:r>
        <w:rPr>
          <w:rFonts w:ascii="Arial" w:eastAsia="Arial" w:hAnsi="Arial" w:cs="Arial"/>
          <w:sz w:val="20"/>
          <w:szCs w:val="20"/>
        </w:rPr>
        <w:t>Ciências,com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ênfase em Ecologia </w:t>
      </w:r>
      <w:r>
        <w:rPr>
          <w:rFonts w:ascii="Arial" w:eastAsia="Arial" w:hAnsi="Arial" w:cs="Arial"/>
          <w:sz w:val="20"/>
          <w:szCs w:val="20"/>
        </w:rPr>
        <w:t>e Recursos Naturais, docente do Instituto Federal de São Paulo - Campus Matão. E-mail: eliziane.scariot@ifc.edu.br</w:t>
      </w:r>
    </w:p>
  </w:footnote>
  <w:footnote w:id="5">
    <w:p w:rsidR="00247FA0" w:rsidRDefault="00541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Doutorado em </w:t>
      </w:r>
      <w:r>
        <w:rPr>
          <w:rFonts w:ascii="Arial" w:eastAsia="Arial" w:hAnsi="Arial" w:cs="Arial"/>
          <w:sz w:val="20"/>
          <w:szCs w:val="20"/>
        </w:rPr>
        <w:t>Ciências, com ênfase em Biologia Celular e Molecular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docente do Instituto Federal Catarinense - Campus Camboriú. E-mail: fernanda.humann@ifc.edu.br</w:t>
      </w:r>
    </w:p>
    <w:p w:rsidR="00247FA0" w:rsidRDefault="00247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FA0" w:rsidRDefault="00541B0C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n-US"/>
      </w:rPr>
      <w:drawing>
        <wp:inline distT="0" distB="0" distL="0" distR="0">
          <wp:extent cx="3619474" cy="584084"/>
          <wp:effectExtent l="0" t="0" r="0" b="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19474" cy="5840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47FA0" w:rsidRDefault="00247FA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7FA0"/>
    <w:rsid w:val="00247FA0"/>
    <w:rsid w:val="0054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Heading1">
    <w:name w:val="heading 1"/>
    <w:basedOn w:val="normal0"/>
    <w:next w:val="normal0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A567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</w:style>
  <w:style w:type="paragraph" w:styleId="Title">
    <w:name w:val="Title"/>
    <w:basedOn w:val="normal0"/>
    <w:next w:val="normal0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</w:style>
  <w:style w:type="paragraph" w:customStyle="1" w:styleId="normal3">
    <w:name w:val="normal"/>
  </w:style>
  <w:style w:type="paragraph" w:customStyle="1" w:styleId="normal4">
    <w:name w:val="normal"/>
  </w:style>
  <w:style w:type="paragraph" w:customStyle="1" w:styleId="normal5">
    <w:name w:val="normal"/>
  </w:style>
  <w:style w:type="paragraph" w:customStyle="1" w:styleId="normal6">
    <w:name w:val="normal"/>
  </w:style>
  <w:style w:type="paragraph" w:customStyle="1" w:styleId="normal7">
    <w:name w:val="normal"/>
  </w:style>
  <w:style w:type="paragraph" w:customStyle="1" w:styleId="normal8">
    <w:name w:val="normal"/>
  </w:style>
  <w:style w:type="paragraph" w:customStyle="1" w:styleId="normal9">
    <w:name w:val="normal"/>
  </w:style>
  <w:style w:type="paragraph" w:customStyle="1" w:styleId="normala">
    <w:name w:val="normal"/>
  </w:style>
  <w:style w:type="paragraph" w:customStyle="1" w:styleId="normalb">
    <w:name w:val="normal"/>
  </w:style>
  <w:style w:type="paragraph" w:customStyle="1" w:styleId="normalc">
    <w:name w:val="normal"/>
  </w:style>
  <w:style w:type="paragraph" w:customStyle="1" w:styleId="normal0">
    <w:name w:val="normal"/>
    <w:rsid w:val="003A5676"/>
  </w:style>
  <w:style w:type="table" w:customStyle="1" w:styleId="TableNormal1">
    <w:name w:val="Table Normal1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012F"/>
  </w:style>
  <w:style w:type="paragraph" w:styleId="Footer">
    <w:name w:val="footer"/>
    <w:basedOn w:val="Normal"/>
    <w:link w:val="Footer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012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Heading1">
    <w:name w:val="heading 1"/>
    <w:basedOn w:val="normal0"/>
    <w:next w:val="normal0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A567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</w:style>
  <w:style w:type="paragraph" w:styleId="Title">
    <w:name w:val="Title"/>
    <w:basedOn w:val="normal0"/>
    <w:next w:val="normal0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</w:style>
  <w:style w:type="paragraph" w:customStyle="1" w:styleId="normal3">
    <w:name w:val="normal"/>
  </w:style>
  <w:style w:type="paragraph" w:customStyle="1" w:styleId="normal4">
    <w:name w:val="normal"/>
  </w:style>
  <w:style w:type="paragraph" w:customStyle="1" w:styleId="normal5">
    <w:name w:val="normal"/>
  </w:style>
  <w:style w:type="paragraph" w:customStyle="1" w:styleId="normal6">
    <w:name w:val="normal"/>
  </w:style>
  <w:style w:type="paragraph" w:customStyle="1" w:styleId="normal7">
    <w:name w:val="normal"/>
  </w:style>
  <w:style w:type="paragraph" w:customStyle="1" w:styleId="normal8">
    <w:name w:val="normal"/>
  </w:style>
  <w:style w:type="paragraph" w:customStyle="1" w:styleId="normal9">
    <w:name w:val="normal"/>
  </w:style>
  <w:style w:type="paragraph" w:customStyle="1" w:styleId="normala">
    <w:name w:val="normal"/>
  </w:style>
  <w:style w:type="paragraph" w:customStyle="1" w:styleId="normalb">
    <w:name w:val="normal"/>
  </w:style>
  <w:style w:type="paragraph" w:customStyle="1" w:styleId="normalc">
    <w:name w:val="normal"/>
  </w:style>
  <w:style w:type="paragraph" w:customStyle="1" w:styleId="normal0">
    <w:name w:val="normal"/>
    <w:rsid w:val="003A5676"/>
  </w:style>
  <w:style w:type="table" w:customStyle="1" w:styleId="TableNormal1">
    <w:name w:val="Table Normal1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012F"/>
  </w:style>
  <w:style w:type="paragraph" w:styleId="Footer">
    <w:name w:val="footer"/>
    <w:basedOn w:val="Normal"/>
    <w:link w:val="Footer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0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bruna.martins.bc@gmail.com" TargetMode="External"/><Relationship Id="rId2" Type="http://schemas.openxmlformats.org/officeDocument/2006/relationships/hyperlink" Target="mailto:isadora74230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1360</Words>
  <Characters>7752</Characters>
  <Application>Microsoft Macintosh Word</Application>
  <DocSecurity>0</DocSecurity>
  <Lines>64</Lines>
  <Paragraphs>18</Paragraphs>
  <ScaleCrop>false</ScaleCrop>
  <Company>Research</Company>
  <LinksUpToDate>false</LinksUpToDate>
  <CharactersWithSpaces>9094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Fernanda Humann</cp:lastModifiedBy>
  <cp:revision>2</cp:revision>
  <dcterms:created xsi:type="dcterms:W3CDTF">2019-07-11T12:08:00Z</dcterms:created>
  <dcterms:modified xsi:type="dcterms:W3CDTF">2019-07-11T12:08:00Z</dcterms:modified>
</cp:coreProperties>
</file>