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CORRELAÇÕES ENTRE PARÂMETROS MICROBIOLÓGICOS, FÍSICO-QUÍMICOS E PLUVIOSIDADE NO RIO CAMBORIÚ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360" w:before="0" w:after="0"/>
        <w:jc w:val="center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>Emily Boeno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2"/>
      </w:r>
      <w:r>
        <w:rPr>
          <w:rFonts w:eastAsia="Arial" w:cs="Arial" w:ascii="Arial" w:hAnsi="Arial"/>
          <w:i/>
          <w:color w:val="000000"/>
          <w:sz w:val="24"/>
          <w:szCs w:val="24"/>
        </w:rPr>
        <w:t>; Maria Eduarda Serafini Berlim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3"/>
      </w:r>
      <w:r>
        <w:rPr>
          <w:rFonts w:eastAsia="Arial" w:cs="Arial" w:ascii="Arial" w:hAnsi="Arial"/>
          <w:i/>
          <w:color w:val="000000"/>
          <w:sz w:val="24"/>
          <w:szCs w:val="24"/>
        </w:rPr>
        <w:t>; Joeci Ricardo Godoi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4"/>
      </w:r>
      <w:r>
        <w:rPr>
          <w:rFonts w:eastAsia="Arial" w:cs="Arial" w:ascii="Arial" w:hAnsi="Arial"/>
          <w:i/>
          <w:color w:val="000000"/>
          <w:sz w:val="24"/>
          <w:szCs w:val="24"/>
        </w:rPr>
        <w:t>; Daniel Shikanai Kerr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5"/>
      </w:r>
      <w:r>
        <w:rPr>
          <w:rFonts w:eastAsia="Arial" w:cs="Arial" w:ascii="Arial" w:hAnsi="Arial"/>
          <w:i/>
          <w:color w:val="000000"/>
          <w:sz w:val="24"/>
          <w:szCs w:val="24"/>
        </w:rPr>
        <w:t>; Renata Ogusucu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6"/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RESUMO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color w:val="00000A"/>
        </w:rPr>
      </w:pPr>
      <w:r>
        <w:rPr>
          <w:rFonts w:eastAsia="Arial" w:cs="Arial" w:ascii="Arial" w:hAnsi="Arial"/>
          <w:color w:val="00000A"/>
          <w:sz w:val="24"/>
          <w:szCs w:val="24"/>
        </w:rPr>
        <w:t>A Bacia Hidrográfica do Rio Camboriú abastece os municípios de Camboriú e Balneário Camboriú, mas a qualidade da sua água é comprometida por diversos fatores como o desmatamento, o despejo de efluentes domésticos e de resíduos de atividades agrícolas e criação de animais. Este trabalho tem como objetivo monitorar parâmetros físico-químicos como turbidez, concentração de nitritos, nitratos, amônia e ortofosfato, e biológicos como a concentração de coliformes termotolerantes e clorofila-a na tentativa de estabelecer correlações entre eles. Até o momento, foram observadas possíveis correlações entre as concentrações de amônia e clorofila e entre o nível do rio e coliformes termotolerantes. Para os demais parâmetros as variações observadas não sugerem correlações, mas as mesmas análises serão repetidas nos próximos meses e espera-se que novas coletas em diferentes condições ambientais e de demanda hídrica permitam uma melhor compreensão da dinâmica do Rio Camboriú.</w:t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Palavras-chave</w:t>
      </w:r>
      <w:r>
        <w:rPr>
          <w:rFonts w:eastAsia="Arial" w:cs="Arial" w:ascii="Arial" w:hAnsi="Arial"/>
          <w:color w:val="000000"/>
          <w:sz w:val="24"/>
          <w:szCs w:val="24"/>
        </w:rPr>
        <w:t>: Monitoramento ambiental. Coliformes termotolerantes. Clorofila a. Rio Camboriú.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</w:t>
      </w:r>
    </w:p>
    <w:p>
      <w:pPr>
        <w:pStyle w:val="LOnormal"/>
        <w:spacing w:lineRule="auto" w:line="360" w:before="0" w:after="0"/>
        <w:jc w:val="both"/>
        <w:rPr>
          <w:rFonts w:ascii="Arial" w:hAnsi="Arial" w:eastAsia="Arial" w:cs="Arial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LO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A Bacia Hidrográfica do Rio Camboriú, </w:t>
      </w:r>
      <w:r>
        <w:rPr>
          <w:rFonts w:eastAsia="Arial" w:cs="Arial" w:ascii="Arial" w:hAnsi="Arial"/>
          <w:sz w:val="24"/>
          <w:szCs w:val="24"/>
        </w:rPr>
        <w:t>que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atravessa os municípios de Camboriú e Balneário Camboriú,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é composta pelo rio principal, denominado Rio Camboriú e seus afluentes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(CIRAM, 20??).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Segundo o IBGE (2018), a população estimada do município de Balneári</w:t>
      </w:r>
      <w:r>
        <w:rPr>
          <w:rFonts w:eastAsia="Arial" w:cs="Arial" w:ascii="Arial" w:hAnsi="Arial"/>
          <w:sz w:val="24"/>
          <w:szCs w:val="24"/>
        </w:rPr>
        <w:t>o Camboriú e Camboriú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totaliza</w:t>
      </w:r>
      <w:r>
        <w:rPr>
          <w:rFonts w:eastAsia="Arial" w:cs="Arial" w:ascii="Arial" w:hAnsi="Arial"/>
          <w:sz w:val="24"/>
          <w:szCs w:val="24"/>
        </w:rPr>
        <w:t>m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219.566 habitantes. </w:t>
      </w:r>
      <w:r>
        <w:rPr>
          <w:rFonts w:eastAsia="Arial" w:cs="Arial" w:ascii="Arial" w:hAnsi="Arial"/>
          <w:sz w:val="24"/>
          <w:szCs w:val="24"/>
        </w:rPr>
        <w:t>Em Camboriú, c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onforme dados fornecidos no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Caderno Técnico da Revisão do Plano Diretor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(PREFEITURA, 2012)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, ao passarem pela fossa séptica/filtro, os efluentes são levados pela rede de água pluviais e </w:t>
      </w:r>
      <w:r>
        <w:rPr>
          <w:rFonts w:eastAsia="Arial" w:cs="Arial" w:ascii="Arial" w:hAnsi="Arial"/>
          <w:sz w:val="24"/>
          <w:szCs w:val="24"/>
          <w:highlight w:val="white"/>
        </w:rPr>
        <w:t>são despejados n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o manancial, sem tratamento centralizado</w:t>
      </w:r>
      <w:r>
        <w:rPr>
          <w:rFonts w:eastAsia="Arial" w:cs="Arial" w:ascii="Arial" w:hAnsi="Arial"/>
          <w:sz w:val="24"/>
          <w:szCs w:val="24"/>
          <w:highlight w:val="white"/>
        </w:rPr>
        <w:t>, diferente d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o município de Balneário Camboriú </w:t>
      </w:r>
      <w:r>
        <w:rPr>
          <w:rFonts w:eastAsia="Arial" w:cs="Arial" w:ascii="Arial" w:hAnsi="Arial"/>
          <w:sz w:val="24"/>
          <w:szCs w:val="24"/>
          <w:highlight w:val="white"/>
        </w:rPr>
        <w:t>onde é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realizado o tratamento dos efluentes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conforme a Lei Municipal n°3087/2010.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Um dos impactos referentes à poluição do rio é a eutrofização, um processo causada pelo excesso de nutrientes</w:t>
      </w:r>
      <w:r>
        <w:rPr>
          <w:rFonts w:eastAsia="Arial" w:cs="Arial" w:ascii="Arial" w:hAnsi="Arial"/>
          <w:sz w:val="24"/>
          <w:szCs w:val="24"/>
        </w:rPr>
        <w:t xml:space="preserve"> que resulta n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o crescimento excessivo de alguns organismo aquáticos (BRAGA, 2005). Segundo BUZELLI (2013), o processo de eutrofização leva ao aumento da concentração de clorofila</w:t>
      </w:r>
      <w:r>
        <w:rPr>
          <w:rFonts w:eastAsia="Arial" w:cs="Arial" w:ascii="Arial" w:hAnsi="Arial"/>
          <w:sz w:val="24"/>
          <w:szCs w:val="24"/>
        </w:rPr>
        <w:t xml:space="preserve">, que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é um pigmento presente nos vegetais e </w:t>
      </w:r>
      <w:r>
        <w:rPr>
          <w:rFonts w:eastAsia="Arial" w:cs="Arial" w:ascii="Arial" w:hAnsi="Arial"/>
          <w:sz w:val="24"/>
          <w:szCs w:val="24"/>
        </w:rPr>
        <w:t>é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responsável </w:t>
      </w:r>
      <w:r>
        <w:rPr>
          <w:rFonts w:eastAsia="Arial" w:cs="Arial" w:ascii="Arial" w:hAnsi="Arial"/>
          <w:sz w:val="24"/>
          <w:szCs w:val="24"/>
        </w:rPr>
        <w:t>pela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fotoss</w:t>
      </w:r>
      <w:r>
        <w:rPr>
          <w:rFonts w:eastAsia="Arial" w:cs="Arial" w:ascii="Arial" w:hAnsi="Arial"/>
          <w:sz w:val="24"/>
          <w:szCs w:val="24"/>
        </w:rPr>
        <w:t>í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nt</w:t>
      </w:r>
      <w:r>
        <w:rPr>
          <w:rFonts w:eastAsia="Arial" w:cs="Arial" w:ascii="Arial" w:hAnsi="Arial"/>
          <w:sz w:val="24"/>
          <w:szCs w:val="24"/>
        </w:rPr>
        <w:t>ese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. </w:t>
      </w:r>
      <w:r>
        <w:rPr>
          <w:rFonts w:eastAsia="Arial" w:cs="Arial" w:ascii="Arial" w:hAnsi="Arial"/>
          <w:sz w:val="24"/>
          <w:szCs w:val="24"/>
        </w:rPr>
        <w:t>São conhecidos 4 tipos de clorofila (a, b, c e d), mas po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r ser predominante em todos os vegetais, a clorofila-a é a indicadora ideal de massa fitoplanctônica (CETESB, 2014). 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Águas naturais </w:t>
      </w:r>
      <w:r>
        <w:rPr>
          <w:rFonts w:eastAsia="Arial" w:cs="Arial" w:ascii="Arial" w:hAnsi="Arial"/>
          <w:sz w:val="24"/>
          <w:szCs w:val="24"/>
        </w:rPr>
        <w:t xml:space="preserve">ao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receber efluentes domésticos apresentam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nitrogênio amoniacal e nitritos. Durante o ciclo desse nutriente, ocorre </w:t>
      </w:r>
      <w:r>
        <w:rPr>
          <w:rFonts w:eastAsia="Arial" w:cs="Arial" w:ascii="Arial" w:hAnsi="Arial"/>
          <w:sz w:val="24"/>
          <w:szCs w:val="24"/>
        </w:rPr>
        <w:t xml:space="preserve">a 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nitrificação, no qual o nitrogênio amoniacal é oxidado e forma nitrito, que </w:t>
      </w:r>
      <w:r>
        <w:rPr>
          <w:rFonts w:eastAsia="Arial" w:cs="Arial" w:ascii="Arial" w:hAnsi="Arial"/>
          <w:sz w:val="24"/>
          <w:szCs w:val="24"/>
        </w:rPr>
        <w:t>pode ser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transformado em nitrato por bactérias </w:t>
      </w: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Nitrosomonas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e </w:t>
      </w:r>
      <w:r>
        <w:rPr>
          <w:rFonts w:eastAsia="Arial" w:cs="Arial" w:ascii="Arial" w:hAnsi="Arial"/>
          <w:i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Nitrobacter</w:t>
      </w:r>
      <w:r>
        <w:rPr>
          <w:rFonts w:eastAsia="Arial" w:cs="Arial" w:ascii="Arial" w:hAnsi="Arial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FFFFFF" w:val="clear"/>
          <w:vertAlign w:val="baseline"/>
        </w:rPr>
        <w:t>. </w:t>
      </w:r>
      <w:r>
        <w:rPr>
          <w:rFonts w:eastAsia="Arial" w:cs="Arial" w:ascii="Arial" w:hAnsi="Arial"/>
          <w:sz w:val="24"/>
          <w:szCs w:val="24"/>
        </w:rPr>
        <w:t>Outro nutriente presente nos efluentes domésticos que estimula o crescimento das algas é o fósforo, sendo assimilado pelos vegetais na forma de ortofosfato (DELLAGIUSTINA, 2000). Um parâmetro relevante no monitoramento dos mananciais é a turbidez, pois funciona como um indicativo de deposição de resíduos no manancial e assoreamento.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Embora o monitoramento dos parâmetros microbiológicos e físico-químicos sejam comuns em mananciais utilizados para consumo humano, há poucos trabalhos na literatura científica com enfoque na região do Vale do Itajaí. Considerando que as condições climáticas e as atividades econômicas tem grande influência nesses parâmetros, é interessante realizar a coletas destas informações na bacia do Rio Camboriú. Nesse contexto, este projeto propõe coletar dados sobre a concentração de coliformes termotolerantes, clorofila-a, turbidez, no rio Camboriú e verificar a existência de correlações entre a variação dos parâmetros físico-químicos com a variação dos parâmetros microbiológicos e também entre a variação dos parâmetros físico-químicos e microbiológicos com o nível de água do rio.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PROCEDIMENTOS METODOLÓGICOS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1. Coletas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As coletas foram realizadas na Estação de Recalque da Empresa Municipal de Água e Saneamento de Balneário Camboriú (coordenadas 27°01'16.1"S 48°39'42.6"W) entre os meses d</w:t>
      </w:r>
      <w:r>
        <w:rPr>
          <w:rFonts w:eastAsia="Arial" w:cs="Arial" w:ascii="Arial" w:hAnsi="Arial"/>
          <w:sz w:val="24"/>
          <w:szCs w:val="24"/>
        </w:rPr>
        <w:t>e abril e junho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 A água foi coletada em frasco âmbar e levada imediatamente ao laboratório para a realização das análises fís</w:t>
      </w:r>
      <w:r>
        <w:rPr>
          <w:rFonts w:eastAsia="Arial" w:cs="Arial" w:ascii="Arial" w:hAnsi="Arial"/>
          <w:sz w:val="24"/>
          <w:szCs w:val="24"/>
        </w:rPr>
        <w:t>ico-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químicas e microbiológicas.</w:t>
      </w:r>
      <w:r>
        <w:rPr>
          <w:rFonts w:eastAsia="Arial" w:cs="Arial" w:ascii="Arial" w:hAnsi="Arial"/>
          <w:sz w:val="24"/>
          <w:szCs w:val="24"/>
        </w:rPr>
        <w:t xml:space="preserve"> Os valores da clorofila-a foram mensurados mensalmente, enquanto os demais quinzenalmente. </w:t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360" w:before="0" w:after="0"/>
        <w:ind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360" w:before="0" w:after="0"/>
        <w:ind w:right="0" w:hanging="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2. Análises de parâmetros físico-químicos</w:t>
      </w:r>
    </w:p>
    <w:p>
      <w:pPr>
        <w:pStyle w:val="Normal"/>
        <w:keepNext/>
        <w:keepLines w:val="false"/>
        <w:widowControl/>
        <w:shd w:val="clear" w:fill="FFFFFF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Os parâmetros amônia, nitrato, nitrito e ortofosfato foram quantificados utilizando-se o Ecokit (Alfakit), seguindo-se as instruções do fabricante.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As análises de turbidez e pH, foram feitas com turbidímetro e peagâmetro, respectivamente.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360" w:before="0" w:after="0"/>
        <w:ind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360" w:before="0" w:after="0"/>
        <w:ind w:right="0" w:hanging="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3. Análises microbiológicas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 estimativa de coliformes termotolerantes presentes nas amostras coletadas foi realizada através da técnica de tubos múltiplos, de acordo com a norma técnica L5406 da Cetesb (CETESB, 2007</w:t>
      </w:r>
      <w:r>
        <w:rPr>
          <w:rFonts w:eastAsia="Arial" w:cs="Arial" w:ascii="Arial" w:hAnsi="Arial"/>
          <w:sz w:val="24"/>
          <w:szCs w:val="24"/>
        </w:rPr>
        <w:t>).</w:t>
      </w:r>
    </w:p>
    <w:p>
      <w:pPr>
        <w:pStyle w:val="Normal"/>
        <w:keepNext/>
        <w:keepLines w:val="false"/>
        <w:widowControl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360" w:before="0" w:after="0"/>
        <w:ind w:right="0" w:hanging="0"/>
        <w:jc w:val="both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4. Análise de clorofila-a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A quantificação de clorofila-a foi realizada pelo laboratório C</w:t>
      </w:r>
      <w:r>
        <w:rPr>
          <w:rFonts w:eastAsia="Arial" w:cs="Arial" w:ascii="Arial" w:hAnsi="Arial"/>
          <w:sz w:val="24"/>
          <w:szCs w:val="24"/>
        </w:rPr>
        <w:t>LEA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n (Univali), seguindo o protocolo descrito por Parsons e Strickland (1963).</w:t>
      </w:r>
    </w:p>
    <w:p>
      <w:pPr>
        <w:pStyle w:val="Normal"/>
        <w:numPr>
          <w:ilvl w:val="0"/>
          <w:numId w:val="0"/>
        </w:numPr>
        <w:shd w:val="clear" w:fill="FFFFFF"/>
        <w:tabs>
          <w:tab w:val="left" w:pos="0" w:leader="none"/>
        </w:tabs>
        <w:spacing w:lineRule="auto" w:line="360" w:before="0" w:after="0"/>
        <w:ind w:hanging="0"/>
        <w:jc w:val="both"/>
        <w:rPr/>
      </w:pPr>
      <w:r>
        <w:rPr>
          <w:rFonts w:eastAsia="Arial" w:cs="Arial" w:ascii="Arial" w:hAnsi="Arial"/>
          <w:b/>
          <w:sz w:val="24"/>
          <w:szCs w:val="24"/>
        </w:rPr>
        <w:t>5. Nível de água do rio Camboriú</w:t>
      </w:r>
    </w:p>
    <w:p>
      <w:pPr>
        <w:pStyle w:val="Normal"/>
        <w:shd w:val="clear" w:fill="FFFFFF"/>
        <w:tabs>
          <w:tab w:val="left" w:pos="0" w:leader="none"/>
        </w:tabs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Os valores foram retirados no site do Centro de Informações de Recursos Ambientais e de Hidrometeorologia de Santa Catarina.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RESULTADOS ESPERADOS OU PARCIAIS</w:t>
      </w:r>
    </w:p>
    <w:p>
      <w:pPr>
        <w:pStyle w:val="LOnormal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A análise dos parâmetros físico-químicos e microbiológicos foram realizadas a partir de seis coletas de água, entre os meses de abril e junho. Os resultados podem ser observados nas tabelas 1 e 2.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rPr/>
      </w:pPr>
      <w:r>
        <w:rPr>
          <w:rFonts w:eastAsia="Arial" w:cs="Arial" w:ascii="Arial" w:hAnsi="Arial"/>
          <w:sz w:val="20"/>
          <w:szCs w:val="20"/>
        </w:rPr>
        <w:t>Tabela 1. Parâmetros físico-químicos analisados.</w:t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W w:w="7993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"/>
        <w:gridCol w:w="1414"/>
        <w:gridCol w:w="1255"/>
        <w:gridCol w:w="1243"/>
        <w:gridCol w:w="1756"/>
        <w:gridCol w:w="1361"/>
      </w:tblGrid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Data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Amônia (mg.L</w:t>
            </w:r>
            <w:r>
              <w:rPr>
                <w:rFonts w:ascii="Arial" w:hAnsi="Arial"/>
                <w:b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hAnsi="Arial"/>
                <w:b/>
                <w:sz w:val="16"/>
                <w:szCs w:val="16"/>
              </w:rPr>
              <w:t>)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Nitrato (mg.L</w:t>
            </w:r>
            <w:r>
              <w:rPr>
                <w:rFonts w:ascii="Arial" w:hAnsi="Arial"/>
                <w:b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hAnsi="Arial"/>
                <w:b/>
                <w:sz w:val="16"/>
                <w:szCs w:val="16"/>
              </w:rPr>
              <w:t>)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Nitrito (mg.L</w:t>
            </w:r>
            <w:r>
              <w:rPr>
                <w:rFonts w:ascii="Arial" w:hAnsi="Arial"/>
                <w:b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hAnsi="Arial"/>
                <w:b/>
                <w:sz w:val="16"/>
                <w:szCs w:val="16"/>
              </w:rPr>
              <w:t>)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Ortofosfato (mg.L</w:t>
            </w:r>
            <w:r>
              <w:rPr>
                <w:rFonts w:ascii="Arial" w:hAnsi="Arial"/>
                <w:b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hAnsi="Arial"/>
                <w:b/>
                <w:sz w:val="16"/>
                <w:szCs w:val="16"/>
              </w:rPr>
              <w:t>)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Turbidez (NTU)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03/04/2019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0,607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0,47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0,0984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20,21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17/04/2019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0,3035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0,2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0,0328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8,52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08/05/2019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1,214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0,4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0,0328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0,75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7,99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22/05/2019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0,2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0,0984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1,75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6,95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05/06/2019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0,3035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0,0328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0,75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11,36</w:t>
            </w:r>
          </w:p>
        </w:tc>
      </w:tr>
      <w:tr>
        <w:trPr/>
        <w:tc>
          <w:tcPr>
            <w:tcW w:w="96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19/06/2019</w:t>
            </w:r>
          </w:p>
        </w:tc>
        <w:tc>
          <w:tcPr>
            <w:tcW w:w="14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0,3035</w:t>
            </w:r>
          </w:p>
        </w:tc>
        <w:tc>
          <w:tcPr>
            <w:tcW w:w="1255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0,2</w:t>
            </w:r>
          </w:p>
        </w:tc>
        <w:tc>
          <w:tcPr>
            <w:tcW w:w="1243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0,0984</w:t>
            </w:r>
          </w:p>
        </w:tc>
        <w:tc>
          <w:tcPr>
            <w:tcW w:w="1756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361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6,78</w:t>
            </w:r>
          </w:p>
        </w:tc>
      </w:tr>
    </w:tbl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Fonte: Autoras, 2019.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Arial" w:cs="Arial" w:ascii="Arial" w:hAnsi="Arial"/>
          <w:sz w:val="20"/>
          <w:szCs w:val="20"/>
        </w:rPr>
        <w:t>Tabela 2. Parâmetros microbiológicos analisados.</w:t>
      </w:r>
    </w:p>
    <w:tbl>
      <w:tblPr>
        <w:tblW w:w="5271" w:type="dxa"/>
        <w:jc w:val="left"/>
        <w:tblInd w:w="0" w:type="dxa"/>
        <w:tblBorders>
          <w:bottom w:val="single" w:sz="2" w:space="0" w:color="000001"/>
          <w:insideH w:val="single" w:sz="2" w:space="0" w:color="000001"/>
        </w:tblBorders>
        <w:tblCellMar>
          <w:top w:w="0" w:type="dxa"/>
          <w:left w:w="0" w:type="dxa"/>
          <w:bottom w:w="30" w:type="dxa"/>
          <w:right w:w="0" w:type="dxa"/>
        </w:tblCellMar>
      </w:tblPr>
      <w:tblGrid>
        <w:gridCol w:w="1514"/>
        <w:gridCol w:w="1650"/>
        <w:gridCol w:w="2107"/>
      </w:tblGrid>
      <w:tr>
        <w:trPr/>
        <w:tc>
          <w:tcPr>
            <w:tcW w:w="1514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Data</w:t>
            </w:r>
          </w:p>
        </w:tc>
        <w:tc>
          <w:tcPr>
            <w:tcW w:w="1650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Clorofila-a (µg/L)</w:t>
            </w:r>
          </w:p>
        </w:tc>
        <w:tc>
          <w:tcPr>
            <w:tcW w:w="2107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Coliformes termotolerantes (NMP/100 mL)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03/04/2019</w:t>
            </w:r>
          </w:p>
        </w:tc>
        <w:tc>
          <w:tcPr>
            <w:tcW w:w="165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1,2</w:t>
            </w:r>
          </w:p>
        </w:tc>
        <w:tc>
          <w:tcPr>
            <w:tcW w:w="210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17/04/2019</w:t>
            </w:r>
          </w:p>
        </w:tc>
        <w:tc>
          <w:tcPr>
            <w:tcW w:w="165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210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08/05/2019</w:t>
            </w:r>
          </w:p>
        </w:tc>
        <w:tc>
          <w:tcPr>
            <w:tcW w:w="165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210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22/05/2019</w:t>
            </w:r>
          </w:p>
        </w:tc>
        <w:tc>
          <w:tcPr>
            <w:tcW w:w="165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210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05/06/2019</w:t>
            </w:r>
          </w:p>
        </w:tc>
        <w:tc>
          <w:tcPr>
            <w:tcW w:w="165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1,1</w:t>
            </w:r>
          </w:p>
        </w:tc>
        <w:tc>
          <w:tcPr>
            <w:tcW w:w="210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</w:tr>
      <w:tr>
        <w:trPr/>
        <w:tc>
          <w:tcPr>
            <w:tcW w:w="1514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19/06/2019</w:t>
            </w:r>
          </w:p>
        </w:tc>
        <w:tc>
          <w:tcPr>
            <w:tcW w:w="1650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2107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413</w:t>
            </w:r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>
          <w:rFonts w:eastAsia="Arial" w:cs="Arial" w:ascii="Arial" w:hAnsi="Arial"/>
          <w:sz w:val="20"/>
          <w:szCs w:val="20"/>
        </w:rPr>
        <w:t>Fonte: Autoras, 2019.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Uma possível correlação entre a concentração de amônia e clorofila-a pôde ser observada nestas análises (Figura 1). Conforme os valores da amônia aumentam, os valores de clorofila também aumentam, sugerindo a relação da presença de nitrogênio com a crescimento de algas. Os níveis de nitrito, nitrato e ortofosfato não apresentaram relação direta com a concentração de clorofila-a.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Arial" w:hAnsi="Arial"/>
          <w:b/>
          <w:sz w:val="20"/>
          <w:szCs w:val="20"/>
        </w:rPr>
        <w:t>Figura 1</w:t>
      </w:r>
      <w:r>
        <w:rPr>
          <w:rFonts w:eastAsia="Arial" w:cs="Arial" w:ascii="Arial" w:hAnsi="Arial"/>
          <w:sz w:val="20"/>
          <w:szCs w:val="20"/>
        </w:rPr>
        <w:t>- Níveis observados de clorofila-a (</w:t>
      </w:r>
      <w:r>
        <w:rPr>
          <w:rFonts w:eastAsia="Arial" w:cs="Arial" w:ascii="Symbol" w:hAnsi="Symbol"/>
          <w:sz w:val="20"/>
          <w:szCs w:val="20"/>
        </w:rPr>
        <w:t>m</w:t>
      </w:r>
      <w:r>
        <w:rPr>
          <w:rFonts w:eastAsia="Arial" w:cs="Arial" w:ascii="Arial" w:hAnsi="Arial"/>
          <w:sz w:val="20"/>
          <w:szCs w:val="20"/>
        </w:rPr>
        <w:t>g/L), amônia (mg.L</w:t>
      </w:r>
      <w:r>
        <w:rPr>
          <w:rFonts w:eastAsia="Arial" w:cs="Arial" w:ascii="Arial" w:hAnsi="Arial"/>
          <w:sz w:val="20"/>
          <w:szCs w:val="20"/>
          <w:vertAlign w:val="superscript"/>
        </w:rPr>
        <w:t>-1</w:t>
      </w:r>
      <w:r>
        <w:rPr>
          <w:rFonts w:eastAsia="Arial" w:cs="Arial" w:ascii="Arial" w:hAnsi="Arial"/>
          <w:sz w:val="20"/>
          <w:szCs w:val="20"/>
        </w:rPr>
        <w:t>), nitrato (mg.L</w:t>
      </w:r>
      <w:r>
        <w:rPr>
          <w:rFonts w:eastAsia="Arial" w:cs="Arial" w:ascii="Arial" w:hAnsi="Arial"/>
          <w:sz w:val="20"/>
          <w:szCs w:val="20"/>
          <w:vertAlign w:val="superscript"/>
        </w:rPr>
        <w:t>-1</w:t>
      </w:r>
      <w:r>
        <w:rPr>
          <w:rFonts w:eastAsia="Arial" w:cs="Arial" w:ascii="Arial" w:hAnsi="Arial"/>
          <w:sz w:val="20"/>
          <w:szCs w:val="20"/>
        </w:rPr>
        <w:t>), nitrito (mg.L</w:t>
      </w:r>
      <w:r>
        <w:rPr>
          <w:rFonts w:eastAsia="Arial" w:cs="Arial" w:ascii="Arial" w:hAnsi="Arial"/>
          <w:sz w:val="20"/>
          <w:szCs w:val="20"/>
          <w:vertAlign w:val="superscript"/>
        </w:rPr>
        <w:t>-1</w:t>
      </w:r>
      <w:r>
        <w:rPr>
          <w:rFonts w:eastAsia="Arial" w:cs="Arial" w:ascii="Arial" w:hAnsi="Arial"/>
          <w:sz w:val="20"/>
          <w:szCs w:val="20"/>
        </w:rPr>
        <w:t>) e ortofostato (mg.L</w:t>
      </w:r>
      <w:r>
        <w:rPr>
          <w:rFonts w:eastAsia="Arial" w:cs="Arial" w:ascii="Arial" w:hAnsi="Arial"/>
          <w:sz w:val="20"/>
          <w:szCs w:val="20"/>
          <w:vertAlign w:val="superscript"/>
        </w:rPr>
        <w:t>-1</w:t>
      </w:r>
      <w:r>
        <w:rPr>
          <w:rFonts w:eastAsia="Arial" w:cs="Arial" w:ascii="Arial" w:hAnsi="Arial"/>
          <w:sz w:val="20"/>
          <w:szCs w:val="20"/>
        </w:rPr>
        <w:t>) nas coletas realizadas nos meses de abril, maio e junho.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282575</wp:posOffset>
            </wp:positionH>
            <wp:positionV relativeFrom="paragraph">
              <wp:posOffset>95250</wp:posOffset>
            </wp:positionV>
            <wp:extent cx="5194300" cy="28994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Arial" w:cs="Arial" w:ascii="Arial" w:hAnsi="Arial"/>
          <w:sz w:val="20"/>
          <w:szCs w:val="20"/>
        </w:rPr>
        <w:t>Fonte: Autoras, 2019.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/>
      </w:pPr>
      <w:r>
        <w:rPr>
          <w:rFonts w:eastAsia="Arial" w:cs="Arial" w:ascii="Arial" w:hAnsi="Arial"/>
          <w:sz w:val="24"/>
          <w:szCs w:val="24"/>
        </w:rPr>
        <w:t>Além disso, foram observadas relações entre os coliformes termotolerantes e o nível do rio (Figura 2). Isso pode indicar que conforme o nível do rio aumenta devido aos períodos de chuva, a concentração de coliformes diminui. Porém, esta tendência poderá ser confirmada a partir de análises realizadas por um período mais longo. Com estas análises iniciais não foi observada relação entre as concentrações de coliformes e a clorofila-a, além de não haver correspondência entre o nível do rio e a clorofila-a.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keepNext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bookmarkStart w:id="0" w:name="__DdeLink__621_1597971951"/>
      <w:r>
        <w:rPr>
          <w:rFonts w:eastAsia="Arial" w:cs="Arial" w:ascii="Arial" w:hAnsi="Arial"/>
          <w:sz w:val="20"/>
          <w:szCs w:val="20"/>
        </w:rPr>
        <w:t>Figura 2: Variação da concentração de coliformes termotolerantes (x10 NMP/100 mL), clorofila-a (</w:t>
      </w:r>
      <w:r>
        <w:rPr>
          <w:rFonts w:eastAsia="Arial" w:cs="Arial" w:ascii="Symbol" w:hAnsi="Symbol"/>
          <w:sz w:val="20"/>
          <w:szCs w:val="20"/>
        </w:rPr>
        <w:t>m</w:t>
      </w:r>
      <w:r>
        <w:rPr>
          <w:rFonts w:eastAsia="Arial" w:cs="Arial" w:ascii="Arial" w:hAnsi="Arial"/>
          <w:sz w:val="20"/>
          <w:szCs w:val="20"/>
        </w:rPr>
        <w:t xml:space="preserve">g/L) e do nível do rio </w:t>
      </w:r>
      <w:bookmarkEnd w:id="0"/>
      <w:r>
        <w:rPr>
          <w:rFonts w:eastAsia="Arial" w:cs="Arial" w:ascii="Arial" w:hAnsi="Arial"/>
          <w:sz w:val="20"/>
          <w:szCs w:val="20"/>
        </w:rPr>
        <w:t>Camboriú (dm) em coletas realizadas nos meses de abril, maio e junho.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825500</wp:posOffset>
            </wp:positionH>
            <wp:positionV relativeFrom="paragraph">
              <wp:posOffset>102235</wp:posOffset>
            </wp:positionV>
            <wp:extent cx="4232275" cy="23806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1133"/>
        <w:jc w:val="center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left"/>
        <w:rPr/>
      </w:pPr>
      <w:r>
        <w:rPr>
          <w:rFonts w:eastAsia="Arial" w:cs="Arial" w:ascii="Arial" w:hAnsi="Arial"/>
          <w:sz w:val="20"/>
          <w:szCs w:val="20"/>
        </w:rPr>
        <w:t xml:space="preserve">Fonte: Autoras, 2019. </w:t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41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keepNext/>
        <w:keepLines w:val="false"/>
        <w:widowControl/>
        <w:shd w:val="clear" w:fill="auto"/>
        <w:spacing w:lineRule="auto" w:line="360" w:before="0" w:after="0"/>
        <w:ind w:left="0" w:right="0" w:firstLine="1134"/>
        <w:jc w:val="both"/>
        <w:rPr>
          <w:color w:val="00000A"/>
        </w:rPr>
      </w:pPr>
      <w:r>
        <w:rPr>
          <w:rFonts w:eastAsia="Arial" w:cs="Arial" w:ascii="Arial" w:hAnsi="Arial"/>
          <w:color w:val="00000A"/>
          <w:sz w:val="24"/>
          <w:szCs w:val="24"/>
        </w:rPr>
        <w:t>Os demais parâmetros analisados (tabelas 1 e 2) não apresentaram evidências de correlações. Porém, é preciso ressaltar que até o momento o número de coletas foi baixo e neste período houve variação pequena de condições ambientais (chuva e temperatura). Novas coletas em diferentes estações do ano e maior demanda por água, podem permitir o estabelecimento dos parâmetros analisados.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CONSIDERAÇÕES FINAIS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24"/>
          <w:szCs w:val="24"/>
        </w:rPr>
      </w:pPr>
      <w:r>
        <w:rPr>
          <w:rFonts w:eastAsia="Arial" w:cs="Arial" w:ascii="Arial" w:hAnsi="Arial"/>
          <w:color w:val="548DD4"/>
          <w:sz w:val="24"/>
          <w:szCs w:val="24"/>
        </w:rPr>
      </w:r>
    </w:p>
    <w:p>
      <w:pPr>
        <w:pStyle w:val="Normal"/>
        <w:spacing w:lineRule="auto" w:line="360" w:before="0" w:after="0"/>
        <w:ind w:left="0" w:right="0" w:firstLine="1134"/>
        <w:jc w:val="both"/>
        <w:rPr>
          <w:color w:val="00000A"/>
        </w:rPr>
      </w:pPr>
      <w:r>
        <w:rPr>
          <w:rFonts w:eastAsia="Arial" w:cs="Arial" w:ascii="Arial" w:hAnsi="Arial"/>
          <w:color w:val="00000A"/>
          <w:sz w:val="24"/>
          <w:szCs w:val="24"/>
        </w:rPr>
        <w:t>Apesar das relações previamente estabelecidas, presume-se que ao longo do ano as condições ambientais e a demanda por água sejam fatores que irão modificar as características da água, como é o exemplo do turismo em Balneário Camboriú no verão, onde a demanda hídrica e geração de efluentes é maior. Espera-se que os parâmetros analisados possam ao longo do tempo estabelecer relações entre si.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color w:val="548DD4"/>
          <w:sz w:val="24"/>
          <w:szCs w:val="24"/>
        </w:rPr>
      </w:pPr>
      <w:r>
        <w:rPr>
          <w:rFonts w:eastAsia="Arial" w:cs="Arial" w:ascii="Arial" w:hAnsi="Arial"/>
          <w:color w:val="548DD4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REFERÊNCIAS</w:t>
      </w:r>
    </w:p>
    <w:p>
      <w:pPr>
        <w:pStyle w:val="LOnormal"/>
        <w:spacing w:lineRule="auto" w:line="24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 xml:space="preserve">BALNEÁRIO CAMBORIÚ. CIRAM. </w:t>
      </w:r>
      <w:r>
        <w:rPr>
          <w:rFonts w:eastAsia="Roboto" w:cs="Roboto" w:ascii="Arial" w:hAnsi="Arial"/>
          <w:b/>
          <w:color w:val="222222"/>
          <w:sz w:val="24"/>
          <w:szCs w:val="24"/>
          <w:highlight w:val="white"/>
        </w:rPr>
        <w:t xml:space="preserve">Bacia Hidrográfica e Estuário. </w:t>
      </w: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>2019. Disponível em: &lt;http://www.ciram.sc.gov.br/index.php?option=com_content&amp;view=article&amp;id=1908&amp;Itemid=695&gt;. Acesso em: 28 jun. 2019.</w:t>
      </w:r>
    </w:p>
    <w:p>
      <w:pPr>
        <w:pStyle w:val="Normal"/>
        <w:spacing w:lineRule="auto" w:line="240" w:before="0" w:after="0"/>
        <w:jc w:val="left"/>
        <w:rPr>
          <w:rFonts w:ascii="Arial" w:hAnsi="Arial" w:eastAsia="Roboto" w:cs="Roboto"/>
          <w:color w:val="222222"/>
          <w:sz w:val="24"/>
          <w:szCs w:val="24"/>
          <w:highlight w:val="white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 xml:space="preserve">BALNEÁRIO CAMBORIÚ (Município). Constituição (2010). Lei nº 3087, de 10 de maio de 2010. </w:t>
      </w:r>
      <w:r>
        <w:rPr>
          <w:rFonts w:eastAsia="Roboto" w:cs="Roboto" w:ascii="Arial" w:hAnsi="Arial"/>
          <w:b/>
          <w:color w:val="222222"/>
          <w:sz w:val="24"/>
          <w:szCs w:val="24"/>
          <w:highlight w:val="white"/>
        </w:rPr>
        <w:t>Dispõe sobre a obrigação de Ligação da rede de esgoto doméstico ao sistema de coleta e tratamento de esgoto mantido pelo municÍpio e dá outras providências</w:t>
      </w: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>. Balneário Camboriú, SC, Disponível em:&lt;https://cm.jusbrasil.com.br/legislacao/931954/lei-3087-10&gt;. Acesso em: 28 jun. 2019.</w:t>
      </w:r>
    </w:p>
    <w:p>
      <w:pPr>
        <w:pStyle w:val="Normal"/>
        <w:spacing w:lineRule="auto" w:line="240" w:before="0" w:after="0"/>
        <w:jc w:val="left"/>
        <w:rPr>
          <w:rFonts w:ascii="Arial" w:hAnsi="Arial" w:eastAsia="Roboto" w:cs="Roboto"/>
          <w:color w:val="222222"/>
          <w:sz w:val="24"/>
          <w:szCs w:val="24"/>
          <w:highlight w:val="white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 xml:space="preserve">INSTITUTO BRASILEIRO DE GEOGRAFIA E ESTATÍSTICA. </w:t>
      </w:r>
      <w:r>
        <w:rPr>
          <w:rFonts w:eastAsia="Roboto" w:cs="Roboto" w:ascii="Arial" w:hAnsi="Arial"/>
          <w:b/>
          <w:color w:val="222222"/>
          <w:sz w:val="24"/>
          <w:szCs w:val="24"/>
          <w:highlight w:val="white"/>
        </w:rPr>
        <w:t xml:space="preserve">População. </w:t>
      </w: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>2018. Disponível em: &lt;https://cidades.ibge.gov.br/brasil/sc/camboriu/panorama&gt;. Acesso em: 28 jun. 2019.</w:t>
      </w:r>
    </w:p>
    <w:p>
      <w:pPr>
        <w:pStyle w:val="Normal"/>
        <w:spacing w:lineRule="auto" w:line="240" w:before="0" w:after="0"/>
        <w:jc w:val="left"/>
        <w:rPr>
          <w:rFonts w:ascii="Arial" w:hAnsi="Arial" w:eastAsia="Roboto" w:cs="Roboto"/>
          <w:color w:val="222222"/>
          <w:sz w:val="24"/>
          <w:szCs w:val="24"/>
          <w:highlight w:val="white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Arial" w:cs="Arial" w:ascii="Arial" w:hAnsi="Arial"/>
          <w:sz w:val="24"/>
          <w:szCs w:val="24"/>
        </w:rPr>
        <w:t>BUZELLI, Giovanna Moreti; CUNHA-SANTINO, Marcela Bianchessi da. Análise e diagnóstico da qualidade da água e estado trófico do reservatório de Barra Bonita, SP.</w:t>
      </w:r>
      <w:r>
        <w:rPr>
          <w:rFonts w:eastAsia="Arial" w:cs="Arial" w:ascii="Arial" w:hAnsi="Arial"/>
          <w:b/>
          <w:sz w:val="24"/>
          <w:szCs w:val="24"/>
        </w:rPr>
        <w:t>Rev. Ambient. Água</w:t>
      </w:r>
      <w:r>
        <w:rPr>
          <w:rFonts w:eastAsia="Arial" w:cs="Arial" w:ascii="Arial" w:hAnsi="Arial"/>
          <w:sz w:val="24"/>
          <w:szCs w:val="24"/>
        </w:rPr>
        <w:t xml:space="preserve">,  Taubaté ,  v. 8, n. 1, p. 186-205,  Apr.  2013 . Disponível em:&lt;http://www.scielo.br/scielo.php?script=sci_arttext&amp;pid=S1980-993X2013000100014&amp;lng=en&amp;nrm=iso&gt;. access on  28  June  2019.  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 xml:space="preserve">COMPANHIA AMBIENTAL DO ESTADO DE SÃO PAULO. </w:t>
      </w:r>
      <w:r>
        <w:rPr>
          <w:rFonts w:eastAsia="Roboto" w:cs="Roboto" w:ascii="Arial" w:hAnsi="Arial"/>
          <w:b/>
          <w:color w:val="222222"/>
          <w:sz w:val="24"/>
          <w:szCs w:val="24"/>
          <w:highlight w:val="white"/>
        </w:rPr>
        <w:t>L5.306</w:t>
      </w: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>: Determinação de Clorofila a e Feofitina a: método espectrofotométrico. 3 ed. São Paulo, 2014. 14 p.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 xml:space="preserve">DELLAGIUSTÍNA, Antônio. </w:t>
      </w:r>
      <w:r>
        <w:rPr>
          <w:rFonts w:eastAsia="Roboto" w:cs="Roboto" w:ascii="Arial" w:hAnsi="Arial"/>
          <w:b/>
          <w:color w:val="222222"/>
          <w:sz w:val="24"/>
          <w:szCs w:val="24"/>
          <w:highlight w:val="white"/>
        </w:rPr>
        <w:t xml:space="preserve">DETERMINAÇÃO DAS CONCENTRAÇÕES DE NITROGÊNIO E FÓSFORO DISSOLVIDOS EM DIFERENTES LOCAIS DO RIO ITAJAÍ-AÇU. </w:t>
      </w: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>2010. 92 f. Dissertação (Mestrado) - Curso de Química, Universidade Federal de Santa Catarina, Florianópolis, 2010. Disponível em:&lt;https://repositorio.ufsc.br/xmlui/bitstream/handle/123456789/78694/178300.pdf?sequence=1&amp;isAllowed=y&gt;. Acesso em: 28 jun. 2019.</w:t>
      </w:r>
    </w:p>
    <w:p>
      <w:pPr>
        <w:pStyle w:val="Normal"/>
        <w:spacing w:lineRule="auto" w:line="240" w:before="0" w:after="0"/>
        <w:jc w:val="left"/>
        <w:rPr>
          <w:rFonts w:ascii="Arial" w:hAnsi="Arial" w:eastAsia="Roboto" w:cs="Roboto"/>
          <w:color w:val="222222"/>
          <w:sz w:val="24"/>
          <w:szCs w:val="24"/>
          <w:highlight w:val="white"/>
        </w:rPr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Roboto" w:cs="Roboto" w:ascii="Arial" w:hAnsi="Arial"/>
          <w:color w:val="222222"/>
          <w:sz w:val="24"/>
          <w:szCs w:val="24"/>
          <w:highlight w:val="white"/>
        </w:rPr>
        <w:t xml:space="preserve">PREFEITURA MUNICIPAL DE CAMBORIÚ. </w:t>
      </w:r>
      <w:r>
        <w:rPr>
          <w:rFonts w:eastAsia="Arial" w:cs="Arial" w:ascii="Arial" w:hAnsi="Arial"/>
          <w:b/>
          <w:sz w:val="24"/>
          <w:szCs w:val="24"/>
          <w:highlight w:val="white"/>
        </w:rPr>
        <w:t>Plano Diretor de Desenvolvimento Territorial do Município de Camboriú.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Documento técnico, parte 6. Leitura do município 2012. Disponível em:&lt;http://www.camboriu.sc.gov.br/extranet/arquivos/plano_diretor/leitura_tecnica_parte_06_1342620999568.pdf&gt; Acesso em: 03 jul. 2019.</w:t>
      </w:r>
    </w:p>
    <w:sectPr>
      <w:headerReference w:type="default" r:id="rId4"/>
      <w:footnotePr>
        <w:numFmt w:val="decimal"/>
      </w:footnotePr>
      <w:type w:val="nextPage"/>
      <w:pgSz w:w="11906" w:h="16838"/>
      <w:pgMar w:left="1701" w:right="1134" w:header="709" w:top="1701" w:footer="0" w:bottom="1134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Ecofont Vera Sans">
    <w:charset w:val="01"/>
    <w:family w:val="swiss"/>
    <w:pitch w:val="default"/>
  </w:font>
  <w:font w:name="Georgia"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LOnormal"/>
        <w:spacing w:lineRule="auto" w:line="240" w:before="0" w:after="0"/>
        <w:rPr/>
      </w:pPr>
      <w:r>
        <w:rPr>
          <w:rFonts w:cs="Arial" w:ascii="Arial" w:hAnsi="Arial"/>
          <w:sz w:val="18"/>
          <w:szCs w:val="18"/>
          <w:vertAlign w:val="superscript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Aluna do Curso de Controle Ambiental Integrado ao Ensino Médio (CA17) do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emilyboeno444@gmail.com</w:t>
      </w:r>
      <w:r>
        <w:rPr>
          <w:rFonts w:cs="Arial" w:ascii="Arial" w:hAnsi="Arial"/>
          <w:color w:val="000000"/>
          <w:sz w:val="18"/>
          <w:szCs w:val="18"/>
        </w:rPr>
        <w:t>.</w:t>
      </w:r>
    </w:p>
  </w:footnote>
  <w:footnote w:id="3">
    <w:p>
      <w:pPr>
        <w:pStyle w:val="LOnormal"/>
        <w:spacing w:lineRule="auto" w:line="240" w:before="0" w:after="0"/>
        <w:rPr/>
      </w:pPr>
      <w:r>
        <w:rPr>
          <w:rFonts w:cs="Arial" w:ascii="Arial" w:hAnsi="Arial"/>
          <w:sz w:val="18"/>
          <w:szCs w:val="18"/>
          <w:vertAlign w:val="superscript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Aluna do Curso de Controle Ambiental Integrado ao Ensino Médio (CA17) do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dudaberlim13@gmail.com.</w:t>
      </w:r>
    </w:p>
  </w:footnote>
  <w:footnote w:id="4">
    <w:p>
      <w:pPr>
        <w:pStyle w:val="LOnormal"/>
        <w:spacing w:lineRule="auto" w:line="240" w:before="0" w:after="0"/>
        <w:rPr/>
      </w:pPr>
      <w:r>
        <w:rPr>
          <w:rFonts w:cs="Arial" w:ascii="Arial" w:hAnsi="Arial"/>
          <w:sz w:val="18"/>
          <w:szCs w:val="18"/>
          <w:vertAlign w:val="superscript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Bel. em Ciências Biológicas,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joeci.godoi@ifc.edu.br.</w:t>
      </w:r>
    </w:p>
  </w:footnote>
  <w:footnote w:id="5">
    <w:p>
      <w:pPr>
        <w:pStyle w:val="LOnormal"/>
        <w:spacing w:lineRule="auto" w:line="240" w:before="0" w:after="0"/>
        <w:rPr/>
      </w:pPr>
      <w:r>
        <w:rPr>
          <w:rFonts w:cs="Arial" w:ascii="Arial" w:hAnsi="Arial"/>
          <w:sz w:val="18"/>
          <w:szCs w:val="18"/>
          <w:vertAlign w:val="superscript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Dr. em Ciências,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daniel.kerr@ifc.edu.br.</w:t>
      </w:r>
    </w:p>
  </w:footnote>
  <w:footnote w:id="6">
    <w:p>
      <w:pPr>
        <w:pStyle w:val="LOnormal"/>
        <w:spacing w:lineRule="auto" w:line="240" w:before="0" w:after="0"/>
        <w:rPr/>
      </w:pPr>
      <w:r>
        <w:rPr>
          <w:rFonts w:cs="Arial" w:ascii="Arial" w:hAnsi="Arial"/>
          <w:sz w:val="18"/>
          <w:szCs w:val="18"/>
          <w:vertAlign w:val="superscript"/>
        </w:rPr>
        <w:footnoteRef/>
        <w:tab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Dra. em Ciências, Instituto Federal Catarinense – </w:t>
      </w:r>
      <w:r>
        <w:rPr>
          <w:rFonts w:eastAsia="Arial" w:cs="Arial" w:ascii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campus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 xml:space="preserve"> Camboriú, renata.ogusucu@ifc.edu.br.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0" w:after="0"/>
      <w:jc w:val="center"/>
      <w:rPr>
        <w:color w:val="000000"/>
        <w:sz w:val="20"/>
        <w:szCs w:val="20"/>
      </w:rPr>
    </w:pPr>
    <w:r>
      <w:rPr/>
      <w:drawing>
        <wp:inline distT="0" distB="0" distL="0" distR="0">
          <wp:extent cx="4224655" cy="68199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24655" cy="68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30"/>
  <w:defaultTabStop w:val="720"/>
  <w:footnotePr>
    <w:numFmt w:val="decimal"/>
    <w:footnote w:id="0"/>
    <w:footnote w:id="1"/>
  </w:footnotePr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5e6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Ttulo1">
    <w:name w:val="Heading 1"/>
    <w:basedOn w:val="Ttulo"/>
    <w:qFormat/>
    <w:rsid w:val="007f2964"/>
    <w:pPr>
      <w:keepNext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00000A"/>
      <w:sz w:val="48"/>
      <w:szCs w:val="48"/>
      <w:lang w:val="pt-BR" w:eastAsia="pt-BR" w:bidi="ar-SA"/>
    </w:rPr>
  </w:style>
  <w:style w:type="paragraph" w:styleId="Ttulo2">
    <w:name w:val="Heading 2"/>
    <w:basedOn w:val="Ttulo"/>
    <w:qFormat/>
    <w:rsid w:val="007f2964"/>
    <w:pPr>
      <w:keepNext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00000A"/>
      <w:sz w:val="36"/>
      <w:szCs w:val="36"/>
      <w:lang w:val="pt-BR" w:eastAsia="pt-BR" w:bidi="ar-SA"/>
    </w:rPr>
  </w:style>
  <w:style w:type="paragraph" w:styleId="Ttulo3">
    <w:name w:val="Heading 3"/>
    <w:basedOn w:val="Ttulo"/>
    <w:qFormat/>
    <w:rsid w:val="007f2964"/>
    <w:pPr>
      <w:keepNext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00000A"/>
      <w:sz w:val="28"/>
      <w:szCs w:val="28"/>
      <w:lang w:val="pt-BR" w:eastAsia="pt-BR" w:bidi="ar-SA"/>
    </w:rPr>
  </w:style>
  <w:style w:type="paragraph" w:styleId="Ttulo4">
    <w:name w:val="Heading 4"/>
    <w:basedOn w:val="Ttulo"/>
    <w:qFormat/>
    <w:rsid w:val="007f2964"/>
    <w:pPr>
      <w:keepNext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00000A"/>
      <w:sz w:val="24"/>
      <w:szCs w:val="24"/>
      <w:lang w:val="pt-BR" w:eastAsia="pt-BR" w:bidi="ar-SA"/>
    </w:rPr>
  </w:style>
  <w:style w:type="paragraph" w:styleId="Ttulo5">
    <w:name w:val="Heading 5"/>
    <w:basedOn w:val="Ttulo"/>
    <w:qFormat/>
    <w:rsid w:val="007f2964"/>
    <w:pPr>
      <w:keepNext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00000A"/>
      <w:sz w:val="22"/>
      <w:szCs w:val="22"/>
      <w:lang w:val="pt-BR" w:eastAsia="pt-BR" w:bidi="ar-SA"/>
    </w:rPr>
  </w:style>
  <w:style w:type="paragraph" w:styleId="Ttulo6">
    <w:name w:val="Heading 6"/>
    <w:basedOn w:val="Ttulo"/>
    <w:qFormat/>
    <w:rsid w:val="007f2964"/>
    <w:pPr>
      <w:keepNext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00000A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118a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de1b9b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de1b9b"/>
    <w:rPr/>
  </w:style>
  <w:style w:type="character" w:styleId="ListLabel1">
    <w:name w:val="ListLabel 1"/>
    <w:qFormat/>
    <w:rPr>
      <w:b w:val="false"/>
      <w:position w:val="0"/>
      <w:sz w:val="22"/>
      <w:sz w:val="22"/>
      <w:vertAlign w:val="baseline"/>
    </w:rPr>
  </w:style>
  <w:style w:type="character" w:styleId="ListLabel2">
    <w:name w:val="ListLabel 2"/>
    <w:qFormat/>
    <w:rPr>
      <w:position w:val="0"/>
      <w:sz w:val="22"/>
      <w:sz w:val="22"/>
      <w:vertAlign w:val="baseline"/>
    </w:rPr>
  </w:style>
  <w:style w:type="character" w:styleId="ListLabel3">
    <w:name w:val="ListLabel 3"/>
    <w:qFormat/>
    <w:rPr>
      <w:position w:val="0"/>
      <w:sz w:val="22"/>
      <w:sz w:val="22"/>
      <w:vertAlign w:val="baseline"/>
    </w:rPr>
  </w:style>
  <w:style w:type="character" w:styleId="ListLabel4">
    <w:name w:val="ListLabel 4"/>
    <w:qFormat/>
    <w:rPr>
      <w:position w:val="0"/>
      <w:sz w:val="22"/>
      <w:sz w:val="22"/>
      <w:vertAlign w:val="baseline"/>
    </w:rPr>
  </w:style>
  <w:style w:type="character" w:styleId="ListLabel5">
    <w:name w:val="ListLabel 5"/>
    <w:qFormat/>
    <w:rPr>
      <w:position w:val="0"/>
      <w:sz w:val="22"/>
      <w:sz w:val="22"/>
      <w:vertAlign w:val="baseline"/>
    </w:rPr>
  </w:style>
  <w:style w:type="character" w:styleId="ListLabel6">
    <w:name w:val="ListLabel 6"/>
    <w:qFormat/>
    <w:rPr>
      <w:position w:val="0"/>
      <w:sz w:val="22"/>
      <w:sz w:val="22"/>
      <w:vertAlign w:val="baseline"/>
    </w:rPr>
  </w:style>
  <w:style w:type="character" w:styleId="ListLabel7">
    <w:name w:val="ListLabel 7"/>
    <w:qFormat/>
    <w:rPr>
      <w:position w:val="0"/>
      <w:sz w:val="22"/>
      <w:sz w:val="22"/>
      <w:vertAlign w:val="baseline"/>
    </w:rPr>
  </w:style>
  <w:style w:type="character" w:styleId="ListLabel8">
    <w:name w:val="ListLabel 8"/>
    <w:qFormat/>
    <w:rPr>
      <w:position w:val="0"/>
      <w:sz w:val="22"/>
      <w:sz w:val="22"/>
      <w:vertAlign w:val="baseline"/>
    </w:rPr>
  </w:style>
  <w:style w:type="character" w:styleId="ListLabel9">
    <w:name w:val="ListLabel 9"/>
    <w:qFormat/>
    <w:rPr>
      <w:position w:val="0"/>
      <w:sz w:val="22"/>
      <w:sz w:val="22"/>
      <w:vertAlign w:val="baseline"/>
    </w:rPr>
  </w:style>
  <w:style w:type="character" w:styleId="ListLabel10">
    <w:name w:val="ListLabel 10"/>
    <w:qFormat/>
    <w:rPr>
      <w:b w:val="false"/>
      <w:position w:val="0"/>
      <w:sz w:val="22"/>
      <w:sz w:val="22"/>
      <w:vertAlign w:val="baseline"/>
    </w:rPr>
  </w:style>
  <w:style w:type="character" w:styleId="ListLabel11">
    <w:name w:val="ListLabel 11"/>
    <w:qFormat/>
    <w:rPr>
      <w:position w:val="0"/>
      <w:sz w:val="22"/>
      <w:sz w:val="22"/>
      <w:vertAlign w:val="baseline"/>
    </w:rPr>
  </w:style>
  <w:style w:type="character" w:styleId="ListLabel12">
    <w:name w:val="ListLabel 12"/>
    <w:qFormat/>
    <w:rPr>
      <w:position w:val="0"/>
      <w:sz w:val="22"/>
      <w:sz w:val="22"/>
      <w:vertAlign w:val="baseline"/>
    </w:rPr>
  </w:style>
  <w:style w:type="character" w:styleId="ListLabel13">
    <w:name w:val="ListLabel 13"/>
    <w:qFormat/>
    <w:rPr>
      <w:position w:val="0"/>
      <w:sz w:val="22"/>
      <w:sz w:val="22"/>
      <w:vertAlign w:val="baseline"/>
    </w:rPr>
  </w:style>
  <w:style w:type="character" w:styleId="ListLabel14">
    <w:name w:val="ListLabel 14"/>
    <w:qFormat/>
    <w:rPr>
      <w:position w:val="0"/>
      <w:sz w:val="22"/>
      <w:sz w:val="22"/>
      <w:vertAlign w:val="baseline"/>
    </w:rPr>
  </w:style>
  <w:style w:type="character" w:styleId="ListLabel15">
    <w:name w:val="ListLabel 15"/>
    <w:qFormat/>
    <w:rPr>
      <w:position w:val="0"/>
      <w:sz w:val="22"/>
      <w:sz w:val="22"/>
      <w:vertAlign w:val="baseline"/>
    </w:rPr>
  </w:style>
  <w:style w:type="character" w:styleId="ListLabel16">
    <w:name w:val="ListLabel 16"/>
    <w:qFormat/>
    <w:rPr>
      <w:position w:val="0"/>
      <w:sz w:val="22"/>
      <w:sz w:val="22"/>
      <w:vertAlign w:val="baseline"/>
    </w:rPr>
  </w:style>
  <w:style w:type="character" w:styleId="ListLabel17">
    <w:name w:val="ListLabel 17"/>
    <w:qFormat/>
    <w:rPr>
      <w:position w:val="0"/>
      <w:sz w:val="22"/>
      <w:sz w:val="22"/>
      <w:vertAlign w:val="baseline"/>
    </w:rPr>
  </w:style>
  <w:style w:type="character" w:styleId="ListLabel18">
    <w:name w:val="ListLabel 18"/>
    <w:qFormat/>
    <w:rPr>
      <w:position w:val="0"/>
      <w:sz w:val="22"/>
      <w:sz w:val="22"/>
      <w:vertAlign w:val="baseline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Ecofont Vera Sans" w:hAnsi="Ecofont Vera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ascii="Ecofont Vera Sans" w:hAnsi="Ecofont Vera Sans"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Ecofont Vera Sans" w:hAnsi="Ecofont Vera Sans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Ecofont Vera Sans" w:hAnsi="Ecofont Vera Sans" w:cs="FreeSans"/>
    </w:rPr>
  </w:style>
  <w:style w:type="paragraph" w:styleId="LOnormal" w:customStyle="1">
    <w:name w:val="LO-normal"/>
    <w:qFormat/>
    <w:rsid w:val="007f2964"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pt-BR" w:eastAsia="pt-BR" w:bidi="ar-SA"/>
    </w:rPr>
  </w:style>
  <w:style w:type="paragraph" w:styleId="Ttulododocumento">
    <w:name w:val="Title"/>
    <w:basedOn w:val="LOnormal"/>
    <w:qFormat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normal"/>
    <w:qFormat/>
    <w:rsid w:val="007f2964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118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LibreOffice/5.1.6.2$Linux_X86_64 LibreOffice_project/10m0$Build-2</Application>
  <Pages>6</Pages>
  <Words>1471</Words>
  <Characters>9221</Characters>
  <CharactersWithSpaces>10598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2019-05-28T17:56:00Z</dcterms:created>
  <dc:creator>Sanir da Conceicao,,,,Professora</dc:creator>
  <dc:description/>
  <dc:language>pt-BR</dc:language>
  <cp:lastModifiedBy/>
  <dcterms:modified xsi:type="dcterms:W3CDTF">2019-07-11T21:39:21Z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