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EA" w:rsidRDefault="00F511FF">
      <w:pPr>
        <w:pBdr>
          <w:top w:val="nil"/>
          <w:left w:val="nil"/>
          <w:bottom w:val="nil"/>
          <w:right w:val="nil"/>
          <w:between w:val="nil"/>
        </w:pBdr>
        <w:spacing w:after="140" w:line="360" w:lineRule="auto"/>
        <w:jc w:val="center"/>
        <w:rPr>
          <w:rFonts w:ascii="Arial" w:eastAsia="Arial" w:hAnsi="Arial" w:cs="Arial"/>
          <w:b/>
        </w:rPr>
      </w:pPr>
      <w:r>
        <w:rPr>
          <w:rFonts w:ascii="Arial" w:eastAsia="Arial" w:hAnsi="Arial" w:cs="Arial"/>
          <w:b/>
        </w:rPr>
        <w:t>ANÁLISE DE CLORETO DAS ÁGUAS SUBTERRÂNEAS DO INSTITUTO FEDERAL CATARINENSE - CAMPUS CAMBORIÚ</w:t>
      </w:r>
    </w:p>
    <w:p w:rsidR="00E512EA" w:rsidRDefault="00E512EA">
      <w:pPr>
        <w:jc w:val="both"/>
        <w:rPr>
          <w:rFonts w:ascii="Arial" w:eastAsia="Arial" w:hAnsi="Arial" w:cs="Arial"/>
          <w:color w:val="548DD4"/>
          <w:sz w:val="18"/>
          <w:szCs w:val="18"/>
        </w:rPr>
      </w:pPr>
    </w:p>
    <w:p w:rsidR="00E512EA" w:rsidRDefault="00F511FF">
      <w:pPr>
        <w:spacing w:line="360" w:lineRule="auto"/>
        <w:jc w:val="center"/>
        <w:rPr>
          <w:rFonts w:ascii="Arial" w:eastAsia="Arial" w:hAnsi="Arial" w:cs="Arial"/>
          <w:i/>
        </w:rPr>
      </w:pPr>
      <w:r>
        <w:rPr>
          <w:rFonts w:ascii="Arial" w:eastAsia="Arial" w:hAnsi="Arial" w:cs="Arial"/>
          <w:i/>
        </w:rPr>
        <w:t>Karine da Silva</w:t>
      </w:r>
      <w:r>
        <w:rPr>
          <w:rFonts w:ascii="Arial" w:eastAsia="Arial" w:hAnsi="Arial" w:cs="Arial"/>
          <w:i/>
          <w:vertAlign w:val="superscript"/>
        </w:rPr>
        <w:footnoteReference w:id="1"/>
      </w:r>
      <w:r>
        <w:rPr>
          <w:rFonts w:ascii="Arial" w:eastAsia="Arial" w:hAnsi="Arial" w:cs="Arial"/>
          <w:i/>
        </w:rPr>
        <w:t>; Nicole Dietrich Machado</w:t>
      </w:r>
      <w:r>
        <w:rPr>
          <w:rFonts w:ascii="Arial" w:eastAsia="Arial" w:hAnsi="Arial" w:cs="Arial"/>
          <w:i/>
          <w:vertAlign w:val="superscript"/>
        </w:rPr>
        <w:t>2</w:t>
      </w:r>
      <w:r>
        <w:rPr>
          <w:rFonts w:ascii="Arial" w:eastAsia="Arial" w:hAnsi="Arial" w:cs="Arial"/>
          <w:i/>
        </w:rPr>
        <w:t>; Adriano Martendal</w:t>
      </w:r>
      <w:r>
        <w:rPr>
          <w:rFonts w:ascii="Arial" w:eastAsia="Arial" w:hAnsi="Arial" w:cs="Arial"/>
          <w:i/>
          <w:vertAlign w:val="superscript"/>
        </w:rPr>
        <w:t>3</w:t>
      </w:r>
      <w:r>
        <w:rPr>
          <w:rFonts w:ascii="Arial" w:eastAsia="Arial" w:hAnsi="Arial" w:cs="Arial"/>
          <w:i/>
        </w:rPr>
        <w:t xml:space="preserve">; Ana Cristina </w:t>
      </w:r>
      <w:proofErr w:type="spellStart"/>
      <w:r>
        <w:rPr>
          <w:rFonts w:ascii="Arial" w:eastAsia="Arial" w:hAnsi="Arial" w:cs="Arial"/>
          <w:i/>
        </w:rPr>
        <w:t>Franzoi</w:t>
      </w:r>
      <w:proofErr w:type="spellEnd"/>
      <w:r>
        <w:rPr>
          <w:rFonts w:ascii="Arial" w:eastAsia="Arial" w:hAnsi="Arial" w:cs="Arial"/>
          <w:i/>
        </w:rPr>
        <w:t xml:space="preserve"> Teixeira</w:t>
      </w:r>
      <w:r>
        <w:rPr>
          <w:rFonts w:ascii="Arial" w:eastAsia="Arial" w:hAnsi="Arial" w:cs="Arial"/>
          <w:i/>
          <w:vertAlign w:val="superscript"/>
        </w:rPr>
        <w:t xml:space="preserve">4 </w:t>
      </w:r>
    </w:p>
    <w:p w:rsidR="00E512EA" w:rsidRDefault="00E512EA">
      <w:pPr>
        <w:pBdr>
          <w:top w:val="nil"/>
          <w:left w:val="nil"/>
          <w:bottom w:val="nil"/>
          <w:right w:val="nil"/>
          <w:between w:val="nil"/>
        </w:pBdr>
        <w:spacing w:line="360" w:lineRule="auto"/>
        <w:rPr>
          <w:rFonts w:ascii="Arial" w:eastAsia="Arial" w:hAnsi="Arial" w:cs="Arial"/>
          <w:color w:val="548DD4"/>
          <w:sz w:val="18"/>
          <w:szCs w:val="18"/>
        </w:rPr>
      </w:pPr>
    </w:p>
    <w:p w:rsidR="00E512EA" w:rsidRDefault="00F511FF">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RESUMO</w:t>
      </w:r>
    </w:p>
    <w:p w:rsidR="00E512EA" w:rsidRDefault="00E512EA">
      <w:pPr>
        <w:jc w:val="both"/>
        <w:rPr>
          <w:rFonts w:ascii="Arial" w:eastAsia="Arial" w:hAnsi="Arial" w:cs="Arial"/>
          <w:highlight w:val="white"/>
        </w:rPr>
      </w:pPr>
    </w:p>
    <w:p w:rsidR="00E512EA" w:rsidRDefault="00F511FF">
      <w:pPr>
        <w:jc w:val="both"/>
        <w:rPr>
          <w:rFonts w:ascii="Arial" w:eastAsia="Arial" w:hAnsi="Arial" w:cs="Arial"/>
          <w:highlight w:val="white"/>
        </w:rPr>
      </w:pPr>
      <w:r>
        <w:rPr>
          <w:rFonts w:ascii="Arial" w:eastAsia="Arial" w:hAnsi="Arial" w:cs="Arial"/>
          <w:highlight w:val="white"/>
        </w:rPr>
        <w:t xml:space="preserve">As águas subterrâneas são formadas pelas águas das chuvas que percorrem camadas abaixo da superfície do solo e preenchem os espaços vazios entre as rochas. Importa saber se estas se tornam salobras ou salinas, isto é, possuem altos teores de sais. A Portaria 2.914/2011 do Ministério da Saúde estipula a concentração de 250 mg/L de cloreto como a máxima permitida. O projeto foi desenvolvido com o objetivo de quantificar os íons cloreto nas águas subterrâneas do IFC - CC, utilizando o método de </w:t>
      </w:r>
      <w:proofErr w:type="spellStart"/>
      <w:r>
        <w:rPr>
          <w:rFonts w:ascii="Arial" w:eastAsia="Arial" w:hAnsi="Arial" w:cs="Arial"/>
          <w:highlight w:val="white"/>
        </w:rPr>
        <w:t>Mohr</w:t>
      </w:r>
      <w:proofErr w:type="spellEnd"/>
      <w:r>
        <w:rPr>
          <w:rFonts w:ascii="Arial" w:eastAsia="Arial" w:hAnsi="Arial" w:cs="Arial"/>
          <w:highlight w:val="white"/>
        </w:rPr>
        <w:t xml:space="preserve">. Os dados obtidos foram submetidos a um tratamento estatístico a fim de avaliar a dispersão e variação do conjunto de valores. Os resultados das </w:t>
      </w:r>
      <w:r w:rsidR="00A47B36">
        <w:rPr>
          <w:rFonts w:ascii="Arial" w:eastAsia="Arial" w:hAnsi="Arial" w:cs="Arial"/>
          <w:highlight w:val="white"/>
        </w:rPr>
        <w:t>análises constataram que apesar</w:t>
      </w:r>
      <w:r>
        <w:rPr>
          <w:rFonts w:ascii="Arial" w:eastAsia="Arial" w:hAnsi="Arial" w:cs="Arial"/>
          <w:highlight w:val="white"/>
        </w:rPr>
        <w:t xml:space="preserve"> da concentração máxima de 28,72 mg de Cl</w:t>
      </w:r>
      <w:r>
        <w:rPr>
          <w:rFonts w:ascii="Arial" w:eastAsia="Arial" w:hAnsi="Arial" w:cs="Arial"/>
          <w:highlight w:val="white"/>
          <w:vertAlign w:val="superscript"/>
        </w:rPr>
        <w:t>-</w:t>
      </w:r>
      <w:r>
        <w:rPr>
          <w:rFonts w:ascii="Arial" w:eastAsia="Arial" w:hAnsi="Arial" w:cs="Arial"/>
          <w:highlight w:val="white"/>
        </w:rPr>
        <w:t>/L, no ponto da mangueira do setor de bovino de leite, as águas encontram-se no padrão estabelecido pela legislação nos anos de 2016 e 2018.</w:t>
      </w:r>
    </w:p>
    <w:p w:rsidR="00E512EA" w:rsidRDefault="00E512EA">
      <w:pPr>
        <w:jc w:val="both"/>
        <w:rPr>
          <w:rFonts w:ascii="Arial" w:eastAsia="Arial" w:hAnsi="Arial" w:cs="Arial"/>
          <w:b/>
        </w:rPr>
      </w:pPr>
    </w:p>
    <w:p w:rsidR="00E512EA" w:rsidRDefault="00F511FF">
      <w:pPr>
        <w:jc w:val="both"/>
        <w:rPr>
          <w:rFonts w:ascii="Arial" w:eastAsia="Arial" w:hAnsi="Arial" w:cs="Arial"/>
        </w:rPr>
      </w:pPr>
      <w:r>
        <w:rPr>
          <w:rFonts w:ascii="Arial" w:eastAsia="Arial" w:hAnsi="Arial" w:cs="Arial"/>
          <w:b/>
          <w:color w:val="000000"/>
        </w:rPr>
        <w:t>Palavras-chave</w:t>
      </w:r>
      <w:r>
        <w:rPr>
          <w:rFonts w:ascii="Arial" w:eastAsia="Arial" w:hAnsi="Arial" w:cs="Arial"/>
          <w:color w:val="000000"/>
        </w:rPr>
        <w:t>:</w:t>
      </w:r>
      <w:r>
        <w:rPr>
          <w:rFonts w:ascii="Arial" w:eastAsia="Arial" w:hAnsi="Arial" w:cs="Arial"/>
        </w:rPr>
        <w:t xml:space="preserve"> Águas subterrâneas</w:t>
      </w:r>
      <w:r>
        <w:rPr>
          <w:rFonts w:ascii="Arial" w:eastAsia="Arial" w:hAnsi="Arial" w:cs="Arial"/>
          <w:color w:val="000000"/>
        </w:rPr>
        <w:t>.</w:t>
      </w:r>
      <w:r>
        <w:rPr>
          <w:rFonts w:ascii="Arial" w:eastAsia="Arial" w:hAnsi="Arial" w:cs="Arial"/>
        </w:rPr>
        <w:t xml:space="preserve"> Análises</w:t>
      </w:r>
      <w:r>
        <w:rPr>
          <w:rFonts w:ascii="Arial" w:eastAsia="Arial" w:hAnsi="Arial" w:cs="Arial"/>
          <w:color w:val="000000"/>
        </w:rPr>
        <w:t xml:space="preserve">. </w:t>
      </w:r>
      <w:r>
        <w:rPr>
          <w:rFonts w:ascii="Arial" w:eastAsia="Arial" w:hAnsi="Arial" w:cs="Arial"/>
        </w:rPr>
        <w:t>Cloreto</w:t>
      </w:r>
      <w:r>
        <w:rPr>
          <w:rFonts w:ascii="Arial" w:eastAsia="Arial" w:hAnsi="Arial" w:cs="Arial"/>
          <w:color w:val="000000"/>
        </w:rPr>
        <w:t>.</w:t>
      </w:r>
    </w:p>
    <w:p w:rsidR="00E512EA" w:rsidRDefault="00E512EA">
      <w:pPr>
        <w:pBdr>
          <w:top w:val="nil"/>
          <w:left w:val="nil"/>
          <w:bottom w:val="nil"/>
          <w:right w:val="nil"/>
          <w:between w:val="nil"/>
        </w:pBdr>
        <w:jc w:val="both"/>
        <w:rPr>
          <w:rFonts w:ascii="Arial" w:eastAsia="Arial" w:hAnsi="Arial" w:cs="Arial"/>
        </w:rPr>
      </w:pPr>
    </w:p>
    <w:p w:rsidR="00E512EA" w:rsidRDefault="00E512EA">
      <w:pPr>
        <w:pBdr>
          <w:top w:val="nil"/>
          <w:left w:val="nil"/>
          <w:bottom w:val="nil"/>
          <w:right w:val="nil"/>
          <w:between w:val="nil"/>
        </w:pBdr>
        <w:jc w:val="both"/>
        <w:rPr>
          <w:rFonts w:ascii="Arial" w:eastAsia="Arial" w:hAnsi="Arial" w:cs="Arial"/>
        </w:rPr>
      </w:pPr>
    </w:p>
    <w:p w:rsidR="00E512EA" w:rsidRDefault="00F511FF">
      <w:pPr>
        <w:pBdr>
          <w:top w:val="nil"/>
          <w:left w:val="nil"/>
          <w:bottom w:val="nil"/>
          <w:right w:val="nil"/>
          <w:between w:val="nil"/>
        </w:pBdr>
        <w:spacing w:line="360" w:lineRule="auto"/>
        <w:jc w:val="center"/>
        <w:rPr>
          <w:rFonts w:ascii="Arial" w:eastAsia="Arial" w:hAnsi="Arial" w:cs="Arial"/>
          <w:b/>
        </w:rPr>
      </w:pPr>
      <w:r>
        <w:rPr>
          <w:rFonts w:ascii="Arial" w:eastAsia="Arial" w:hAnsi="Arial" w:cs="Arial"/>
          <w:b/>
          <w:color w:val="000000"/>
        </w:rPr>
        <w:t>INTRODUÇÃO</w:t>
      </w:r>
    </w:p>
    <w:p w:rsidR="00E512EA" w:rsidRDefault="00E512EA">
      <w:pPr>
        <w:pBdr>
          <w:top w:val="nil"/>
          <w:left w:val="nil"/>
          <w:bottom w:val="nil"/>
          <w:right w:val="nil"/>
          <w:between w:val="nil"/>
        </w:pBdr>
        <w:jc w:val="both"/>
        <w:rPr>
          <w:rFonts w:ascii="Arial" w:eastAsia="Arial" w:hAnsi="Arial" w:cs="Arial"/>
          <w:b/>
        </w:rPr>
      </w:pP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 xml:space="preserve">As águas subterrâneas cumprem uma fase do ciclo hidrológico, uma vez que constituem uma parcela da água precipitada. Definida como toda água que ocorre abaixo da superfície da Terra, preenchendo os poros ou vazios </w:t>
      </w:r>
      <w:proofErr w:type="spellStart"/>
      <w:r>
        <w:rPr>
          <w:rFonts w:ascii="Arial" w:eastAsia="Arial" w:hAnsi="Arial" w:cs="Arial"/>
        </w:rPr>
        <w:t>intergranulares</w:t>
      </w:r>
      <w:proofErr w:type="spellEnd"/>
      <w:r>
        <w:rPr>
          <w:rFonts w:ascii="Arial" w:eastAsia="Arial" w:hAnsi="Arial" w:cs="Arial"/>
        </w:rPr>
        <w:t xml:space="preserve"> das rochas sedimentares, ou as fraturas, falhas e fissuras das rochas compactadas, e que sendo submetida a duas forças, de adesão e gravidade, desempenha papel essencial na manutenção da umidade do solo, do fluxo dos rios, lagos e brejos (MACHADO, 2012).</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 xml:space="preserve">Diversas substâncias são consideradas para determinar a potabilidade. O cloreto, por exemplo, que em elevadas concentrações faz com que a água se torne salobra, isto é, apresenta teor de sais dissolvidos entre 500 </w:t>
      </w:r>
      <w:proofErr w:type="spellStart"/>
      <w:r>
        <w:rPr>
          <w:rFonts w:ascii="Arial" w:eastAsia="Arial" w:hAnsi="Arial" w:cs="Arial"/>
        </w:rPr>
        <w:t>ppm</w:t>
      </w:r>
      <w:proofErr w:type="spellEnd"/>
      <w:r>
        <w:rPr>
          <w:rFonts w:ascii="Arial" w:eastAsia="Arial" w:hAnsi="Arial" w:cs="Arial"/>
        </w:rPr>
        <w:t xml:space="preserve"> e 30.000 </w:t>
      </w:r>
      <w:proofErr w:type="spellStart"/>
      <w:r>
        <w:rPr>
          <w:rFonts w:ascii="Arial" w:eastAsia="Arial" w:hAnsi="Arial" w:cs="Arial"/>
        </w:rPr>
        <w:t>ppm</w:t>
      </w:r>
      <w:proofErr w:type="spellEnd"/>
      <w:r>
        <w:rPr>
          <w:rFonts w:ascii="Arial" w:eastAsia="Arial" w:hAnsi="Arial" w:cs="Arial"/>
        </w:rPr>
        <w:t xml:space="preserve">, ou torne-se salina, contendo cerca de 30.000 </w:t>
      </w:r>
      <w:proofErr w:type="spellStart"/>
      <w:r>
        <w:rPr>
          <w:rFonts w:ascii="Arial" w:eastAsia="Arial" w:hAnsi="Arial" w:cs="Arial"/>
        </w:rPr>
        <w:t>ppm</w:t>
      </w:r>
      <w:proofErr w:type="spellEnd"/>
      <w:r>
        <w:rPr>
          <w:rFonts w:ascii="Arial" w:eastAsia="Arial" w:hAnsi="Arial" w:cs="Arial"/>
        </w:rPr>
        <w:t xml:space="preserve"> a 50.000 </w:t>
      </w:r>
      <w:proofErr w:type="spellStart"/>
      <w:r>
        <w:rPr>
          <w:rFonts w:ascii="Arial" w:eastAsia="Arial" w:hAnsi="Arial" w:cs="Arial"/>
        </w:rPr>
        <w:t>ppm</w:t>
      </w:r>
      <w:proofErr w:type="spellEnd"/>
      <w:r>
        <w:rPr>
          <w:rFonts w:ascii="Arial" w:eastAsia="Arial" w:hAnsi="Arial" w:cs="Arial"/>
        </w:rPr>
        <w:t xml:space="preserve"> de sal. Segundo Macêdo (2003), este conhecimento, quanto ao teor de cloretos das águas, tem por </w:t>
      </w:r>
      <w:r>
        <w:rPr>
          <w:rFonts w:ascii="Arial" w:eastAsia="Arial" w:hAnsi="Arial" w:cs="Arial"/>
        </w:rPr>
        <w:lastRenderedPageBreak/>
        <w:t>finalidade obter informações sobre o seu grau de mineralização ou, indícios de poluição, como esgotos domésticos e resíduos industriais.</w:t>
      </w:r>
    </w:p>
    <w:p w:rsidR="00E512EA" w:rsidRDefault="00F511FF">
      <w:pPr>
        <w:spacing w:line="360" w:lineRule="auto"/>
        <w:ind w:firstLine="1140"/>
        <w:jc w:val="both"/>
        <w:rPr>
          <w:rFonts w:ascii="Arial" w:eastAsia="Arial" w:hAnsi="Arial" w:cs="Arial"/>
        </w:rPr>
      </w:pPr>
      <w:r>
        <w:rPr>
          <w:rFonts w:ascii="Arial" w:eastAsia="Arial" w:hAnsi="Arial" w:cs="Arial"/>
        </w:rPr>
        <w:t>As análises de cloreto, realizadas no laboratório de química do Instituto Federal Catarinense - Campus Camboriú, tiveram por objetivo determinar a presença de íons cloreto (Cl</w:t>
      </w:r>
      <w:r>
        <w:rPr>
          <w:rFonts w:ascii="Arial" w:eastAsia="Arial" w:hAnsi="Arial" w:cs="Arial"/>
          <w:vertAlign w:val="superscript"/>
        </w:rPr>
        <w:t>-</w:t>
      </w:r>
      <w:r>
        <w:rPr>
          <w:rFonts w:ascii="Arial" w:eastAsia="Arial" w:hAnsi="Arial" w:cs="Arial"/>
        </w:rPr>
        <w:t>) nas amostras de águas subterrâneas, coletadas em diferentes pontos da instituição, buscando comparar os resultados obtidos, no decorrer das análises, com os dados contidos na legislação vigente.</w:t>
      </w:r>
    </w:p>
    <w:p w:rsidR="00E512EA" w:rsidRDefault="00F511FF">
      <w:pPr>
        <w:spacing w:line="360" w:lineRule="auto"/>
        <w:ind w:firstLine="1140"/>
        <w:jc w:val="both"/>
        <w:rPr>
          <w:rFonts w:ascii="Arial" w:eastAsia="Arial" w:hAnsi="Arial" w:cs="Arial"/>
        </w:rPr>
      </w:pPr>
      <w:r>
        <w:rPr>
          <w:rFonts w:ascii="Arial" w:eastAsia="Arial" w:hAnsi="Arial" w:cs="Arial"/>
        </w:rPr>
        <w:t>A Portaria nº 2.914/2011, do Ministério da Saúde, estabelece como valor máximo permitido de cloretos a concentração de 250mg/L, de modo a evitar que as águas se tornem salobras ou salinas.</w:t>
      </w:r>
    </w:p>
    <w:p w:rsidR="00E512EA" w:rsidRDefault="00F511FF">
      <w:pPr>
        <w:ind w:firstLine="1140"/>
        <w:jc w:val="both"/>
        <w:rPr>
          <w:rFonts w:ascii="Arial" w:eastAsia="Arial" w:hAnsi="Arial" w:cs="Arial"/>
          <w:color w:val="548DD4"/>
        </w:rPr>
      </w:pPr>
      <w:r>
        <w:rPr>
          <w:rFonts w:ascii="Arial" w:eastAsia="Arial" w:hAnsi="Arial" w:cs="Arial"/>
        </w:rPr>
        <w:t xml:space="preserve"> </w:t>
      </w:r>
    </w:p>
    <w:p w:rsidR="00E512EA" w:rsidRDefault="00E512EA">
      <w:pPr>
        <w:jc w:val="both"/>
        <w:rPr>
          <w:rFonts w:ascii="Arial" w:eastAsia="Arial" w:hAnsi="Arial" w:cs="Arial"/>
          <w:color w:val="548DD4"/>
        </w:rPr>
      </w:pPr>
    </w:p>
    <w:p w:rsidR="00E512EA" w:rsidRDefault="00F511FF">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PROCEDIMENTOS METODOLÓGICOS</w:t>
      </w:r>
    </w:p>
    <w:p w:rsidR="00E512EA" w:rsidRDefault="00E512EA">
      <w:pPr>
        <w:pBdr>
          <w:top w:val="nil"/>
          <w:left w:val="nil"/>
          <w:bottom w:val="nil"/>
          <w:right w:val="nil"/>
          <w:between w:val="nil"/>
        </w:pBdr>
        <w:rPr>
          <w:rFonts w:ascii="Arial" w:eastAsia="Arial" w:hAnsi="Arial" w:cs="Arial"/>
          <w:b/>
        </w:rPr>
      </w:pPr>
    </w:p>
    <w:p w:rsidR="00E512EA" w:rsidRDefault="00F511FF">
      <w:pPr>
        <w:pBdr>
          <w:top w:val="nil"/>
          <w:left w:val="nil"/>
          <w:bottom w:val="nil"/>
          <w:right w:val="nil"/>
          <w:between w:val="nil"/>
        </w:pBdr>
        <w:spacing w:line="360" w:lineRule="auto"/>
        <w:jc w:val="both"/>
        <w:rPr>
          <w:rFonts w:ascii="Arial" w:eastAsia="Arial" w:hAnsi="Arial" w:cs="Arial"/>
          <w:b/>
        </w:rPr>
      </w:pPr>
      <w:r>
        <w:rPr>
          <w:rFonts w:ascii="Arial" w:eastAsia="Arial" w:hAnsi="Arial" w:cs="Arial"/>
          <w:b/>
        </w:rPr>
        <w:t>Materiais</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Os materiais utilizados nas análises de cloreto foram os seguintes:</w:t>
      </w:r>
    </w:p>
    <w:p w:rsidR="00E512EA" w:rsidRDefault="00F511FF">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 Bureta de 50mL, </w:t>
      </w:r>
      <w:proofErr w:type="spellStart"/>
      <w:r>
        <w:rPr>
          <w:rFonts w:ascii="Arial" w:eastAsia="Arial" w:hAnsi="Arial" w:cs="Arial"/>
        </w:rPr>
        <w:t>erlenmeyer</w:t>
      </w:r>
      <w:proofErr w:type="spellEnd"/>
      <w:r>
        <w:rPr>
          <w:rFonts w:ascii="Arial" w:eastAsia="Arial" w:hAnsi="Arial" w:cs="Arial"/>
        </w:rPr>
        <w:t xml:space="preserve"> de 250mL, suporte universal, pipeta volumétrica de 100mL, </w:t>
      </w:r>
      <w:proofErr w:type="spellStart"/>
      <w:r>
        <w:rPr>
          <w:rFonts w:ascii="Arial" w:eastAsia="Arial" w:hAnsi="Arial" w:cs="Arial"/>
        </w:rPr>
        <w:t>pipetador</w:t>
      </w:r>
      <w:proofErr w:type="spellEnd"/>
      <w:r>
        <w:rPr>
          <w:rFonts w:ascii="Arial" w:eastAsia="Arial" w:hAnsi="Arial" w:cs="Arial"/>
        </w:rPr>
        <w:t xml:space="preserve">, </w:t>
      </w:r>
      <w:proofErr w:type="spellStart"/>
      <w:r>
        <w:rPr>
          <w:rFonts w:ascii="Arial" w:eastAsia="Arial" w:hAnsi="Arial" w:cs="Arial"/>
        </w:rPr>
        <w:t>becker</w:t>
      </w:r>
      <w:proofErr w:type="spellEnd"/>
      <w:r>
        <w:rPr>
          <w:rFonts w:ascii="Arial" w:eastAsia="Arial" w:hAnsi="Arial" w:cs="Arial"/>
        </w:rPr>
        <w:t>, balões volumétricos de 1000mL, espátula e balança</w:t>
      </w:r>
      <w:r>
        <w:rPr>
          <w:rFonts w:ascii="Arial" w:eastAsia="Arial" w:hAnsi="Arial" w:cs="Arial"/>
          <w:b/>
        </w:rPr>
        <w:t xml:space="preserve"> </w:t>
      </w:r>
      <w:proofErr w:type="spellStart"/>
      <w:r w:rsidR="00A47B36">
        <w:rPr>
          <w:rFonts w:ascii="Arial" w:eastAsia="Arial" w:hAnsi="Arial" w:cs="Arial"/>
        </w:rPr>
        <w:t>semi-analí</w:t>
      </w:r>
      <w:r>
        <w:rPr>
          <w:rFonts w:ascii="Arial" w:eastAsia="Arial" w:hAnsi="Arial" w:cs="Arial"/>
        </w:rPr>
        <w:t>tica</w:t>
      </w:r>
      <w:proofErr w:type="spellEnd"/>
      <w:r>
        <w:rPr>
          <w:rFonts w:ascii="Arial" w:eastAsia="Arial" w:hAnsi="Arial" w:cs="Arial"/>
        </w:rPr>
        <w:t>;</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 xml:space="preserve">Os reagentes usados nos procedimentos foram: </w:t>
      </w:r>
    </w:p>
    <w:p w:rsidR="00E512EA" w:rsidRDefault="00F511FF">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Solução de nitrato de prata padronizada (AgNO</w:t>
      </w:r>
      <w:r>
        <w:rPr>
          <w:rFonts w:ascii="Arial" w:eastAsia="Arial" w:hAnsi="Arial" w:cs="Arial"/>
          <w:vertAlign w:val="subscript"/>
        </w:rPr>
        <w:t>3</w:t>
      </w:r>
      <w:r>
        <w:rPr>
          <w:rFonts w:ascii="Arial" w:eastAsia="Arial" w:hAnsi="Arial" w:cs="Arial"/>
        </w:rPr>
        <w:t xml:space="preserve"> - </w:t>
      </w:r>
      <w:proofErr w:type="spellStart"/>
      <w:r>
        <w:rPr>
          <w:rFonts w:ascii="Arial" w:eastAsia="Arial" w:hAnsi="Arial" w:cs="Arial"/>
        </w:rPr>
        <w:t>Proquímicos</w:t>
      </w:r>
      <w:proofErr w:type="spellEnd"/>
      <w:r>
        <w:rPr>
          <w:rFonts w:ascii="Arial" w:eastAsia="Arial" w:hAnsi="Arial" w:cs="Arial"/>
        </w:rPr>
        <w:t>; 0,010815mol/L), solução de cloreto de sódio (</w:t>
      </w:r>
      <w:proofErr w:type="spellStart"/>
      <w:r>
        <w:rPr>
          <w:rFonts w:ascii="Arial" w:eastAsia="Arial" w:hAnsi="Arial" w:cs="Arial"/>
        </w:rPr>
        <w:t>NaCl</w:t>
      </w:r>
      <w:proofErr w:type="spellEnd"/>
      <w:r>
        <w:rPr>
          <w:rFonts w:ascii="Arial" w:eastAsia="Arial" w:hAnsi="Arial" w:cs="Arial"/>
        </w:rPr>
        <w:t xml:space="preserve"> - </w:t>
      </w:r>
      <w:proofErr w:type="spellStart"/>
      <w:r>
        <w:rPr>
          <w:rFonts w:ascii="Arial" w:eastAsia="Arial" w:hAnsi="Arial" w:cs="Arial"/>
        </w:rPr>
        <w:t>Vetec</w:t>
      </w:r>
      <w:proofErr w:type="spellEnd"/>
      <w:r>
        <w:rPr>
          <w:rFonts w:ascii="Arial" w:eastAsia="Arial" w:hAnsi="Arial" w:cs="Arial"/>
        </w:rPr>
        <w:t>; 0,0099931mol/L) e o indicador cromato de potássio (K</w:t>
      </w:r>
      <w:r>
        <w:rPr>
          <w:rFonts w:ascii="Arial" w:eastAsia="Arial" w:hAnsi="Arial" w:cs="Arial"/>
          <w:vertAlign w:val="subscript"/>
        </w:rPr>
        <w:t>2</w:t>
      </w:r>
      <w:r>
        <w:rPr>
          <w:rFonts w:ascii="Arial" w:eastAsia="Arial" w:hAnsi="Arial" w:cs="Arial"/>
        </w:rPr>
        <w:t>CrO</w:t>
      </w:r>
      <w:r>
        <w:rPr>
          <w:rFonts w:ascii="Arial" w:eastAsia="Arial" w:hAnsi="Arial" w:cs="Arial"/>
          <w:vertAlign w:val="subscript"/>
        </w:rPr>
        <w:t>4</w:t>
      </w:r>
      <w:r>
        <w:rPr>
          <w:rFonts w:ascii="Arial" w:eastAsia="Arial" w:hAnsi="Arial" w:cs="Arial"/>
        </w:rPr>
        <w:t xml:space="preserve"> - Fisher </w:t>
      </w:r>
      <w:proofErr w:type="spellStart"/>
      <w:r>
        <w:rPr>
          <w:rFonts w:ascii="Arial" w:eastAsia="Arial" w:hAnsi="Arial" w:cs="Arial"/>
        </w:rPr>
        <w:t>Scientific</w:t>
      </w:r>
      <w:proofErr w:type="spellEnd"/>
      <w:r>
        <w:rPr>
          <w:rFonts w:ascii="Arial" w:eastAsia="Arial" w:hAnsi="Arial" w:cs="Arial"/>
        </w:rPr>
        <w:t xml:space="preserve"> </w:t>
      </w:r>
      <w:proofErr w:type="spellStart"/>
      <w:r>
        <w:rPr>
          <w:rFonts w:ascii="Arial" w:eastAsia="Arial" w:hAnsi="Arial" w:cs="Arial"/>
        </w:rPr>
        <w:t>Company</w:t>
      </w:r>
      <w:proofErr w:type="spellEnd"/>
      <w:r>
        <w:rPr>
          <w:rFonts w:ascii="Arial" w:eastAsia="Arial" w:hAnsi="Arial" w:cs="Arial"/>
        </w:rPr>
        <w:t>);</w:t>
      </w:r>
    </w:p>
    <w:p w:rsidR="00E512EA" w:rsidRDefault="00E512EA">
      <w:pPr>
        <w:pBdr>
          <w:top w:val="nil"/>
          <w:left w:val="nil"/>
          <w:bottom w:val="nil"/>
          <w:right w:val="nil"/>
          <w:between w:val="nil"/>
        </w:pBdr>
        <w:spacing w:line="360" w:lineRule="auto"/>
        <w:ind w:firstLine="1133"/>
        <w:jc w:val="both"/>
        <w:rPr>
          <w:rFonts w:ascii="Arial" w:eastAsia="Arial" w:hAnsi="Arial" w:cs="Arial"/>
        </w:rPr>
      </w:pPr>
    </w:p>
    <w:p w:rsidR="00E512EA" w:rsidRDefault="00F511FF">
      <w:pPr>
        <w:pBdr>
          <w:top w:val="nil"/>
          <w:left w:val="nil"/>
          <w:bottom w:val="nil"/>
          <w:right w:val="nil"/>
          <w:between w:val="nil"/>
        </w:pBdr>
        <w:spacing w:line="360" w:lineRule="auto"/>
        <w:jc w:val="both"/>
        <w:rPr>
          <w:rFonts w:ascii="Arial" w:eastAsia="Arial" w:hAnsi="Arial" w:cs="Arial"/>
        </w:rPr>
      </w:pPr>
      <w:r>
        <w:rPr>
          <w:rFonts w:ascii="Arial" w:eastAsia="Arial" w:hAnsi="Arial" w:cs="Arial"/>
          <w:b/>
        </w:rPr>
        <w:t>Métodos</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As análises de cloreto foram executadas nos dias 7,14 e 21 de junho de 2018, no laboratório de química do IFC - Campus Camboriú. As amostras foram coletadas em diferentes pontos da instituição, sendo eles:</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 xml:space="preserve">- Torneira do setor de bovino de leite; água captada à 25m de profundidade e utilizada para a </w:t>
      </w:r>
      <w:proofErr w:type="spellStart"/>
      <w:r>
        <w:rPr>
          <w:rFonts w:ascii="Arial" w:eastAsia="Arial" w:hAnsi="Arial" w:cs="Arial"/>
        </w:rPr>
        <w:t>dessedentação</w:t>
      </w:r>
      <w:proofErr w:type="spellEnd"/>
      <w:r>
        <w:rPr>
          <w:rFonts w:ascii="Arial" w:eastAsia="Arial" w:hAnsi="Arial" w:cs="Arial"/>
        </w:rPr>
        <w:t>.</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 xml:space="preserve">- Mangueira de limpeza do setor de bovino de leite; água usada para a limpeza do local, proveniente de um poço à 20m de profundidade. </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 Torneira junto à bomba de água da EPAGRI; utilizada para o abastecimento do setor de piscicultura e o consumo humano, proveniente de uma fonte subterrânea à 45m de profundidade.</w:t>
      </w:r>
    </w:p>
    <w:p w:rsidR="00E512EA" w:rsidRDefault="00F511FF">
      <w:pPr>
        <w:spacing w:line="360" w:lineRule="auto"/>
        <w:ind w:firstLine="1133"/>
        <w:jc w:val="both"/>
        <w:rPr>
          <w:rFonts w:ascii="Arial" w:eastAsia="Arial" w:hAnsi="Arial" w:cs="Arial"/>
        </w:rPr>
      </w:pPr>
      <w:r>
        <w:rPr>
          <w:rFonts w:ascii="Arial" w:eastAsia="Arial" w:hAnsi="Arial" w:cs="Arial"/>
        </w:rPr>
        <w:lastRenderedPageBreak/>
        <w:t xml:space="preserve">- Cisterna; água direcionada à caixa da água para posteriormente ser distribuída, retirada de uma fonte subterrânea à 75m de profundidade. </w:t>
      </w:r>
    </w:p>
    <w:p w:rsidR="00E512EA" w:rsidRDefault="00F511FF">
      <w:pPr>
        <w:spacing w:line="360" w:lineRule="auto"/>
        <w:ind w:firstLine="1133"/>
        <w:jc w:val="both"/>
        <w:rPr>
          <w:rFonts w:ascii="Arial" w:eastAsia="Arial" w:hAnsi="Arial" w:cs="Arial"/>
        </w:rPr>
      </w:pPr>
      <w:r>
        <w:rPr>
          <w:rFonts w:ascii="Arial" w:eastAsia="Arial" w:hAnsi="Arial" w:cs="Arial"/>
        </w:rPr>
        <w:t xml:space="preserve">-  Torneira do laboratório de química; água utilizada para o consumo, proveniente da Cisterna. </w:t>
      </w:r>
    </w:p>
    <w:p w:rsidR="00E512EA" w:rsidRDefault="00F511FF">
      <w:pPr>
        <w:spacing w:line="360" w:lineRule="auto"/>
        <w:ind w:firstLine="1133"/>
        <w:jc w:val="both"/>
        <w:rPr>
          <w:rFonts w:ascii="Arial" w:eastAsia="Arial" w:hAnsi="Arial" w:cs="Arial"/>
        </w:rPr>
      </w:pPr>
      <w:r>
        <w:rPr>
          <w:rFonts w:ascii="Arial" w:eastAsia="Arial" w:hAnsi="Arial" w:cs="Arial"/>
        </w:rPr>
        <w:t>- Torneira do ginásio; água utilizada para consumo, proveniente da mesma fonte subterrânea da Cisterna.</w:t>
      </w:r>
    </w:p>
    <w:p w:rsidR="00E512EA" w:rsidRDefault="00F511FF">
      <w:pPr>
        <w:spacing w:line="360" w:lineRule="auto"/>
        <w:ind w:firstLine="1133"/>
        <w:jc w:val="both"/>
        <w:rPr>
          <w:rFonts w:ascii="Arial" w:eastAsia="Arial" w:hAnsi="Arial" w:cs="Arial"/>
        </w:rPr>
      </w:pPr>
      <w:r>
        <w:rPr>
          <w:rFonts w:ascii="Arial" w:eastAsia="Arial" w:hAnsi="Arial" w:cs="Arial"/>
        </w:rPr>
        <w:t>Para esta titulação, utilizou-se a solução de nitrato de prata (AgNO</w:t>
      </w:r>
      <w:r>
        <w:rPr>
          <w:rFonts w:ascii="Arial" w:eastAsia="Arial" w:hAnsi="Arial" w:cs="Arial"/>
          <w:vertAlign w:val="subscript"/>
        </w:rPr>
        <w:t>3</w:t>
      </w:r>
      <w:r>
        <w:rPr>
          <w:rFonts w:ascii="Arial" w:eastAsia="Arial" w:hAnsi="Arial" w:cs="Arial"/>
        </w:rPr>
        <w:t>), padronizada pela solução de cloreto de sódio (</w:t>
      </w:r>
      <w:proofErr w:type="spellStart"/>
      <w:r>
        <w:rPr>
          <w:rFonts w:ascii="Arial" w:eastAsia="Arial" w:hAnsi="Arial" w:cs="Arial"/>
        </w:rPr>
        <w:t>NaCl</w:t>
      </w:r>
      <w:proofErr w:type="spellEnd"/>
      <w:r>
        <w:rPr>
          <w:rFonts w:ascii="Arial" w:eastAsia="Arial" w:hAnsi="Arial" w:cs="Arial"/>
        </w:rPr>
        <w:t xml:space="preserve">), uma titulação de precipitação baseada no método de </w:t>
      </w:r>
      <w:proofErr w:type="spellStart"/>
      <w:r>
        <w:rPr>
          <w:rFonts w:ascii="Arial" w:eastAsia="Arial" w:hAnsi="Arial" w:cs="Arial"/>
        </w:rPr>
        <w:t>Mohr</w:t>
      </w:r>
      <w:proofErr w:type="spellEnd"/>
      <w:r>
        <w:rPr>
          <w:rFonts w:ascii="Arial" w:eastAsia="Arial" w:hAnsi="Arial" w:cs="Arial"/>
        </w:rPr>
        <w:t>, que consiste na análise e determinação de cloretos a partir do nitrato de prata (AgNO</w:t>
      </w:r>
      <w:r>
        <w:rPr>
          <w:rFonts w:ascii="Arial" w:eastAsia="Arial" w:hAnsi="Arial" w:cs="Arial"/>
          <w:vertAlign w:val="subscript"/>
        </w:rPr>
        <w:t>3</w:t>
      </w:r>
      <w:r>
        <w:rPr>
          <w:rFonts w:ascii="Arial" w:eastAsia="Arial" w:hAnsi="Arial" w:cs="Arial"/>
        </w:rPr>
        <w:t xml:space="preserve">) como </w:t>
      </w:r>
      <w:proofErr w:type="spellStart"/>
      <w:r>
        <w:rPr>
          <w:rFonts w:ascii="Arial" w:eastAsia="Arial" w:hAnsi="Arial" w:cs="Arial"/>
        </w:rPr>
        <w:t>titulante</w:t>
      </w:r>
      <w:proofErr w:type="spellEnd"/>
      <w:r>
        <w:rPr>
          <w:rFonts w:ascii="Arial" w:eastAsia="Arial" w:hAnsi="Arial" w:cs="Arial"/>
        </w:rPr>
        <w:t xml:space="preserve"> e, o cromato de potássio (K</w:t>
      </w:r>
      <w:r>
        <w:rPr>
          <w:rFonts w:ascii="Arial" w:eastAsia="Arial" w:hAnsi="Arial" w:cs="Arial"/>
          <w:vertAlign w:val="subscript"/>
        </w:rPr>
        <w:t>2</w:t>
      </w:r>
      <w:r>
        <w:rPr>
          <w:rFonts w:ascii="Arial" w:eastAsia="Arial" w:hAnsi="Arial" w:cs="Arial"/>
        </w:rPr>
        <w:t>CrO</w:t>
      </w:r>
      <w:r>
        <w:rPr>
          <w:rFonts w:ascii="Arial" w:eastAsia="Arial" w:hAnsi="Arial" w:cs="Arial"/>
          <w:vertAlign w:val="subscript"/>
        </w:rPr>
        <w:t>4</w:t>
      </w:r>
      <w:r>
        <w:rPr>
          <w:rFonts w:ascii="Arial" w:eastAsia="Arial" w:hAnsi="Arial" w:cs="Arial"/>
        </w:rPr>
        <w:t xml:space="preserve">) como indicador. </w:t>
      </w:r>
    </w:p>
    <w:p w:rsidR="00E512EA" w:rsidRDefault="00F511FF">
      <w:pPr>
        <w:spacing w:line="360" w:lineRule="auto"/>
        <w:ind w:firstLine="1133"/>
        <w:jc w:val="both"/>
        <w:rPr>
          <w:rFonts w:ascii="Arial" w:eastAsia="Arial" w:hAnsi="Arial" w:cs="Arial"/>
        </w:rPr>
      </w:pPr>
      <w:r>
        <w:rPr>
          <w:rFonts w:ascii="Arial" w:eastAsia="Arial" w:hAnsi="Arial" w:cs="Arial"/>
        </w:rPr>
        <w:t xml:space="preserve">Esse método </w:t>
      </w:r>
      <w:r w:rsidR="009059F0">
        <w:rPr>
          <w:rFonts w:ascii="Arial" w:eastAsia="Arial" w:hAnsi="Arial" w:cs="Arial"/>
        </w:rPr>
        <w:t>se baseia</w:t>
      </w:r>
      <w:r>
        <w:rPr>
          <w:rFonts w:ascii="Arial" w:eastAsia="Arial" w:hAnsi="Arial" w:cs="Arial"/>
        </w:rPr>
        <w:t xml:space="preserve"> em preencher a bureta com a solução de nitrato de prata padronizada e adicionar, em</w:t>
      </w:r>
      <w:r w:rsidR="009059F0">
        <w:rPr>
          <w:rFonts w:ascii="Arial" w:eastAsia="Arial" w:hAnsi="Arial" w:cs="Arial"/>
        </w:rPr>
        <w:t xml:space="preserve"> um </w:t>
      </w:r>
      <w:proofErr w:type="spellStart"/>
      <w:r w:rsidR="009059F0">
        <w:rPr>
          <w:rFonts w:ascii="Arial" w:eastAsia="Arial" w:hAnsi="Arial" w:cs="Arial"/>
        </w:rPr>
        <w:t>Erlenmeyer</w:t>
      </w:r>
      <w:proofErr w:type="spellEnd"/>
      <w:r w:rsidR="009059F0">
        <w:rPr>
          <w:rFonts w:ascii="Arial" w:eastAsia="Arial" w:hAnsi="Arial" w:cs="Arial"/>
        </w:rPr>
        <w:t>, a água coletada</w:t>
      </w:r>
      <w:r>
        <w:rPr>
          <w:rFonts w:ascii="Arial" w:eastAsia="Arial" w:hAnsi="Arial" w:cs="Arial"/>
        </w:rPr>
        <w:t xml:space="preserve"> com 3 gotas do indicador. Após isso, com a adição do nitrato de prata na solução, ocorre a precipitação do cloreto de prata (</w:t>
      </w:r>
      <w:proofErr w:type="spellStart"/>
      <w:r>
        <w:rPr>
          <w:rFonts w:ascii="Arial" w:eastAsia="Arial" w:hAnsi="Arial" w:cs="Arial"/>
        </w:rPr>
        <w:t>AgCl</w:t>
      </w:r>
      <w:proofErr w:type="spellEnd"/>
      <w:r>
        <w:rPr>
          <w:rFonts w:ascii="Arial" w:eastAsia="Arial" w:hAnsi="Arial" w:cs="Arial"/>
        </w:rPr>
        <w:t>), visualizado como um sólido branco em suspensão no recipiente. Após todo cloreto precipitar, o início da precipitação do cromato de prata (Ag</w:t>
      </w:r>
      <w:r>
        <w:rPr>
          <w:rFonts w:ascii="Arial" w:eastAsia="Arial" w:hAnsi="Arial" w:cs="Arial"/>
          <w:vertAlign w:val="subscript"/>
        </w:rPr>
        <w:t>2</w:t>
      </w:r>
      <w:r>
        <w:rPr>
          <w:rFonts w:ascii="Arial" w:eastAsia="Arial" w:hAnsi="Arial" w:cs="Arial"/>
        </w:rPr>
        <w:t>CrO</w:t>
      </w:r>
      <w:r>
        <w:rPr>
          <w:rFonts w:ascii="Arial" w:eastAsia="Arial" w:hAnsi="Arial" w:cs="Arial"/>
          <w:vertAlign w:val="subscript"/>
        </w:rPr>
        <w:t>4</w:t>
      </w:r>
      <w:r>
        <w:rPr>
          <w:rFonts w:ascii="Arial" w:eastAsia="Arial" w:hAnsi="Arial" w:cs="Arial"/>
        </w:rPr>
        <w:t>), determinado pela coloração marrom-avermelhada, indica o final da titulação.</w:t>
      </w:r>
    </w:p>
    <w:p w:rsidR="00E512EA" w:rsidRDefault="00F511FF">
      <w:pPr>
        <w:spacing w:line="360" w:lineRule="auto"/>
        <w:ind w:firstLine="1133"/>
        <w:jc w:val="both"/>
        <w:rPr>
          <w:rFonts w:ascii="Arial" w:eastAsia="Arial" w:hAnsi="Arial" w:cs="Arial"/>
        </w:rPr>
      </w:pPr>
      <w:r>
        <w:rPr>
          <w:rFonts w:ascii="Arial" w:eastAsia="Arial" w:hAnsi="Arial" w:cs="Arial"/>
        </w:rPr>
        <w:t>As análises foram feitas em triplicata, e os resultados foram obtidos segundo a fórmula abaixo:</w:t>
      </w:r>
    </w:p>
    <w:p w:rsidR="00E512EA" w:rsidRDefault="00F511FF">
      <w:pPr>
        <w:spacing w:line="360" w:lineRule="auto"/>
        <w:ind w:firstLine="1133"/>
        <w:jc w:val="both"/>
        <w:rPr>
          <w:rFonts w:ascii="Arial" w:eastAsia="Arial" w:hAnsi="Arial" w:cs="Arial"/>
        </w:rPr>
      </w:pPr>
      <w:proofErr w:type="gramStart"/>
      <w:r>
        <w:rPr>
          <w:rFonts w:ascii="Arial" w:eastAsia="Arial" w:hAnsi="Arial" w:cs="Arial"/>
        </w:rPr>
        <w:t>n(</w:t>
      </w:r>
      <w:proofErr w:type="gramEnd"/>
      <w:r>
        <w:rPr>
          <w:rFonts w:ascii="Arial" w:eastAsia="Arial" w:hAnsi="Arial" w:cs="Arial"/>
        </w:rPr>
        <w:t>Cl</w:t>
      </w:r>
      <w:r>
        <w:rPr>
          <w:rFonts w:ascii="Arial" w:eastAsia="Arial" w:hAnsi="Arial" w:cs="Arial"/>
          <w:vertAlign w:val="superscript"/>
        </w:rPr>
        <w:t>-</w:t>
      </w:r>
      <w:r>
        <w:rPr>
          <w:rFonts w:ascii="Arial" w:eastAsia="Arial" w:hAnsi="Arial" w:cs="Arial"/>
        </w:rPr>
        <w:t>) = n(AgN</w:t>
      </w:r>
      <w:r w:rsidR="009059F0">
        <w:rPr>
          <w:rFonts w:ascii="Arial" w:eastAsia="Arial" w:hAnsi="Arial" w:cs="Arial"/>
        </w:rPr>
        <w:t>O</w:t>
      </w:r>
      <w:r>
        <w:rPr>
          <w:rFonts w:ascii="Arial" w:eastAsia="Arial" w:hAnsi="Arial" w:cs="Arial"/>
          <w:vertAlign w:val="subscript"/>
        </w:rPr>
        <w:t>3</w:t>
      </w:r>
      <w:r>
        <w:rPr>
          <w:rFonts w:ascii="Arial" w:eastAsia="Arial" w:hAnsi="Arial" w:cs="Arial"/>
        </w:rPr>
        <w:t xml:space="preserve">)   </w:t>
      </w:r>
      <w:r>
        <w:rPr>
          <w:rFonts w:ascii="Arial Unicode MS" w:eastAsia="Arial Unicode MS" w:hAnsi="Arial Unicode MS" w:cs="Arial Unicode MS"/>
        </w:rPr>
        <w:t>→    m</w:t>
      </w:r>
      <w:r>
        <w:rPr>
          <w:rFonts w:ascii="Arial" w:eastAsia="Arial" w:hAnsi="Arial" w:cs="Arial"/>
          <w:sz w:val="18"/>
          <w:szCs w:val="18"/>
        </w:rPr>
        <w:t>(Cl</w:t>
      </w:r>
      <w:r>
        <w:rPr>
          <w:rFonts w:ascii="Arial" w:eastAsia="Arial" w:hAnsi="Arial" w:cs="Arial"/>
          <w:sz w:val="18"/>
          <w:szCs w:val="18"/>
          <w:vertAlign w:val="superscript"/>
        </w:rPr>
        <w:t>-</w:t>
      </w:r>
      <w:r>
        <w:rPr>
          <w:rFonts w:ascii="Arial" w:eastAsia="Arial" w:hAnsi="Arial" w:cs="Arial"/>
          <w:sz w:val="18"/>
          <w:szCs w:val="18"/>
        </w:rPr>
        <w:t xml:space="preserve">) </w:t>
      </w:r>
      <w:r>
        <w:rPr>
          <w:rFonts w:ascii="Arial" w:eastAsia="Arial" w:hAnsi="Arial" w:cs="Arial"/>
        </w:rPr>
        <w:t>÷ MM</w:t>
      </w:r>
      <w:r>
        <w:rPr>
          <w:rFonts w:ascii="Arial" w:eastAsia="Arial" w:hAnsi="Arial" w:cs="Arial"/>
          <w:sz w:val="18"/>
          <w:szCs w:val="18"/>
        </w:rPr>
        <w:t>(Cl</w:t>
      </w:r>
      <w:r>
        <w:rPr>
          <w:rFonts w:ascii="Arial" w:eastAsia="Arial" w:hAnsi="Arial" w:cs="Arial"/>
          <w:sz w:val="18"/>
          <w:szCs w:val="18"/>
          <w:vertAlign w:val="superscript"/>
        </w:rPr>
        <w:t>-</w:t>
      </w:r>
      <w:r>
        <w:rPr>
          <w:rFonts w:ascii="Arial" w:eastAsia="Arial" w:hAnsi="Arial" w:cs="Arial"/>
          <w:sz w:val="18"/>
          <w:szCs w:val="18"/>
        </w:rPr>
        <w:t xml:space="preserve">) </w:t>
      </w:r>
      <w:r>
        <w:rPr>
          <w:rFonts w:ascii="Arial" w:eastAsia="Arial" w:hAnsi="Arial" w:cs="Arial"/>
        </w:rPr>
        <w:t>= M</w:t>
      </w:r>
      <w:r>
        <w:rPr>
          <w:rFonts w:ascii="Arial" w:eastAsia="Arial" w:hAnsi="Arial" w:cs="Arial"/>
          <w:sz w:val="18"/>
          <w:szCs w:val="18"/>
        </w:rPr>
        <w:t>(AgNO</w:t>
      </w:r>
      <w:r>
        <w:rPr>
          <w:rFonts w:ascii="Arial" w:eastAsia="Arial" w:hAnsi="Arial" w:cs="Arial"/>
          <w:sz w:val="18"/>
          <w:szCs w:val="18"/>
          <w:vertAlign w:val="subscript"/>
        </w:rPr>
        <w:t>3</w:t>
      </w:r>
      <w:r>
        <w:rPr>
          <w:rFonts w:ascii="Arial" w:eastAsia="Arial" w:hAnsi="Arial" w:cs="Arial"/>
          <w:sz w:val="18"/>
          <w:szCs w:val="18"/>
        </w:rPr>
        <w:t xml:space="preserve">) </w:t>
      </w:r>
      <w:r>
        <w:rPr>
          <w:rFonts w:ascii="Arial" w:eastAsia="Arial" w:hAnsi="Arial" w:cs="Arial"/>
        </w:rPr>
        <w:t>× V</w:t>
      </w:r>
      <w:r>
        <w:rPr>
          <w:rFonts w:ascii="Arial" w:eastAsia="Arial" w:hAnsi="Arial" w:cs="Arial"/>
          <w:sz w:val="18"/>
          <w:szCs w:val="18"/>
        </w:rPr>
        <w:t>(AgNO</w:t>
      </w:r>
      <w:r>
        <w:rPr>
          <w:rFonts w:ascii="Arial" w:eastAsia="Arial" w:hAnsi="Arial" w:cs="Arial"/>
          <w:sz w:val="18"/>
          <w:szCs w:val="18"/>
          <w:vertAlign w:val="subscript"/>
        </w:rPr>
        <w:t>3</w:t>
      </w:r>
      <w:r>
        <w:rPr>
          <w:rFonts w:ascii="Arial" w:eastAsia="Arial" w:hAnsi="Arial" w:cs="Arial"/>
          <w:sz w:val="18"/>
          <w:szCs w:val="18"/>
        </w:rPr>
        <w:t>)</w:t>
      </w:r>
      <w:r>
        <w:t xml:space="preserve"> </w:t>
      </w:r>
      <w:r>
        <w:rPr>
          <w:rFonts w:ascii="Arial" w:eastAsia="Arial" w:hAnsi="Arial" w:cs="Arial"/>
        </w:rPr>
        <w:t>× 10</w:t>
      </w:r>
    </w:p>
    <w:p w:rsidR="00E512EA" w:rsidRDefault="00F511FF">
      <w:pPr>
        <w:spacing w:line="360" w:lineRule="auto"/>
        <w:ind w:firstLine="1133"/>
        <w:jc w:val="both"/>
        <w:rPr>
          <w:rFonts w:ascii="Arial" w:eastAsia="Arial" w:hAnsi="Arial" w:cs="Arial"/>
        </w:rPr>
      </w:pPr>
      <w:r>
        <w:rPr>
          <w:rFonts w:ascii="Arial" w:eastAsia="Arial" w:hAnsi="Arial" w:cs="Arial"/>
        </w:rPr>
        <w:t>Representado pela letra n = número de m</w:t>
      </w:r>
      <w:r w:rsidR="009059F0">
        <w:rPr>
          <w:rFonts w:ascii="Arial" w:eastAsia="Arial" w:hAnsi="Arial" w:cs="Arial"/>
        </w:rPr>
        <w:t xml:space="preserve">ols; m = massa de cloreto (mg); </w:t>
      </w:r>
      <w:r>
        <w:rPr>
          <w:rFonts w:ascii="Arial" w:eastAsia="Arial" w:hAnsi="Arial" w:cs="Arial"/>
        </w:rPr>
        <w:t>MM = massa molar do cloreto (g/mol); M = concentração molar do AgNO</w:t>
      </w:r>
      <w:r>
        <w:rPr>
          <w:rFonts w:ascii="Arial" w:eastAsia="Arial" w:hAnsi="Arial" w:cs="Arial"/>
          <w:vertAlign w:val="subscript"/>
        </w:rPr>
        <w:t xml:space="preserve">3 </w:t>
      </w:r>
      <w:r w:rsidR="009059F0">
        <w:rPr>
          <w:rFonts w:ascii="Arial" w:eastAsia="Arial" w:hAnsi="Arial" w:cs="Arial"/>
        </w:rPr>
        <w:t xml:space="preserve">(mol/L); </w:t>
      </w:r>
      <w:r>
        <w:rPr>
          <w:rFonts w:ascii="Arial" w:eastAsia="Arial" w:hAnsi="Arial" w:cs="Arial"/>
        </w:rPr>
        <w:t>V = volume gasto de AgNO</w:t>
      </w:r>
      <w:r w:rsidR="009059F0">
        <w:rPr>
          <w:rFonts w:ascii="Arial" w:eastAsia="Arial" w:hAnsi="Arial" w:cs="Arial"/>
          <w:vertAlign w:val="subscript"/>
        </w:rPr>
        <w:t>3</w:t>
      </w:r>
      <w:r>
        <w:rPr>
          <w:rFonts w:ascii="Arial" w:eastAsia="Arial" w:hAnsi="Arial" w:cs="Arial"/>
          <w:vertAlign w:val="subscript"/>
        </w:rPr>
        <w:t xml:space="preserve"> </w:t>
      </w:r>
      <w:r>
        <w:rPr>
          <w:rFonts w:ascii="Arial" w:eastAsia="Arial" w:hAnsi="Arial" w:cs="Arial"/>
        </w:rPr>
        <w:t>na titulação (</w:t>
      </w:r>
      <w:proofErr w:type="spellStart"/>
      <w:r>
        <w:rPr>
          <w:rFonts w:ascii="Arial" w:eastAsia="Arial" w:hAnsi="Arial" w:cs="Arial"/>
        </w:rPr>
        <w:t>mL</w:t>
      </w:r>
      <w:proofErr w:type="spellEnd"/>
      <w:r>
        <w:rPr>
          <w:rFonts w:ascii="Arial" w:eastAsia="Arial" w:hAnsi="Arial" w:cs="Arial"/>
        </w:rPr>
        <w:t>).</w:t>
      </w:r>
    </w:p>
    <w:p w:rsidR="00E512EA" w:rsidRDefault="00F511FF">
      <w:pPr>
        <w:widowControl w:val="0"/>
        <w:spacing w:line="360" w:lineRule="auto"/>
        <w:ind w:firstLine="1133"/>
        <w:jc w:val="both"/>
        <w:rPr>
          <w:rFonts w:ascii="Arial" w:eastAsia="Arial" w:hAnsi="Arial" w:cs="Arial"/>
        </w:rPr>
      </w:pPr>
      <w:r>
        <w:rPr>
          <w:rFonts w:ascii="Arial" w:eastAsia="Arial" w:hAnsi="Arial" w:cs="Arial"/>
        </w:rPr>
        <w:t>Os resultados encontrados foram submetidos a um tratamento estatístico, com o objetivo de determinar o desvio padrão e o coeficiente de variação, que avaliam a dispersão do conjunto de valores em análise e a margem de variação em porcentagem, levando em conta as possíveis variações do procedimento, como o ponto de viragem.</w:t>
      </w:r>
      <w:r w:rsidR="009059F0">
        <w:rPr>
          <w:rFonts w:ascii="Arial" w:eastAsia="Arial" w:hAnsi="Arial" w:cs="Arial"/>
        </w:rPr>
        <w:t xml:space="preserve"> O desvio padrão das amostras po</w:t>
      </w:r>
      <w:r>
        <w:rPr>
          <w:rFonts w:ascii="Arial" w:eastAsia="Arial" w:hAnsi="Arial" w:cs="Arial"/>
        </w:rPr>
        <w:t>de ser calculado através da equação abaixo:</w:t>
      </w:r>
    </w:p>
    <w:p w:rsidR="00E512EA" w:rsidRDefault="00241F5F">
      <w:pPr>
        <w:widowControl w:val="0"/>
        <w:spacing w:line="360" w:lineRule="auto"/>
        <w:jc w:val="center"/>
        <w:rPr>
          <w:rFonts w:ascii="Arial" w:eastAsia="Arial" w:hAnsi="Arial" w:cs="Arial"/>
        </w:rPr>
      </w:pPr>
      <w:r>
        <w:rPr>
          <w:rFonts w:ascii="Arial" w:eastAsia="Arial" w:hAnsi="Arial" w:cs="Arial"/>
        </w:rPr>
        <w:t xml:space="preserve">s = </w:t>
      </w:r>
      <w:r>
        <w:rPr>
          <w:rFonts w:ascii="Arial" w:eastAsia="Arial" w:hAnsi="Arial" w:cs="Arial"/>
          <w:noProof/>
        </w:rPr>
        <w:drawing>
          <wp:inline distT="0" distB="0" distL="0" distR="0">
            <wp:extent cx="276225" cy="215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05" cy="216175"/>
                    </a:xfrm>
                    <a:prstGeom prst="rect">
                      <a:avLst/>
                    </a:prstGeom>
                    <a:noFill/>
                    <a:ln>
                      <a:noFill/>
                    </a:ln>
                  </pic:spPr>
                </pic:pic>
              </a:graphicData>
            </a:graphic>
          </wp:inline>
        </w:drawing>
      </w:r>
    </w:p>
    <w:p w:rsidR="00756457" w:rsidRDefault="00F511FF">
      <w:pPr>
        <w:widowControl w:val="0"/>
        <w:spacing w:line="360" w:lineRule="auto"/>
        <w:ind w:firstLine="1133"/>
        <w:jc w:val="both"/>
        <w:rPr>
          <w:rFonts w:ascii="Arial" w:eastAsia="Arial" w:hAnsi="Arial" w:cs="Arial"/>
        </w:rPr>
      </w:pPr>
      <w:r>
        <w:rPr>
          <w:rFonts w:ascii="Arial" w:eastAsia="Arial" w:hAnsi="Arial" w:cs="Arial"/>
        </w:rPr>
        <w:t xml:space="preserve"> </w:t>
      </w:r>
    </w:p>
    <w:p w:rsidR="00756457" w:rsidRDefault="00756457">
      <w:pPr>
        <w:rPr>
          <w:rFonts w:ascii="Arial" w:eastAsia="Arial" w:hAnsi="Arial" w:cs="Arial"/>
        </w:rPr>
      </w:pPr>
      <w:r>
        <w:rPr>
          <w:rFonts w:ascii="Arial" w:eastAsia="Arial" w:hAnsi="Arial" w:cs="Arial"/>
        </w:rPr>
        <w:br w:type="page"/>
      </w:r>
    </w:p>
    <w:p w:rsidR="00E512EA" w:rsidRDefault="00F511FF">
      <w:pPr>
        <w:widowControl w:val="0"/>
        <w:spacing w:line="360" w:lineRule="auto"/>
        <w:ind w:firstLine="1133"/>
        <w:jc w:val="both"/>
        <w:rPr>
          <w:rFonts w:ascii="Arial" w:eastAsia="Arial" w:hAnsi="Arial" w:cs="Arial"/>
        </w:rPr>
      </w:pPr>
      <w:r>
        <w:rPr>
          <w:rFonts w:ascii="Arial" w:eastAsia="Arial" w:hAnsi="Arial" w:cs="Arial"/>
        </w:rPr>
        <w:lastRenderedPageBreak/>
        <w:t>Representado pela letra s o desvio padrão e s</w:t>
      </w:r>
      <w:r>
        <w:rPr>
          <w:rFonts w:ascii="Arial" w:eastAsia="Arial" w:hAnsi="Arial" w:cs="Arial"/>
          <w:vertAlign w:val="superscript"/>
        </w:rPr>
        <w:t xml:space="preserve">2 </w:t>
      </w:r>
      <w:r>
        <w:rPr>
          <w:rFonts w:ascii="Arial" w:eastAsia="Arial" w:hAnsi="Arial" w:cs="Arial"/>
        </w:rPr>
        <w:t xml:space="preserve">a variância, encontrada a partir da equação: </w:t>
      </w:r>
    </w:p>
    <w:p w:rsidR="00E512EA" w:rsidRDefault="00F511FF" w:rsidP="00756457">
      <w:pPr>
        <w:widowControl w:val="0"/>
        <w:ind w:firstLine="1133"/>
        <w:jc w:val="both"/>
        <w:rPr>
          <w:rFonts w:ascii="Arial" w:eastAsia="Arial" w:hAnsi="Arial" w:cs="Arial"/>
          <w:highlight w:val="white"/>
          <w:u w:val="single"/>
          <w:vertAlign w:val="superscript"/>
        </w:rPr>
      </w:pPr>
      <w:r>
        <w:rPr>
          <w:rFonts w:ascii="Arial" w:eastAsia="Arial" w:hAnsi="Arial" w:cs="Arial"/>
          <w:highlight w:val="white"/>
        </w:rPr>
        <w:t xml:space="preserve">                                     </w:t>
      </w:r>
      <w:r>
        <w:rPr>
          <w:rFonts w:ascii="Arial Unicode MS" w:eastAsia="Arial Unicode MS" w:hAnsi="Arial Unicode MS" w:cs="Arial Unicode MS"/>
          <w:highlight w:val="white"/>
          <w:u w:val="single"/>
        </w:rPr>
        <w:t xml:space="preserve"> ∑ </w:t>
      </w:r>
      <w:proofErr w:type="gramStart"/>
      <w:r>
        <w:rPr>
          <w:rFonts w:ascii="Arial Unicode MS" w:eastAsia="Arial Unicode MS" w:hAnsi="Arial Unicode MS" w:cs="Arial Unicode MS"/>
          <w:highlight w:val="white"/>
          <w:u w:val="single"/>
        </w:rPr>
        <w:t>( x</w:t>
      </w:r>
      <w:r>
        <w:rPr>
          <w:rFonts w:ascii="Arial" w:eastAsia="Arial" w:hAnsi="Arial" w:cs="Arial"/>
          <w:highlight w:val="white"/>
          <w:u w:val="single"/>
          <w:vertAlign w:val="subscript"/>
        </w:rPr>
        <w:t>i</w:t>
      </w:r>
      <w:proofErr w:type="gramEnd"/>
      <w:r>
        <w:rPr>
          <w:rFonts w:ascii="Arial" w:eastAsia="Arial" w:hAnsi="Arial" w:cs="Arial"/>
          <w:highlight w:val="white"/>
          <w:u w:val="single"/>
        </w:rPr>
        <w:t xml:space="preserve"> – Média)</w:t>
      </w:r>
      <w:r>
        <w:rPr>
          <w:rFonts w:ascii="Arial" w:eastAsia="Arial" w:hAnsi="Arial" w:cs="Arial"/>
          <w:highlight w:val="white"/>
          <w:u w:val="single"/>
          <w:vertAlign w:val="superscript"/>
        </w:rPr>
        <w:t>2</w:t>
      </w:r>
    </w:p>
    <w:p w:rsidR="00E512EA" w:rsidRDefault="00F511FF" w:rsidP="00756457">
      <w:pPr>
        <w:widowControl w:val="0"/>
        <w:ind w:firstLine="1133"/>
        <w:jc w:val="both"/>
        <w:rPr>
          <w:rFonts w:ascii="Arial" w:eastAsia="Arial" w:hAnsi="Arial" w:cs="Arial"/>
          <w:highlight w:val="white"/>
          <w:u w:val="single"/>
        </w:rPr>
      </w:pPr>
      <w:r>
        <w:rPr>
          <w:rFonts w:ascii="Arial" w:eastAsia="Arial" w:hAnsi="Arial" w:cs="Arial"/>
          <w:highlight w:val="white"/>
        </w:rPr>
        <w:t xml:space="preserve">                                             (n – 1)</w:t>
      </w:r>
      <w:r>
        <w:rPr>
          <w:rFonts w:ascii="Arial" w:eastAsia="Arial" w:hAnsi="Arial" w:cs="Arial"/>
          <w:highlight w:val="white"/>
          <w:u w:val="single"/>
        </w:rPr>
        <w:t xml:space="preserve">               </w:t>
      </w:r>
    </w:p>
    <w:p w:rsidR="00756457" w:rsidRDefault="00756457">
      <w:pPr>
        <w:widowControl w:val="0"/>
        <w:spacing w:line="360" w:lineRule="auto"/>
        <w:ind w:firstLine="1133"/>
        <w:jc w:val="both"/>
        <w:rPr>
          <w:rFonts w:ascii="Arial" w:eastAsia="Arial" w:hAnsi="Arial" w:cs="Arial"/>
          <w:highlight w:val="white"/>
        </w:rPr>
      </w:pPr>
    </w:p>
    <w:p w:rsidR="00E512EA" w:rsidRDefault="00F511FF">
      <w:pPr>
        <w:widowControl w:val="0"/>
        <w:spacing w:line="360" w:lineRule="auto"/>
        <w:ind w:firstLine="1133"/>
        <w:jc w:val="both"/>
        <w:rPr>
          <w:rFonts w:ascii="Arial" w:eastAsia="Arial" w:hAnsi="Arial" w:cs="Arial"/>
          <w:highlight w:val="white"/>
          <w:u w:val="single"/>
        </w:rPr>
      </w:pPr>
      <w:r>
        <w:rPr>
          <w:rFonts w:ascii="Arial" w:eastAsia="Arial" w:hAnsi="Arial" w:cs="Arial"/>
          <w:highlight w:val="white"/>
        </w:rPr>
        <w:t>A partir do desvio padrão e da média, é possível encontrar o coeficiente de variação:</w:t>
      </w:r>
      <w:r>
        <w:rPr>
          <w:rFonts w:ascii="Arial" w:eastAsia="Arial" w:hAnsi="Arial" w:cs="Arial"/>
          <w:highlight w:val="white"/>
          <w:u w:val="single"/>
        </w:rPr>
        <w:t xml:space="preserve">  </w:t>
      </w:r>
    </w:p>
    <w:p w:rsidR="00E512EA" w:rsidRDefault="00F511FF" w:rsidP="00756457">
      <w:pPr>
        <w:widowControl w:val="0"/>
        <w:ind w:firstLine="1133"/>
        <w:jc w:val="both"/>
        <w:rPr>
          <w:rFonts w:ascii="Arial" w:eastAsia="Arial" w:hAnsi="Arial" w:cs="Arial"/>
          <w:highlight w:val="white"/>
        </w:rPr>
      </w:pPr>
      <w:r>
        <w:rPr>
          <w:rFonts w:ascii="Arial" w:eastAsia="Arial" w:hAnsi="Arial" w:cs="Arial"/>
          <w:highlight w:val="white"/>
        </w:rPr>
        <w:t xml:space="preserve">                             CV = </w:t>
      </w:r>
      <w:r>
        <w:rPr>
          <w:rFonts w:ascii="Arial" w:eastAsia="Arial" w:hAnsi="Arial" w:cs="Arial"/>
          <w:highlight w:val="white"/>
          <w:u w:val="single"/>
        </w:rPr>
        <w:t>desvio padrão (</w:t>
      </w:r>
      <w:proofErr w:type="gramStart"/>
      <w:r>
        <w:rPr>
          <w:rFonts w:ascii="Arial" w:eastAsia="Arial" w:hAnsi="Arial" w:cs="Arial"/>
          <w:highlight w:val="white"/>
          <w:u w:val="single"/>
        </w:rPr>
        <w:t>s)</w:t>
      </w:r>
      <w:r>
        <w:rPr>
          <w:rFonts w:ascii="Arial" w:eastAsia="Arial" w:hAnsi="Arial" w:cs="Arial"/>
          <w:highlight w:val="white"/>
        </w:rPr>
        <w:t xml:space="preserve">  x</w:t>
      </w:r>
      <w:proofErr w:type="gramEnd"/>
      <w:r>
        <w:rPr>
          <w:rFonts w:ascii="Arial" w:eastAsia="Arial" w:hAnsi="Arial" w:cs="Arial"/>
          <w:highlight w:val="white"/>
        </w:rPr>
        <w:t xml:space="preserve"> 100%</w:t>
      </w:r>
    </w:p>
    <w:p w:rsidR="00E512EA" w:rsidRDefault="00F511FF" w:rsidP="00756457">
      <w:pPr>
        <w:widowControl w:val="0"/>
        <w:ind w:firstLine="1133"/>
        <w:jc w:val="both"/>
        <w:rPr>
          <w:rFonts w:ascii="Arial" w:eastAsia="Arial" w:hAnsi="Arial" w:cs="Arial"/>
          <w:b/>
        </w:rPr>
      </w:pPr>
      <w:r>
        <w:rPr>
          <w:rFonts w:ascii="Arial" w:eastAsia="Arial" w:hAnsi="Arial" w:cs="Arial"/>
          <w:highlight w:val="white"/>
        </w:rPr>
        <w:t xml:space="preserve">                                               </w:t>
      </w:r>
      <w:proofErr w:type="gramStart"/>
      <w:r>
        <w:rPr>
          <w:rFonts w:ascii="Arial" w:eastAsia="Arial" w:hAnsi="Arial" w:cs="Arial"/>
          <w:highlight w:val="white"/>
        </w:rPr>
        <w:t>média</w:t>
      </w:r>
      <w:proofErr w:type="gramEnd"/>
    </w:p>
    <w:p w:rsidR="00E512EA" w:rsidRDefault="00E512EA">
      <w:pPr>
        <w:spacing w:line="360" w:lineRule="auto"/>
        <w:ind w:firstLine="1133"/>
        <w:jc w:val="both"/>
        <w:rPr>
          <w:rFonts w:ascii="Arial" w:eastAsia="Arial" w:hAnsi="Arial" w:cs="Arial"/>
          <w:b/>
        </w:rPr>
      </w:pPr>
    </w:p>
    <w:p w:rsidR="00E512EA" w:rsidRDefault="00E512EA">
      <w:pPr>
        <w:spacing w:line="360" w:lineRule="auto"/>
        <w:ind w:firstLine="1133"/>
        <w:jc w:val="both"/>
        <w:rPr>
          <w:rFonts w:ascii="Arial" w:eastAsia="Arial" w:hAnsi="Arial" w:cs="Arial"/>
          <w:b/>
        </w:rPr>
      </w:pPr>
    </w:p>
    <w:p w:rsidR="00E512EA" w:rsidRDefault="00F511FF">
      <w:pPr>
        <w:spacing w:line="360" w:lineRule="auto"/>
        <w:ind w:firstLine="2409"/>
        <w:jc w:val="both"/>
        <w:rPr>
          <w:rFonts w:ascii="Arial" w:eastAsia="Arial" w:hAnsi="Arial" w:cs="Arial"/>
          <w:b/>
        </w:rPr>
      </w:pPr>
      <w:r>
        <w:rPr>
          <w:rFonts w:ascii="Arial" w:eastAsia="Arial" w:hAnsi="Arial" w:cs="Arial"/>
          <w:b/>
        </w:rPr>
        <w:t>RESULTADOS E DISCUSSÃO</w:t>
      </w:r>
    </w:p>
    <w:p w:rsidR="00E512EA" w:rsidRDefault="00E512EA">
      <w:pPr>
        <w:spacing w:line="360" w:lineRule="auto"/>
        <w:ind w:firstLine="1133"/>
        <w:jc w:val="both"/>
        <w:rPr>
          <w:rFonts w:ascii="Arial" w:eastAsia="Arial" w:hAnsi="Arial" w:cs="Arial"/>
        </w:rPr>
      </w:pPr>
    </w:p>
    <w:p w:rsidR="00E512EA" w:rsidRDefault="00F511FF">
      <w:pPr>
        <w:spacing w:line="360" w:lineRule="auto"/>
        <w:ind w:firstLine="1133"/>
        <w:jc w:val="both"/>
        <w:rPr>
          <w:rFonts w:ascii="Arial" w:eastAsia="Arial" w:hAnsi="Arial" w:cs="Arial"/>
        </w:rPr>
      </w:pPr>
      <w:r>
        <w:rPr>
          <w:rFonts w:ascii="Arial" w:eastAsia="Arial" w:hAnsi="Arial" w:cs="Arial"/>
        </w:rPr>
        <w:t>Os resultados, o desvio padrão e as médias obtidas, através da determinação de cloreto das amostras de águas subterrâneas, coletadas em diferentes pontos da instituição, seguem na Tabela 1.</w:t>
      </w:r>
    </w:p>
    <w:p w:rsidR="00E512EA" w:rsidRDefault="00E512EA">
      <w:pPr>
        <w:spacing w:line="360" w:lineRule="auto"/>
        <w:ind w:firstLine="1133"/>
        <w:jc w:val="both"/>
        <w:rPr>
          <w:rFonts w:ascii="Arial" w:eastAsia="Arial" w:hAnsi="Arial" w:cs="Arial"/>
        </w:rPr>
      </w:pPr>
    </w:p>
    <w:p w:rsidR="00E512EA" w:rsidRDefault="00F511FF">
      <w:pPr>
        <w:spacing w:line="360" w:lineRule="auto"/>
        <w:jc w:val="both"/>
        <w:rPr>
          <w:rFonts w:ascii="Arial" w:eastAsia="Arial" w:hAnsi="Arial" w:cs="Arial"/>
          <w:sz w:val="20"/>
          <w:szCs w:val="20"/>
        </w:rPr>
      </w:pPr>
      <w:r>
        <w:rPr>
          <w:rFonts w:ascii="Arial" w:eastAsia="Arial" w:hAnsi="Arial" w:cs="Arial"/>
          <w:b/>
          <w:sz w:val="20"/>
          <w:szCs w:val="20"/>
        </w:rPr>
        <w:t>Tabela 1</w:t>
      </w:r>
      <w:r>
        <w:rPr>
          <w:rFonts w:ascii="Arial" w:eastAsia="Arial" w:hAnsi="Arial" w:cs="Arial"/>
          <w:sz w:val="20"/>
          <w:szCs w:val="20"/>
        </w:rPr>
        <w:t xml:space="preserve"> - Resultados das análises de cloreto em 2018.</w:t>
      </w:r>
    </w:p>
    <w:tbl>
      <w:tblPr>
        <w:tblStyle w:val="a"/>
        <w:tblW w:w="89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470"/>
        <w:gridCol w:w="1170"/>
        <w:gridCol w:w="1185"/>
        <w:gridCol w:w="975"/>
        <w:gridCol w:w="1890"/>
      </w:tblGrid>
      <w:tr w:rsidR="00E512EA">
        <w:tc>
          <w:tcPr>
            <w:tcW w:w="2250" w:type="dxa"/>
            <w:tcBorders>
              <w:left w:val="nil"/>
              <w:right w:val="nil"/>
            </w:tcBorders>
            <w:shd w:val="clear" w:color="auto" w:fill="auto"/>
            <w:tcMar>
              <w:top w:w="100" w:type="dxa"/>
              <w:left w:w="100" w:type="dxa"/>
              <w:bottom w:w="100" w:type="dxa"/>
              <w:right w:w="100" w:type="dxa"/>
            </w:tcMar>
          </w:tcPr>
          <w:p w:rsidR="00E512EA" w:rsidRDefault="00F511FF">
            <w:pPr>
              <w:ind w:left="-141" w:right="-109"/>
              <w:rPr>
                <w:rFonts w:ascii="Arial" w:eastAsia="Arial" w:hAnsi="Arial" w:cs="Arial"/>
                <w:b/>
              </w:rPr>
            </w:pPr>
            <w:r>
              <w:rPr>
                <w:rFonts w:ascii="Arial" w:eastAsia="Arial" w:hAnsi="Arial" w:cs="Arial"/>
                <w:b/>
              </w:rPr>
              <w:t xml:space="preserve"> Dias</w:t>
            </w:r>
          </w:p>
        </w:tc>
        <w:tc>
          <w:tcPr>
            <w:tcW w:w="1470" w:type="dxa"/>
            <w:tcBorders>
              <w:left w:val="nil"/>
              <w:right w:val="nil"/>
            </w:tcBorders>
            <w:shd w:val="clear" w:color="auto" w:fill="auto"/>
            <w:tcMar>
              <w:top w:w="100" w:type="dxa"/>
              <w:left w:w="100" w:type="dxa"/>
              <w:bottom w:w="100" w:type="dxa"/>
              <w:right w:w="100" w:type="dxa"/>
            </w:tcMar>
          </w:tcPr>
          <w:p w:rsidR="00E512EA" w:rsidRDefault="00F511FF">
            <w:pPr>
              <w:ind w:left="-135" w:right="-75" w:firstLine="276"/>
              <w:rPr>
                <w:rFonts w:ascii="Arial" w:eastAsia="Arial" w:hAnsi="Arial" w:cs="Arial"/>
                <w:b/>
              </w:rPr>
            </w:pPr>
            <w:r>
              <w:rPr>
                <w:rFonts w:ascii="Arial" w:eastAsia="Arial" w:hAnsi="Arial" w:cs="Arial"/>
                <w:b/>
              </w:rPr>
              <w:t xml:space="preserve">   07/06 </w:t>
            </w:r>
          </w:p>
        </w:tc>
        <w:tc>
          <w:tcPr>
            <w:tcW w:w="1170" w:type="dxa"/>
            <w:tcBorders>
              <w:left w:val="nil"/>
              <w:right w:val="nil"/>
            </w:tcBorders>
            <w:shd w:val="clear" w:color="auto" w:fill="auto"/>
            <w:tcMar>
              <w:top w:w="100" w:type="dxa"/>
              <w:left w:w="100" w:type="dxa"/>
              <w:bottom w:w="100" w:type="dxa"/>
              <w:right w:w="100" w:type="dxa"/>
            </w:tcMar>
          </w:tcPr>
          <w:p w:rsidR="00E512EA" w:rsidRDefault="00F511FF">
            <w:pPr>
              <w:ind w:left="-141"/>
              <w:rPr>
                <w:rFonts w:ascii="Arial" w:eastAsia="Arial" w:hAnsi="Arial" w:cs="Arial"/>
                <w:sz w:val="22"/>
                <w:szCs w:val="22"/>
              </w:rPr>
            </w:pPr>
            <w:r>
              <w:rPr>
                <w:rFonts w:ascii="Arial" w:eastAsia="Arial" w:hAnsi="Arial" w:cs="Arial"/>
                <w:b/>
              </w:rPr>
              <w:t xml:space="preserve">   14/06</w:t>
            </w:r>
          </w:p>
        </w:tc>
        <w:tc>
          <w:tcPr>
            <w:tcW w:w="1185" w:type="dxa"/>
            <w:tcBorders>
              <w:left w:val="nil"/>
              <w:right w:val="nil"/>
            </w:tcBorders>
            <w:shd w:val="clear" w:color="auto" w:fill="auto"/>
            <w:tcMar>
              <w:top w:w="100" w:type="dxa"/>
              <w:left w:w="100" w:type="dxa"/>
              <w:bottom w:w="100" w:type="dxa"/>
              <w:right w:w="100" w:type="dxa"/>
            </w:tcMar>
          </w:tcPr>
          <w:p w:rsidR="00E512EA" w:rsidRDefault="00F511FF">
            <w:pPr>
              <w:rPr>
                <w:rFonts w:ascii="Arial" w:eastAsia="Arial" w:hAnsi="Arial" w:cs="Arial"/>
                <w:b/>
              </w:rPr>
            </w:pPr>
            <w:r>
              <w:rPr>
                <w:rFonts w:ascii="Arial" w:eastAsia="Arial" w:hAnsi="Arial" w:cs="Arial"/>
                <w:b/>
              </w:rPr>
              <w:t xml:space="preserve"> 21/06</w:t>
            </w:r>
          </w:p>
        </w:tc>
        <w:tc>
          <w:tcPr>
            <w:tcW w:w="975" w:type="dxa"/>
            <w:tcBorders>
              <w:left w:val="nil"/>
              <w:right w:val="nil"/>
            </w:tcBorders>
            <w:shd w:val="clear" w:color="auto" w:fill="auto"/>
            <w:tcMar>
              <w:top w:w="100" w:type="dxa"/>
              <w:left w:w="100" w:type="dxa"/>
              <w:bottom w:w="100" w:type="dxa"/>
              <w:right w:w="100" w:type="dxa"/>
            </w:tcMar>
          </w:tcPr>
          <w:p w:rsidR="00E512EA" w:rsidRDefault="00F511FF">
            <w:pPr>
              <w:rPr>
                <w:rFonts w:ascii="Arial" w:eastAsia="Arial" w:hAnsi="Arial" w:cs="Arial"/>
                <w:b/>
              </w:rPr>
            </w:pPr>
            <w:r>
              <w:rPr>
                <w:rFonts w:ascii="Arial" w:eastAsia="Arial" w:hAnsi="Arial" w:cs="Arial"/>
                <w:b/>
              </w:rPr>
              <w:t xml:space="preserve">Média </w:t>
            </w:r>
          </w:p>
        </w:tc>
        <w:tc>
          <w:tcPr>
            <w:tcW w:w="1890" w:type="dxa"/>
            <w:tcBorders>
              <w:left w:val="nil"/>
              <w:right w:val="nil"/>
            </w:tcBorders>
            <w:shd w:val="clear" w:color="auto" w:fill="auto"/>
            <w:tcMar>
              <w:top w:w="100" w:type="dxa"/>
              <w:left w:w="100" w:type="dxa"/>
              <w:bottom w:w="100" w:type="dxa"/>
              <w:right w:w="100" w:type="dxa"/>
            </w:tcMar>
          </w:tcPr>
          <w:p w:rsidR="00E512EA" w:rsidRDefault="00F511FF">
            <w:pPr>
              <w:rPr>
                <w:rFonts w:ascii="Arial" w:eastAsia="Arial" w:hAnsi="Arial" w:cs="Arial"/>
                <w:b/>
              </w:rPr>
            </w:pPr>
            <w:r>
              <w:rPr>
                <w:rFonts w:ascii="Arial" w:eastAsia="Arial" w:hAnsi="Arial" w:cs="Arial"/>
                <w:b/>
              </w:rPr>
              <w:t>Desvio Padrão</w:t>
            </w:r>
          </w:p>
        </w:tc>
      </w:tr>
      <w:tr w:rsidR="00E512EA">
        <w:trPr>
          <w:trHeight w:val="480"/>
        </w:trPr>
        <w:tc>
          <w:tcPr>
            <w:tcW w:w="2250" w:type="dxa"/>
            <w:tcBorders>
              <w:left w:val="nil"/>
              <w:right w:val="nil"/>
            </w:tcBorders>
            <w:shd w:val="clear" w:color="auto" w:fill="auto"/>
            <w:tcMar>
              <w:top w:w="100" w:type="dxa"/>
              <w:left w:w="100" w:type="dxa"/>
              <w:bottom w:w="100" w:type="dxa"/>
              <w:right w:w="100" w:type="dxa"/>
            </w:tcMar>
          </w:tcPr>
          <w:p w:rsidR="00E512EA" w:rsidRDefault="00F511FF">
            <w:pPr>
              <w:ind w:left="-141" w:right="-109"/>
              <w:rPr>
                <w:rFonts w:ascii="Arial" w:eastAsia="Arial" w:hAnsi="Arial" w:cs="Arial"/>
                <w:b/>
              </w:rPr>
            </w:pPr>
            <w:r>
              <w:rPr>
                <w:rFonts w:ascii="Arial" w:eastAsia="Arial" w:hAnsi="Arial" w:cs="Arial"/>
                <w:b/>
              </w:rPr>
              <w:t xml:space="preserve"> Pontos de coleta</w:t>
            </w:r>
          </w:p>
        </w:tc>
        <w:tc>
          <w:tcPr>
            <w:tcW w:w="6690" w:type="dxa"/>
            <w:gridSpan w:val="5"/>
            <w:tcBorders>
              <w:left w:val="nil"/>
              <w:right w:val="nil"/>
            </w:tcBorders>
            <w:shd w:val="clear" w:color="auto" w:fill="auto"/>
            <w:tcMar>
              <w:top w:w="100" w:type="dxa"/>
              <w:left w:w="100" w:type="dxa"/>
              <w:bottom w:w="100" w:type="dxa"/>
              <w:right w:w="100" w:type="dxa"/>
            </w:tcMar>
          </w:tcPr>
          <w:p w:rsidR="00E512EA" w:rsidRDefault="00F511FF">
            <w:pPr>
              <w:ind w:left="-135" w:right="-75"/>
              <w:jc w:val="center"/>
              <w:rPr>
                <w:rFonts w:ascii="Arial" w:eastAsia="Arial" w:hAnsi="Arial" w:cs="Arial"/>
                <w:sz w:val="22"/>
                <w:szCs w:val="22"/>
              </w:rPr>
            </w:pPr>
            <w:r>
              <w:rPr>
                <w:rFonts w:ascii="Arial" w:eastAsia="Arial" w:hAnsi="Arial" w:cs="Arial"/>
                <w:b/>
                <w:sz w:val="22"/>
                <w:szCs w:val="22"/>
              </w:rPr>
              <w:t>(mg Cl</w:t>
            </w:r>
            <w:r>
              <w:rPr>
                <w:rFonts w:ascii="Arial" w:eastAsia="Arial" w:hAnsi="Arial" w:cs="Arial"/>
                <w:vertAlign w:val="superscript"/>
              </w:rPr>
              <w:t>-</w:t>
            </w:r>
            <w:r>
              <w:rPr>
                <w:rFonts w:ascii="Arial" w:eastAsia="Arial" w:hAnsi="Arial" w:cs="Arial"/>
                <w:b/>
                <w:sz w:val="22"/>
                <w:szCs w:val="22"/>
              </w:rPr>
              <w:t>/L)</w:t>
            </w:r>
            <w:r>
              <w:rPr>
                <w:rFonts w:ascii="Arial" w:eastAsia="Arial" w:hAnsi="Arial" w:cs="Arial"/>
                <w:b/>
              </w:rPr>
              <w:t xml:space="preserve"> </w:t>
            </w:r>
          </w:p>
        </w:tc>
      </w:tr>
      <w:tr w:rsidR="00E512EA">
        <w:tc>
          <w:tcPr>
            <w:tcW w:w="2250" w:type="dxa"/>
            <w:tcBorders>
              <w:left w:val="nil"/>
              <w:bottom w:val="nil"/>
              <w:right w:val="nil"/>
            </w:tcBorders>
            <w:shd w:val="clear" w:color="auto" w:fill="auto"/>
            <w:tcMar>
              <w:top w:w="100" w:type="dxa"/>
              <w:left w:w="100" w:type="dxa"/>
              <w:bottom w:w="100" w:type="dxa"/>
              <w:right w:w="100" w:type="dxa"/>
            </w:tcMar>
          </w:tcPr>
          <w:p w:rsidR="00E512EA" w:rsidRDefault="00F511FF" w:rsidP="00241F5F">
            <w:pPr>
              <w:ind w:left="-141"/>
              <w:rPr>
                <w:rFonts w:ascii="Arial" w:eastAsia="Arial" w:hAnsi="Arial" w:cs="Arial"/>
                <w:sz w:val="22"/>
                <w:szCs w:val="22"/>
              </w:rPr>
            </w:pPr>
            <w:r>
              <w:rPr>
                <w:rFonts w:ascii="Arial" w:eastAsia="Arial" w:hAnsi="Arial" w:cs="Arial"/>
              </w:rPr>
              <w:t xml:space="preserve"> Mangueira bovino </w:t>
            </w:r>
          </w:p>
        </w:tc>
        <w:tc>
          <w:tcPr>
            <w:tcW w:w="1470" w:type="dxa"/>
            <w:tcBorders>
              <w:left w:val="nil"/>
              <w:bottom w:val="nil"/>
              <w:right w:val="nil"/>
            </w:tcBorders>
            <w:shd w:val="clear" w:color="auto" w:fill="auto"/>
            <w:tcMar>
              <w:top w:w="100" w:type="dxa"/>
              <w:left w:w="100" w:type="dxa"/>
              <w:bottom w:w="100" w:type="dxa"/>
              <w:right w:w="100" w:type="dxa"/>
            </w:tcMar>
          </w:tcPr>
          <w:p w:rsidR="00E512EA" w:rsidRDefault="00F511FF" w:rsidP="00241F5F">
            <w:pPr>
              <w:ind w:left="-135" w:firstLine="418"/>
              <w:jc w:val="both"/>
              <w:rPr>
                <w:rFonts w:ascii="Arial" w:eastAsia="Arial" w:hAnsi="Arial" w:cs="Arial"/>
                <w:sz w:val="22"/>
                <w:szCs w:val="22"/>
              </w:rPr>
            </w:pPr>
            <w:r>
              <w:rPr>
                <w:rFonts w:ascii="Arial" w:eastAsia="Arial" w:hAnsi="Arial" w:cs="Arial"/>
              </w:rPr>
              <w:t xml:space="preserve"> </w:t>
            </w:r>
            <w:r>
              <w:rPr>
                <w:rFonts w:ascii="Arial" w:eastAsia="Arial" w:hAnsi="Arial" w:cs="Arial"/>
                <w:sz w:val="22"/>
                <w:szCs w:val="22"/>
              </w:rPr>
              <w:t>27,60</w:t>
            </w:r>
          </w:p>
        </w:tc>
        <w:tc>
          <w:tcPr>
            <w:tcW w:w="1170" w:type="dxa"/>
            <w:tcBorders>
              <w:left w:val="nil"/>
              <w:bottom w:val="nil"/>
              <w:right w:val="nil"/>
            </w:tcBorders>
            <w:shd w:val="clear" w:color="auto" w:fill="auto"/>
            <w:tcMar>
              <w:top w:w="100" w:type="dxa"/>
              <w:left w:w="100" w:type="dxa"/>
              <w:bottom w:w="100" w:type="dxa"/>
              <w:right w:w="100" w:type="dxa"/>
            </w:tcMar>
          </w:tcPr>
          <w:p w:rsidR="00E512EA" w:rsidRDefault="00F511FF" w:rsidP="00241F5F">
            <w:pPr>
              <w:ind w:left="-141" w:firstLine="283"/>
              <w:jc w:val="both"/>
              <w:rPr>
                <w:rFonts w:ascii="Arial" w:eastAsia="Arial" w:hAnsi="Arial" w:cs="Arial"/>
                <w:sz w:val="22"/>
                <w:szCs w:val="22"/>
              </w:rPr>
            </w:pPr>
            <w:r>
              <w:rPr>
                <w:rFonts w:ascii="Arial" w:eastAsia="Arial" w:hAnsi="Arial" w:cs="Arial"/>
                <w:sz w:val="22"/>
                <w:szCs w:val="22"/>
              </w:rPr>
              <w:t xml:space="preserve">28,94  </w:t>
            </w:r>
          </w:p>
        </w:tc>
        <w:tc>
          <w:tcPr>
            <w:tcW w:w="1185" w:type="dxa"/>
            <w:tcBorders>
              <w:left w:val="nil"/>
              <w:bottom w:val="nil"/>
              <w:right w:val="nil"/>
            </w:tcBorders>
            <w:shd w:val="clear" w:color="auto" w:fill="auto"/>
            <w:tcMar>
              <w:top w:w="100" w:type="dxa"/>
              <w:left w:w="100" w:type="dxa"/>
              <w:bottom w:w="100" w:type="dxa"/>
              <w:right w:w="100" w:type="dxa"/>
            </w:tcMar>
          </w:tcPr>
          <w:p w:rsidR="00E512EA" w:rsidRDefault="00F511FF" w:rsidP="00241F5F">
            <w:pPr>
              <w:ind w:firstLine="141"/>
              <w:jc w:val="both"/>
              <w:rPr>
                <w:rFonts w:ascii="Arial" w:eastAsia="Arial" w:hAnsi="Arial" w:cs="Arial"/>
                <w:sz w:val="22"/>
                <w:szCs w:val="22"/>
              </w:rPr>
            </w:pPr>
            <w:r>
              <w:rPr>
                <w:rFonts w:ascii="Arial" w:eastAsia="Arial" w:hAnsi="Arial" w:cs="Arial"/>
                <w:sz w:val="22"/>
                <w:szCs w:val="22"/>
              </w:rPr>
              <w:t xml:space="preserve">29,63  </w:t>
            </w:r>
          </w:p>
        </w:tc>
        <w:tc>
          <w:tcPr>
            <w:tcW w:w="975" w:type="dxa"/>
            <w:tcBorders>
              <w:left w:val="nil"/>
              <w:bottom w:val="nil"/>
              <w:right w:val="nil"/>
            </w:tcBorders>
            <w:shd w:val="clear" w:color="auto" w:fill="auto"/>
            <w:tcMar>
              <w:top w:w="100" w:type="dxa"/>
              <w:left w:w="100" w:type="dxa"/>
              <w:bottom w:w="100" w:type="dxa"/>
              <w:right w:w="100" w:type="dxa"/>
            </w:tcMar>
          </w:tcPr>
          <w:p w:rsidR="00E512EA" w:rsidRDefault="00F511FF" w:rsidP="00241F5F">
            <w:pPr>
              <w:ind w:firstLine="141"/>
              <w:jc w:val="both"/>
              <w:rPr>
                <w:rFonts w:ascii="Arial" w:eastAsia="Arial" w:hAnsi="Arial" w:cs="Arial"/>
                <w:sz w:val="22"/>
                <w:szCs w:val="22"/>
              </w:rPr>
            </w:pPr>
            <w:r>
              <w:rPr>
                <w:rFonts w:ascii="Arial" w:eastAsia="Arial" w:hAnsi="Arial" w:cs="Arial"/>
                <w:sz w:val="22"/>
                <w:szCs w:val="22"/>
              </w:rPr>
              <w:t>28,72</w:t>
            </w:r>
          </w:p>
        </w:tc>
        <w:tc>
          <w:tcPr>
            <w:tcW w:w="1890" w:type="dxa"/>
            <w:tcBorders>
              <w:left w:val="nil"/>
              <w:bottom w:val="nil"/>
              <w:right w:val="nil"/>
            </w:tcBorders>
            <w:shd w:val="clear" w:color="auto" w:fill="auto"/>
            <w:tcMar>
              <w:top w:w="100" w:type="dxa"/>
              <w:left w:w="100" w:type="dxa"/>
              <w:bottom w:w="100" w:type="dxa"/>
              <w:right w:w="100" w:type="dxa"/>
            </w:tcMar>
          </w:tcPr>
          <w:p w:rsidR="00E512EA" w:rsidRDefault="00F511FF" w:rsidP="00241F5F">
            <w:pPr>
              <w:ind w:firstLine="141"/>
              <w:jc w:val="both"/>
              <w:rPr>
                <w:rFonts w:ascii="Arial" w:eastAsia="Arial" w:hAnsi="Arial" w:cs="Arial"/>
                <w:sz w:val="22"/>
                <w:szCs w:val="22"/>
              </w:rPr>
            </w:pPr>
            <w:r>
              <w:rPr>
                <w:rFonts w:ascii="Arial" w:eastAsia="Arial" w:hAnsi="Arial" w:cs="Arial"/>
                <w:sz w:val="22"/>
                <w:szCs w:val="22"/>
              </w:rPr>
              <w:t xml:space="preserve">      1,03</w:t>
            </w:r>
          </w:p>
        </w:tc>
      </w:tr>
      <w:tr w:rsidR="00E512EA">
        <w:trPr>
          <w:trHeight w:val="480"/>
        </w:trPr>
        <w:tc>
          <w:tcPr>
            <w:tcW w:w="225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ind w:left="-141"/>
              <w:rPr>
                <w:rFonts w:ascii="Arial" w:eastAsia="Arial" w:hAnsi="Arial" w:cs="Arial"/>
              </w:rPr>
            </w:pPr>
            <w:r>
              <w:rPr>
                <w:rFonts w:ascii="Arial" w:eastAsia="Arial" w:hAnsi="Arial" w:cs="Arial"/>
              </w:rPr>
              <w:t xml:space="preserve"> Torneira bovino </w:t>
            </w:r>
          </w:p>
        </w:tc>
        <w:tc>
          <w:tcPr>
            <w:tcW w:w="14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ind w:left="-135" w:firstLine="418"/>
              <w:rPr>
                <w:rFonts w:ascii="Arial" w:eastAsia="Arial" w:hAnsi="Arial" w:cs="Arial"/>
                <w:sz w:val="22"/>
                <w:szCs w:val="22"/>
              </w:rPr>
            </w:pPr>
            <w:r>
              <w:rPr>
                <w:rFonts w:ascii="Arial" w:eastAsia="Arial" w:hAnsi="Arial" w:cs="Arial"/>
              </w:rPr>
              <w:t xml:space="preserve"> </w:t>
            </w:r>
            <w:r>
              <w:rPr>
                <w:rFonts w:ascii="Arial" w:eastAsia="Arial" w:hAnsi="Arial" w:cs="Arial"/>
                <w:sz w:val="22"/>
                <w:szCs w:val="22"/>
              </w:rPr>
              <w:t xml:space="preserve">27,22 </w:t>
            </w:r>
          </w:p>
        </w:tc>
        <w:tc>
          <w:tcPr>
            <w:tcW w:w="11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ind w:left="-141" w:firstLine="283"/>
              <w:rPr>
                <w:rFonts w:ascii="Arial" w:eastAsia="Arial" w:hAnsi="Arial" w:cs="Arial"/>
                <w:sz w:val="22"/>
                <w:szCs w:val="22"/>
              </w:rPr>
            </w:pPr>
            <w:r>
              <w:rPr>
                <w:rFonts w:ascii="Arial" w:eastAsia="Arial" w:hAnsi="Arial" w:cs="Arial"/>
                <w:sz w:val="22"/>
                <w:szCs w:val="22"/>
              </w:rPr>
              <w:t>28,37</w:t>
            </w:r>
          </w:p>
        </w:tc>
        <w:tc>
          <w:tcPr>
            <w:tcW w:w="118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ind w:firstLine="141"/>
              <w:rPr>
                <w:rFonts w:ascii="Arial" w:eastAsia="Arial" w:hAnsi="Arial" w:cs="Arial"/>
                <w:sz w:val="22"/>
                <w:szCs w:val="22"/>
              </w:rPr>
            </w:pPr>
            <w:r>
              <w:rPr>
                <w:rFonts w:ascii="Arial" w:eastAsia="Arial" w:hAnsi="Arial" w:cs="Arial"/>
                <w:sz w:val="22"/>
                <w:szCs w:val="22"/>
              </w:rPr>
              <w:t>29,94</w:t>
            </w:r>
          </w:p>
        </w:tc>
        <w:tc>
          <w:tcPr>
            <w:tcW w:w="97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ind w:firstLine="141"/>
              <w:rPr>
                <w:rFonts w:ascii="Arial" w:eastAsia="Arial" w:hAnsi="Arial" w:cs="Arial"/>
                <w:sz w:val="22"/>
                <w:szCs w:val="22"/>
              </w:rPr>
            </w:pPr>
            <w:r>
              <w:rPr>
                <w:rFonts w:ascii="Arial" w:eastAsia="Arial" w:hAnsi="Arial" w:cs="Arial"/>
                <w:sz w:val="22"/>
                <w:szCs w:val="22"/>
              </w:rPr>
              <w:t>28,51</w:t>
            </w:r>
          </w:p>
        </w:tc>
        <w:tc>
          <w:tcPr>
            <w:tcW w:w="189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ind w:firstLine="141"/>
              <w:rPr>
                <w:rFonts w:ascii="Arial" w:eastAsia="Arial" w:hAnsi="Arial" w:cs="Arial"/>
                <w:sz w:val="22"/>
                <w:szCs w:val="22"/>
              </w:rPr>
            </w:pPr>
            <w:r>
              <w:rPr>
                <w:rFonts w:ascii="Arial" w:eastAsia="Arial" w:hAnsi="Arial" w:cs="Arial"/>
                <w:sz w:val="22"/>
                <w:szCs w:val="22"/>
              </w:rPr>
              <w:t xml:space="preserve">      1,36</w:t>
            </w:r>
          </w:p>
        </w:tc>
      </w:tr>
      <w:tr w:rsidR="00E512EA">
        <w:tc>
          <w:tcPr>
            <w:tcW w:w="225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41"/>
              <w:rPr>
                <w:rFonts w:ascii="Arial" w:eastAsia="Arial" w:hAnsi="Arial" w:cs="Arial"/>
                <w:sz w:val="22"/>
                <w:szCs w:val="22"/>
              </w:rPr>
            </w:pPr>
            <w:r>
              <w:rPr>
                <w:rFonts w:ascii="Arial" w:eastAsia="Arial" w:hAnsi="Arial" w:cs="Arial"/>
              </w:rPr>
              <w:t xml:space="preserve"> Cisterna</w:t>
            </w:r>
          </w:p>
        </w:tc>
        <w:tc>
          <w:tcPr>
            <w:tcW w:w="14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35" w:firstLine="418"/>
              <w:rPr>
                <w:rFonts w:ascii="Arial" w:eastAsia="Arial" w:hAnsi="Arial" w:cs="Arial"/>
                <w:sz w:val="22"/>
                <w:szCs w:val="22"/>
              </w:rPr>
            </w:pPr>
            <w:r>
              <w:rPr>
                <w:rFonts w:ascii="Arial" w:eastAsia="Arial" w:hAnsi="Arial" w:cs="Arial"/>
                <w:sz w:val="22"/>
                <w:szCs w:val="22"/>
              </w:rPr>
              <w:t>19,55</w:t>
            </w:r>
          </w:p>
        </w:tc>
        <w:tc>
          <w:tcPr>
            <w:tcW w:w="11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41" w:firstLine="283"/>
              <w:rPr>
                <w:rFonts w:ascii="Arial" w:eastAsia="Arial" w:hAnsi="Arial" w:cs="Arial"/>
                <w:sz w:val="22"/>
                <w:szCs w:val="22"/>
              </w:rPr>
            </w:pPr>
            <w:r>
              <w:rPr>
                <w:rFonts w:ascii="Arial" w:eastAsia="Arial" w:hAnsi="Arial" w:cs="Arial"/>
                <w:sz w:val="22"/>
                <w:szCs w:val="22"/>
              </w:rPr>
              <w:t>19,36</w:t>
            </w:r>
          </w:p>
        </w:tc>
        <w:tc>
          <w:tcPr>
            <w:tcW w:w="118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 xml:space="preserve"> 20,31 </w:t>
            </w:r>
          </w:p>
        </w:tc>
        <w:tc>
          <w:tcPr>
            <w:tcW w:w="97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19,74</w:t>
            </w:r>
          </w:p>
        </w:tc>
        <w:tc>
          <w:tcPr>
            <w:tcW w:w="189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 xml:space="preserve">      0,50</w:t>
            </w:r>
          </w:p>
        </w:tc>
      </w:tr>
      <w:tr w:rsidR="00E512EA">
        <w:tc>
          <w:tcPr>
            <w:tcW w:w="225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41"/>
              <w:rPr>
                <w:rFonts w:ascii="Arial" w:eastAsia="Arial" w:hAnsi="Arial" w:cs="Arial"/>
                <w:sz w:val="22"/>
                <w:szCs w:val="22"/>
              </w:rPr>
            </w:pPr>
            <w:r>
              <w:rPr>
                <w:rFonts w:ascii="Arial" w:eastAsia="Arial" w:hAnsi="Arial" w:cs="Arial"/>
              </w:rPr>
              <w:t xml:space="preserve"> EPAGRI                           </w:t>
            </w:r>
          </w:p>
        </w:tc>
        <w:tc>
          <w:tcPr>
            <w:tcW w:w="14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35" w:firstLine="418"/>
              <w:rPr>
                <w:rFonts w:ascii="Arial" w:eastAsia="Arial" w:hAnsi="Arial" w:cs="Arial"/>
                <w:sz w:val="22"/>
                <w:szCs w:val="22"/>
              </w:rPr>
            </w:pPr>
            <w:r>
              <w:rPr>
                <w:rFonts w:ascii="Arial" w:eastAsia="Arial" w:hAnsi="Arial" w:cs="Arial"/>
                <w:sz w:val="22"/>
                <w:szCs w:val="22"/>
              </w:rPr>
              <w:t xml:space="preserve">18,40 </w:t>
            </w:r>
          </w:p>
        </w:tc>
        <w:tc>
          <w:tcPr>
            <w:tcW w:w="11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41" w:firstLine="283"/>
              <w:rPr>
                <w:rFonts w:ascii="Arial" w:eastAsia="Arial" w:hAnsi="Arial" w:cs="Arial"/>
                <w:sz w:val="22"/>
                <w:szCs w:val="22"/>
              </w:rPr>
            </w:pPr>
            <w:r>
              <w:rPr>
                <w:rFonts w:ascii="Arial" w:eastAsia="Arial" w:hAnsi="Arial" w:cs="Arial"/>
                <w:sz w:val="22"/>
                <w:szCs w:val="22"/>
              </w:rPr>
              <w:t>19,39</w:t>
            </w:r>
          </w:p>
        </w:tc>
        <w:tc>
          <w:tcPr>
            <w:tcW w:w="118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19,39</w:t>
            </w:r>
          </w:p>
        </w:tc>
        <w:tc>
          <w:tcPr>
            <w:tcW w:w="97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19,06</w:t>
            </w:r>
          </w:p>
        </w:tc>
        <w:tc>
          <w:tcPr>
            <w:tcW w:w="189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 xml:space="preserve">      0,57</w:t>
            </w:r>
          </w:p>
        </w:tc>
      </w:tr>
      <w:tr w:rsidR="00E512EA">
        <w:tc>
          <w:tcPr>
            <w:tcW w:w="2250" w:type="dxa"/>
            <w:tcBorders>
              <w:top w:val="nil"/>
              <w:left w:val="nil"/>
              <w:bottom w:val="nil"/>
              <w:right w:val="nil"/>
            </w:tcBorders>
            <w:shd w:val="clear" w:color="auto" w:fill="auto"/>
            <w:tcMar>
              <w:top w:w="100" w:type="dxa"/>
              <w:left w:w="100" w:type="dxa"/>
              <w:bottom w:w="100" w:type="dxa"/>
              <w:right w:w="100" w:type="dxa"/>
            </w:tcMar>
          </w:tcPr>
          <w:p w:rsidR="00E512EA" w:rsidRDefault="00241F5F" w:rsidP="00241F5F">
            <w:pPr>
              <w:widowControl w:val="0"/>
              <w:ind w:left="-141" w:right="-257"/>
              <w:rPr>
                <w:rFonts w:ascii="Arial" w:eastAsia="Arial" w:hAnsi="Arial" w:cs="Arial"/>
                <w:sz w:val="22"/>
                <w:szCs w:val="22"/>
              </w:rPr>
            </w:pPr>
            <w:r>
              <w:rPr>
                <w:rFonts w:ascii="Arial" w:eastAsia="Arial" w:hAnsi="Arial" w:cs="Arial"/>
              </w:rPr>
              <w:t xml:space="preserve"> Torneira ginásio</w:t>
            </w:r>
          </w:p>
        </w:tc>
        <w:tc>
          <w:tcPr>
            <w:tcW w:w="14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35" w:firstLine="418"/>
              <w:rPr>
                <w:rFonts w:ascii="Arial" w:eastAsia="Arial" w:hAnsi="Arial" w:cs="Arial"/>
                <w:sz w:val="22"/>
                <w:szCs w:val="22"/>
              </w:rPr>
            </w:pPr>
            <w:r>
              <w:rPr>
                <w:rFonts w:ascii="Arial" w:eastAsia="Arial" w:hAnsi="Arial" w:cs="Arial"/>
                <w:sz w:val="22"/>
                <w:szCs w:val="22"/>
              </w:rPr>
              <w:t xml:space="preserve">18,40 </w:t>
            </w:r>
          </w:p>
        </w:tc>
        <w:tc>
          <w:tcPr>
            <w:tcW w:w="117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left="-141" w:firstLine="283"/>
              <w:rPr>
                <w:rFonts w:ascii="Arial" w:eastAsia="Arial" w:hAnsi="Arial" w:cs="Arial"/>
                <w:sz w:val="22"/>
                <w:szCs w:val="22"/>
              </w:rPr>
            </w:pPr>
            <w:r>
              <w:rPr>
                <w:rFonts w:ascii="Arial" w:eastAsia="Arial" w:hAnsi="Arial" w:cs="Arial"/>
                <w:sz w:val="22"/>
                <w:szCs w:val="22"/>
              </w:rPr>
              <w:t xml:space="preserve">19,28 </w:t>
            </w:r>
          </w:p>
        </w:tc>
        <w:tc>
          <w:tcPr>
            <w:tcW w:w="118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20,43</w:t>
            </w:r>
          </w:p>
        </w:tc>
        <w:tc>
          <w:tcPr>
            <w:tcW w:w="975"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19,37</w:t>
            </w:r>
          </w:p>
        </w:tc>
        <w:tc>
          <w:tcPr>
            <w:tcW w:w="1890" w:type="dxa"/>
            <w:tcBorders>
              <w:top w:val="nil"/>
              <w:left w:val="nil"/>
              <w:bottom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 xml:space="preserve">      1,01</w:t>
            </w:r>
          </w:p>
        </w:tc>
      </w:tr>
      <w:tr w:rsidR="00E512EA">
        <w:trPr>
          <w:trHeight w:val="600"/>
        </w:trPr>
        <w:tc>
          <w:tcPr>
            <w:tcW w:w="2250" w:type="dxa"/>
            <w:tcBorders>
              <w:top w:val="nil"/>
              <w:left w:val="nil"/>
              <w:right w:val="nil"/>
            </w:tcBorders>
            <w:shd w:val="clear" w:color="auto" w:fill="auto"/>
            <w:tcMar>
              <w:top w:w="100" w:type="dxa"/>
              <w:left w:w="100" w:type="dxa"/>
              <w:bottom w:w="100" w:type="dxa"/>
              <w:right w:w="100" w:type="dxa"/>
            </w:tcMar>
          </w:tcPr>
          <w:p w:rsidR="00E512EA" w:rsidRDefault="00F511FF" w:rsidP="00241F5F">
            <w:pPr>
              <w:widowControl w:val="0"/>
              <w:ind w:left="-141"/>
              <w:rPr>
                <w:rFonts w:ascii="Arial" w:eastAsia="Arial" w:hAnsi="Arial" w:cs="Arial"/>
                <w:sz w:val="22"/>
                <w:szCs w:val="22"/>
              </w:rPr>
            </w:pPr>
            <w:r>
              <w:rPr>
                <w:rFonts w:ascii="Arial" w:eastAsia="Arial" w:hAnsi="Arial" w:cs="Arial"/>
              </w:rPr>
              <w:t xml:space="preserve"> Torneira laboratório</w:t>
            </w:r>
          </w:p>
        </w:tc>
        <w:tc>
          <w:tcPr>
            <w:tcW w:w="1470" w:type="dxa"/>
            <w:tcBorders>
              <w:top w:val="nil"/>
              <w:left w:val="nil"/>
              <w:right w:val="nil"/>
            </w:tcBorders>
            <w:shd w:val="clear" w:color="auto" w:fill="auto"/>
            <w:tcMar>
              <w:top w:w="100" w:type="dxa"/>
              <w:left w:w="100" w:type="dxa"/>
              <w:bottom w:w="100" w:type="dxa"/>
              <w:right w:w="100" w:type="dxa"/>
            </w:tcMar>
          </w:tcPr>
          <w:p w:rsidR="00E512EA" w:rsidRDefault="00F511FF" w:rsidP="00241F5F">
            <w:pPr>
              <w:widowControl w:val="0"/>
              <w:ind w:left="-135" w:firstLine="418"/>
              <w:rPr>
                <w:rFonts w:ascii="Arial" w:eastAsia="Arial" w:hAnsi="Arial" w:cs="Arial"/>
                <w:sz w:val="22"/>
                <w:szCs w:val="22"/>
              </w:rPr>
            </w:pPr>
            <w:r>
              <w:rPr>
                <w:rFonts w:ascii="Arial" w:eastAsia="Arial" w:hAnsi="Arial" w:cs="Arial"/>
                <w:sz w:val="22"/>
                <w:szCs w:val="22"/>
              </w:rPr>
              <w:t>18,78</w:t>
            </w:r>
          </w:p>
        </w:tc>
        <w:tc>
          <w:tcPr>
            <w:tcW w:w="1170" w:type="dxa"/>
            <w:tcBorders>
              <w:top w:val="nil"/>
              <w:left w:val="nil"/>
              <w:right w:val="nil"/>
            </w:tcBorders>
            <w:shd w:val="clear" w:color="auto" w:fill="auto"/>
            <w:tcMar>
              <w:top w:w="100" w:type="dxa"/>
              <w:left w:w="100" w:type="dxa"/>
              <w:bottom w:w="100" w:type="dxa"/>
              <w:right w:w="100" w:type="dxa"/>
            </w:tcMar>
          </w:tcPr>
          <w:p w:rsidR="00E512EA" w:rsidRDefault="00F511FF" w:rsidP="00241F5F">
            <w:pPr>
              <w:widowControl w:val="0"/>
              <w:ind w:left="-141" w:firstLine="283"/>
              <w:rPr>
                <w:rFonts w:ascii="Arial" w:eastAsia="Arial" w:hAnsi="Arial" w:cs="Arial"/>
                <w:sz w:val="22"/>
                <w:szCs w:val="22"/>
              </w:rPr>
            </w:pPr>
            <w:r>
              <w:rPr>
                <w:rFonts w:ascii="Arial" w:eastAsia="Arial" w:hAnsi="Arial" w:cs="Arial"/>
                <w:sz w:val="22"/>
                <w:szCs w:val="22"/>
              </w:rPr>
              <w:t>18,78</w:t>
            </w:r>
          </w:p>
        </w:tc>
        <w:tc>
          <w:tcPr>
            <w:tcW w:w="1185" w:type="dxa"/>
            <w:tcBorders>
              <w:top w:val="nil"/>
              <w:left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 xml:space="preserve">21,69 </w:t>
            </w:r>
          </w:p>
        </w:tc>
        <w:tc>
          <w:tcPr>
            <w:tcW w:w="975" w:type="dxa"/>
            <w:tcBorders>
              <w:top w:val="nil"/>
              <w:left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19,75</w:t>
            </w:r>
          </w:p>
        </w:tc>
        <w:tc>
          <w:tcPr>
            <w:tcW w:w="1890" w:type="dxa"/>
            <w:tcBorders>
              <w:top w:val="nil"/>
              <w:left w:val="nil"/>
              <w:right w:val="nil"/>
            </w:tcBorders>
            <w:shd w:val="clear" w:color="auto" w:fill="auto"/>
            <w:tcMar>
              <w:top w:w="100" w:type="dxa"/>
              <w:left w:w="100" w:type="dxa"/>
              <w:bottom w:w="100" w:type="dxa"/>
              <w:right w:w="100" w:type="dxa"/>
            </w:tcMar>
          </w:tcPr>
          <w:p w:rsidR="00E512EA" w:rsidRDefault="00F511FF" w:rsidP="00241F5F">
            <w:pPr>
              <w:widowControl w:val="0"/>
              <w:ind w:firstLine="141"/>
              <w:rPr>
                <w:rFonts w:ascii="Arial" w:eastAsia="Arial" w:hAnsi="Arial" w:cs="Arial"/>
                <w:sz w:val="22"/>
                <w:szCs w:val="22"/>
              </w:rPr>
            </w:pPr>
            <w:r>
              <w:rPr>
                <w:rFonts w:ascii="Arial" w:eastAsia="Arial" w:hAnsi="Arial" w:cs="Arial"/>
                <w:sz w:val="22"/>
                <w:szCs w:val="22"/>
              </w:rPr>
              <w:t xml:space="preserve">      1,68</w:t>
            </w:r>
          </w:p>
        </w:tc>
      </w:tr>
    </w:tbl>
    <w:p w:rsidR="00E512EA" w:rsidRDefault="00F511FF">
      <w:pPr>
        <w:widowControl w:val="0"/>
        <w:rPr>
          <w:rFonts w:ascii="Arial" w:eastAsia="Arial" w:hAnsi="Arial" w:cs="Arial"/>
        </w:rPr>
      </w:pPr>
      <w:r>
        <w:rPr>
          <w:rFonts w:ascii="Arial" w:eastAsia="Arial" w:hAnsi="Arial" w:cs="Arial"/>
          <w:sz w:val="20"/>
          <w:szCs w:val="20"/>
        </w:rPr>
        <w:t>Fonte: As autoras.</w:t>
      </w:r>
    </w:p>
    <w:p w:rsidR="00E512EA" w:rsidRDefault="00E512EA">
      <w:pPr>
        <w:widowControl w:val="0"/>
        <w:rPr>
          <w:rFonts w:ascii="Arial" w:eastAsia="Arial" w:hAnsi="Arial" w:cs="Arial"/>
        </w:rPr>
      </w:pPr>
    </w:p>
    <w:p w:rsidR="00E512EA" w:rsidRDefault="00F511FF">
      <w:pPr>
        <w:widowControl w:val="0"/>
        <w:spacing w:line="360" w:lineRule="auto"/>
        <w:ind w:firstLine="1133"/>
        <w:jc w:val="both"/>
        <w:rPr>
          <w:rFonts w:ascii="Arial" w:eastAsia="Arial" w:hAnsi="Arial" w:cs="Arial"/>
        </w:rPr>
      </w:pPr>
      <w:r>
        <w:rPr>
          <w:rFonts w:ascii="Arial" w:eastAsia="Arial" w:hAnsi="Arial" w:cs="Arial"/>
        </w:rPr>
        <w:t xml:space="preserve">Na análise dos dados obtidos nos dias 07,14 e 21, utilizou-se como base a Portaria 2.914 de 12 de dezembro de 2011, do Ministério da Saúde, que estipula a quantidade máxima de 250 mg de cloreto por litro.   </w:t>
      </w:r>
    </w:p>
    <w:p w:rsidR="00E512EA" w:rsidRDefault="00F511FF">
      <w:pPr>
        <w:widowControl w:val="0"/>
        <w:spacing w:line="360" w:lineRule="auto"/>
        <w:ind w:firstLine="1133"/>
        <w:jc w:val="both"/>
        <w:rPr>
          <w:rFonts w:ascii="Arial" w:eastAsia="Arial" w:hAnsi="Arial" w:cs="Arial"/>
        </w:rPr>
      </w:pPr>
      <w:r>
        <w:rPr>
          <w:rFonts w:ascii="Arial" w:eastAsia="Arial" w:hAnsi="Arial" w:cs="Arial"/>
        </w:rPr>
        <w:t xml:space="preserve">Conforme a Portaria, todos os pontos analisados encontram-se em </w:t>
      </w:r>
      <w:r>
        <w:rPr>
          <w:rFonts w:ascii="Arial" w:eastAsia="Arial" w:hAnsi="Arial" w:cs="Arial"/>
        </w:rPr>
        <w:lastRenderedPageBreak/>
        <w:t>conformidade em relação a este parâmetro, apresentando uma quantidade de cloreto inferior à estabelecida. A baixa concentração de cloretos nas amostras pode ter sido identificada por se tratar de águas retiradas de fontes subterrâneas, que comumente não possuem grande quantidade de sais.</w:t>
      </w:r>
    </w:p>
    <w:p w:rsidR="00E512EA" w:rsidRDefault="00F511FF">
      <w:pPr>
        <w:widowControl w:val="0"/>
        <w:spacing w:line="360" w:lineRule="auto"/>
        <w:ind w:firstLine="1133"/>
        <w:jc w:val="both"/>
        <w:rPr>
          <w:rFonts w:ascii="Arial" w:eastAsia="Arial" w:hAnsi="Arial" w:cs="Arial"/>
        </w:rPr>
      </w:pPr>
      <w:r>
        <w:rPr>
          <w:rFonts w:ascii="Arial" w:eastAsia="Arial" w:hAnsi="Arial" w:cs="Arial"/>
        </w:rPr>
        <w:t>Com a finalidade de comparar os resultados, o desvio padrão e o coeficiente de variação das análises realizadas em 2018 e no ano de 2016, segue a Tabela 2.</w:t>
      </w:r>
    </w:p>
    <w:p w:rsidR="00E512EA" w:rsidRDefault="00E512EA">
      <w:pPr>
        <w:widowControl w:val="0"/>
        <w:spacing w:line="360" w:lineRule="auto"/>
        <w:ind w:firstLine="1133"/>
        <w:jc w:val="both"/>
        <w:rPr>
          <w:rFonts w:ascii="Arial" w:eastAsia="Arial" w:hAnsi="Arial" w:cs="Arial"/>
          <w:sz w:val="20"/>
          <w:szCs w:val="20"/>
        </w:rPr>
      </w:pPr>
    </w:p>
    <w:p w:rsidR="00E512EA" w:rsidRDefault="00F511FF">
      <w:pPr>
        <w:widowControl w:val="0"/>
        <w:spacing w:line="360" w:lineRule="auto"/>
        <w:rPr>
          <w:rFonts w:ascii="Arial" w:eastAsia="Arial" w:hAnsi="Arial" w:cs="Arial"/>
          <w:sz w:val="20"/>
          <w:szCs w:val="20"/>
        </w:rPr>
      </w:pPr>
      <w:r>
        <w:rPr>
          <w:rFonts w:ascii="Arial" w:eastAsia="Arial" w:hAnsi="Arial" w:cs="Arial"/>
          <w:b/>
          <w:sz w:val="20"/>
          <w:szCs w:val="20"/>
        </w:rPr>
        <w:t xml:space="preserve">Tabela 2 </w:t>
      </w:r>
      <w:r>
        <w:rPr>
          <w:rFonts w:ascii="Arial" w:eastAsia="Arial" w:hAnsi="Arial" w:cs="Arial"/>
          <w:sz w:val="20"/>
          <w:szCs w:val="20"/>
        </w:rPr>
        <w:t>- Resultados das análises de cloreto em 2016.</w:t>
      </w:r>
    </w:p>
    <w:tbl>
      <w:tblPr>
        <w:tblStyle w:val="a0"/>
        <w:tblW w:w="90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960"/>
        <w:gridCol w:w="960"/>
        <w:gridCol w:w="1020"/>
        <w:gridCol w:w="960"/>
        <w:gridCol w:w="975"/>
        <w:gridCol w:w="1920"/>
      </w:tblGrid>
      <w:tr w:rsidR="00E512EA">
        <w:trPr>
          <w:trHeight w:val="500"/>
        </w:trPr>
        <w:tc>
          <w:tcPr>
            <w:tcW w:w="2280" w:type="dxa"/>
            <w:tcBorders>
              <w:left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b/>
              </w:rPr>
            </w:pPr>
            <w:r>
              <w:rPr>
                <w:rFonts w:ascii="Arial" w:eastAsia="Arial" w:hAnsi="Arial" w:cs="Arial"/>
                <w:b/>
              </w:rPr>
              <w:t>Dias</w:t>
            </w:r>
          </w:p>
        </w:tc>
        <w:tc>
          <w:tcPr>
            <w:tcW w:w="960" w:type="dxa"/>
            <w:tcBorders>
              <w:left w:val="nil"/>
              <w:right w:val="nil"/>
            </w:tcBorders>
            <w:shd w:val="clear" w:color="auto" w:fill="auto"/>
            <w:tcMar>
              <w:top w:w="100" w:type="dxa"/>
              <w:left w:w="100" w:type="dxa"/>
              <w:bottom w:w="100" w:type="dxa"/>
              <w:right w:w="100" w:type="dxa"/>
            </w:tcMar>
          </w:tcPr>
          <w:p w:rsidR="00E512EA" w:rsidRDefault="00F511FF">
            <w:pPr>
              <w:widowControl w:val="0"/>
              <w:rPr>
                <w:rFonts w:ascii="Arial" w:eastAsia="Arial" w:hAnsi="Arial" w:cs="Arial"/>
                <w:b/>
              </w:rPr>
            </w:pPr>
            <w:r>
              <w:rPr>
                <w:rFonts w:ascii="Arial" w:eastAsia="Arial" w:hAnsi="Arial" w:cs="Arial"/>
                <w:b/>
              </w:rPr>
              <w:t xml:space="preserve">  05/07</w:t>
            </w:r>
          </w:p>
        </w:tc>
        <w:tc>
          <w:tcPr>
            <w:tcW w:w="960" w:type="dxa"/>
            <w:tcBorders>
              <w:left w:val="nil"/>
              <w:right w:val="nil"/>
            </w:tcBorders>
            <w:shd w:val="clear" w:color="auto" w:fill="auto"/>
            <w:tcMar>
              <w:top w:w="100" w:type="dxa"/>
              <w:left w:w="100" w:type="dxa"/>
              <w:bottom w:w="100" w:type="dxa"/>
              <w:right w:w="100" w:type="dxa"/>
            </w:tcMar>
          </w:tcPr>
          <w:p w:rsidR="00E512EA" w:rsidRDefault="00F511FF">
            <w:pPr>
              <w:widowControl w:val="0"/>
              <w:rPr>
                <w:rFonts w:ascii="Arial" w:eastAsia="Arial" w:hAnsi="Arial" w:cs="Arial"/>
                <w:b/>
              </w:rPr>
            </w:pPr>
            <w:r>
              <w:rPr>
                <w:rFonts w:ascii="Arial" w:eastAsia="Arial" w:hAnsi="Arial" w:cs="Arial"/>
                <w:b/>
              </w:rPr>
              <w:t xml:space="preserve">  12/07</w:t>
            </w:r>
          </w:p>
        </w:tc>
        <w:tc>
          <w:tcPr>
            <w:tcW w:w="1020" w:type="dxa"/>
            <w:tcBorders>
              <w:left w:val="nil"/>
              <w:right w:val="nil"/>
            </w:tcBorders>
            <w:shd w:val="clear" w:color="auto" w:fill="auto"/>
            <w:tcMar>
              <w:top w:w="100" w:type="dxa"/>
              <w:left w:w="100" w:type="dxa"/>
              <w:bottom w:w="100" w:type="dxa"/>
              <w:right w:w="100" w:type="dxa"/>
            </w:tcMar>
          </w:tcPr>
          <w:p w:rsidR="00E512EA" w:rsidRDefault="00F511FF">
            <w:pPr>
              <w:widowControl w:val="0"/>
              <w:rPr>
                <w:rFonts w:ascii="Arial" w:eastAsia="Arial" w:hAnsi="Arial" w:cs="Arial"/>
                <w:b/>
              </w:rPr>
            </w:pPr>
            <w:r>
              <w:rPr>
                <w:rFonts w:ascii="Arial" w:eastAsia="Arial" w:hAnsi="Arial" w:cs="Arial"/>
                <w:b/>
              </w:rPr>
              <w:t xml:space="preserve">  02/08</w:t>
            </w:r>
          </w:p>
        </w:tc>
        <w:tc>
          <w:tcPr>
            <w:tcW w:w="960" w:type="dxa"/>
            <w:tcBorders>
              <w:left w:val="nil"/>
              <w:right w:val="nil"/>
            </w:tcBorders>
            <w:shd w:val="clear" w:color="auto" w:fill="auto"/>
            <w:tcMar>
              <w:top w:w="100" w:type="dxa"/>
              <w:left w:w="100" w:type="dxa"/>
              <w:bottom w:w="100" w:type="dxa"/>
              <w:right w:w="100" w:type="dxa"/>
            </w:tcMar>
          </w:tcPr>
          <w:p w:rsidR="00E512EA" w:rsidRDefault="00F511FF">
            <w:pPr>
              <w:widowControl w:val="0"/>
              <w:rPr>
                <w:rFonts w:ascii="Arial" w:eastAsia="Arial" w:hAnsi="Arial" w:cs="Arial"/>
                <w:b/>
              </w:rPr>
            </w:pPr>
            <w:r>
              <w:rPr>
                <w:rFonts w:ascii="Arial" w:eastAsia="Arial" w:hAnsi="Arial" w:cs="Arial"/>
                <w:b/>
              </w:rPr>
              <w:t xml:space="preserve">  09/08</w:t>
            </w:r>
          </w:p>
        </w:tc>
        <w:tc>
          <w:tcPr>
            <w:tcW w:w="975" w:type="dxa"/>
            <w:tcBorders>
              <w:left w:val="nil"/>
              <w:right w:val="dotted" w:sz="8" w:space="0" w:color="FFFFFF"/>
            </w:tcBorders>
            <w:shd w:val="clear" w:color="auto" w:fill="auto"/>
            <w:tcMar>
              <w:top w:w="100" w:type="dxa"/>
              <w:left w:w="100" w:type="dxa"/>
              <w:bottom w:w="100" w:type="dxa"/>
              <w:right w:w="100" w:type="dxa"/>
            </w:tcMar>
          </w:tcPr>
          <w:p w:rsidR="00E512EA" w:rsidRDefault="00F511FF">
            <w:pPr>
              <w:widowControl w:val="0"/>
              <w:rPr>
                <w:rFonts w:ascii="Arial" w:eastAsia="Arial" w:hAnsi="Arial" w:cs="Arial"/>
                <w:b/>
              </w:rPr>
            </w:pPr>
            <w:r>
              <w:rPr>
                <w:rFonts w:ascii="Arial" w:eastAsia="Arial" w:hAnsi="Arial" w:cs="Arial"/>
                <w:b/>
              </w:rPr>
              <w:t xml:space="preserve"> Média</w:t>
            </w:r>
          </w:p>
        </w:tc>
        <w:tc>
          <w:tcPr>
            <w:tcW w:w="1920" w:type="dxa"/>
            <w:tcBorders>
              <w:left w:val="dotted"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rPr>
                <w:rFonts w:ascii="Arial" w:eastAsia="Arial" w:hAnsi="Arial" w:cs="Arial"/>
                <w:b/>
              </w:rPr>
            </w:pPr>
            <w:r>
              <w:rPr>
                <w:rFonts w:ascii="Arial" w:eastAsia="Arial" w:hAnsi="Arial" w:cs="Arial"/>
                <w:b/>
              </w:rPr>
              <w:t>Desvio Padrão</w:t>
            </w:r>
          </w:p>
        </w:tc>
      </w:tr>
      <w:tr w:rsidR="00E512EA">
        <w:trPr>
          <w:trHeight w:val="500"/>
        </w:trPr>
        <w:tc>
          <w:tcPr>
            <w:tcW w:w="2280" w:type="dxa"/>
            <w:tcBorders>
              <w:left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b/>
              </w:rPr>
            </w:pPr>
            <w:r>
              <w:rPr>
                <w:rFonts w:ascii="Arial" w:eastAsia="Arial" w:hAnsi="Arial" w:cs="Arial"/>
                <w:b/>
              </w:rPr>
              <w:t xml:space="preserve">Pontos de coleta </w:t>
            </w:r>
          </w:p>
        </w:tc>
        <w:tc>
          <w:tcPr>
            <w:tcW w:w="6795" w:type="dxa"/>
            <w:gridSpan w:val="6"/>
            <w:tcBorders>
              <w:left w:val="nil"/>
              <w:right w:val="nil"/>
            </w:tcBorders>
            <w:shd w:val="clear" w:color="auto" w:fill="auto"/>
            <w:tcMar>
              <w:top w:w="100" w:type="dxa"/>
              <w:left w:w="100" w:type="dxa"/>
              <w:bottom w:w="100" w:type="dxa"/>
              <w:right w:w="100" w:type="dxa"/>
            </w:tcMar>
          </w:tcPr>
          <w:p w:rsidR="00E512EA" w:rsidRDefault="00F511FF">
            <w:pPr>
              <w:ind w:left="-141"/>
              <w:rPr>
                <w:rFonts w:ascii="Arial" w:eastAsia="Arial" w:hAnsi="Arial" w:cs="Arial"/>
                <w:b/>
              </w:rPr>
            </w:pPr>
            <w:r>
              <w:rPr>
                <w:rFonts w:ascii="Arial" w:eastAsia="Arial" w:hAnsi="Arial" w:cs="Arial"/>
                <w:b/>
                <w:sz w:val="22"/>
                <w:szCs w:val="22"/>
              </w:rPr>
              <w:t xml:space="preserve">                                              (mg Cl</w:t>
            </w:r>
            <w:r>
              <w:rPr>
                <w:rFonts w:ascii="Arial" w:eastAsia="Arial" w:hAnsi="Arial" w:cs="Arial"/>
                <w:vertAlign w:val="superscript"/>
              </w:rPr>
              <w:t>-</w:t>
            </w:r>
            <w:r>
              <w:rPr>
                <w:rFonts w:ascii="Arial" w:eastAsia="Arial" w:hAnsi="Arial" w:cs="Arial"/>
                <w:b/>
                <w:sz w:val="22"/>
                <w:szCs w:val="22"/>
              </w:rPr>
              <w:t>/L)</w:t>
            </w:r>
            <w:r>
              <w:rPr>
                <w:rFonts w:ascii="Arial" w:eastAsia="Arial" w:hAnsi="Arial" w:cs="Arial"/>
                <w:b/>
              </w:rPr>
              <w:t xml:space="preserve"> </w:t>
            </w:r>
          </w:p>
        </w:tc>
      </w:tr>
      <w:tr w:rsidR="00E512EA">
        <w:tc>
          <w:tcPr>
            <w:tcW w:w="2280" w:type="dxa"/>
            <w:tcBorders>
              <w:left w:val="single" w:sz="8" w:space="0" w:color="FFFFFF"/>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Dessedentação</w:t>
            </w:r>
            <w:proofErr w:type="spellEnd"/>
          </w:p>
        </w:tc>
        <w:tc>
          <w:tcPr>
            <w:tcW w:w="960" w:type="dxa"/>
            <w:tcBorders>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23,17</w:t>
            </w:r>
          </w:p>
        </w:tc>
        <w:tc>
          <w:tcPr>
            <w:tcW w:w="960" w:type="dxa"/>
            <w:tcBorders>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23,17</w:t>
            </w:r>
          </w:p>
        </w:tc>
        <w:tc>
          <w:tcPr>
            <w:tcW w:w="1020" w:type="dxa"/>
            <w:tcBorders>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345" w:hanging="203"/>
              <w:rPr>
                <w:rFonts w:ascii="Arial" w:eastAsia="Arial" w:hAnsi="Arial" w:cs="Arial"/>
              </w:rPr>
            </w:pPr>
            <w:r>
              <w:rPr>
                <w:rFonts w:ascii="Arial" w:eastAsia="Arial" w:hAnsi="Arial" w:cs="Arial"/>
              </w:rPr>
              <w:t xml:space="preserve">   -</w:t>
            </w:r>
          </w:p>
        </w:tc>
        <w:tc>
          <w:tcPr>
            <w:tcW w:w="960" w:type="dxa"/>
            <w:tcBorders>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22,49</w:t>
            </w:r>
          </w:p>
        </w:tc>
        <w:tc>
          <w:tcPr>
            <w:tcW w:w="975" w:type="dxa"/>
            <w:tcBorders>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22,96</w:t>
            </w:r>
          </w:p>
        </w:tc>
        <w:tc>
          <w:tcPr>
            <w:tcW w:w="1920" w:type="dxa"/>
            <w:tcBorders>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 xml:space="preserve">      0,39</w:t>
            </w:r>
          </w:p>
        </w:tc>
      </w:tr>
      <w:tr w:rsidR="00E512EA">
        <w:tc>
          <w:tcPr>
            <w:tcW w:w="2280" w:type="dxa"/>
            <w:tcBorders>
              <w:top w:val="single" w:sz="8" w:space="0" w:color="FFFFFF"/>
              <w:left w:val="single" w:sz="8" w:space="0" w:color="FFFFFF"/>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rPr>
            </w:pPr>
            <w:r>
              <w:rPr>
                <w:rFonts w:ascii="Arial" w:eastAsia="Arial" w:hAnsi="Arial" w:cs="Arial"/>
              </w:rPr>
              <w:t>Limpeza</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27,26</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27,95</w:t>
            </w:r>
          </w:p>
        </w:tc>
        <w:tc>
          <w:tcPr>
            <w:tcW w:w="102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26,58</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                                                                                                                 </w:t>
            </w:r>
          </w:p>
        </w:tc>
        <w:tc>
          <w:tcPr>
            <w:tcW w:w="975"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27,26</w:t>
            </w:r>
          </w:p>
        </w:tc>
        <w:tc>
          <w:tcPr>
            <w:tcW w:w="192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 xml:space="preserve">      0,68</w:t>
            </w:r>
          </w:p>
        </w:tc>
      </w:tr>
      <w:tr w:rsidR="00E512EA">
        <w:trPr>
          <w:trHeight w:val="500"/>
        </w:trPr>
        <w:tc>
          <w:tcPr>
            <w:tcW w:w="2280" w:type="dxa"/>
            <w:tcBorders>
              <w:top w:val="single" w:sz="8" w:space="0" w:color="FFFFFF"/>
              <w:left w:val="single" w:sz="8" w:space="0" w:color="FFFFFF"/>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rPr>
            </w:pPr>
            <w:r>
              <w:rPr>
                <w:rFonts w:ascii="Arial" w:eastAsia="Arial" w:hAnsi="Arial" w:cs="Arial"/>
              </w:rPr>
              <w:t>EPAGRI</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16,36</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17,04</w:t>
            </w:r>
          </w:p>
        </w:tc>
        <w:tc>
          <w:tcPr>
            <w:tcW w:w="102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345" w:hanging="203"/>
              <w:rPr>
                <w:rFonts w:ascii="Arial" w:eastAsia="Arial" w:hAnsi="Arial" w:cs="Arial"/>
              </w:rPr>
            </w:pPr>
            <w:r>
              <w:rPr>
                <w:rFonts w:ascii="Arial" w:eastAsia="Arial" w:hAnsi="Arial" w:cs="Arial"/>
              </w:rPr>
              <w:t xml:space="preserve">   -</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16,36</w:t>
            </w:r>
          </w:p>
        </w:tc>
        <w:tc>
          <w:tcPr>
            <w:tcW w:w="975"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16,58</w:t>
            </w:r>
          </w:p>
        </w:tc>
        <w:tc>
          <w:tcPr>
            <w:tcW w:w="192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 xml:space="preserve">      0,39</w:t>
            </w:r>
          </w:p>
        </w:tc>
      </w:tr>
      <w:tr w:rsidR="00E512EA">
        <w:tc>
          <w:tcPr>
            <w:tcW w:w="2280" w:type="dxa"/>
            <w:tcBorders>
              <w:top w:val="single" w:sz="8" w:space="0" w:color="FFFFFF"/>
              <w:left w:val="single" w:sz="8" w:space="0" w:color="FFFFFF"/>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rPr>
            </w:pPr>
            <w:r>
              <w:rPr>
                <w:rFonts w:ascii="Arial" w:eastAsia="Arial" w:hAnsi="Arial" w:cs="Arial"/>
              </w:rPr>
              <w:t>Cisterna</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19,08</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19,08</w:t>
            </w:r>
          </w:p>
        </w:tc>
        <w:tc>
          <w:tcPr>
            <w:tcW w:w="102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18,40</w:t>
            </w:r>
          </w:p>
        </w:tc>
        <w:tc>
          <w:tcPr>
            <w:tcW w:w="96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360"/>
              <w:rPr>
                <w:rFonts w:ascii="Arial" w:eastAsia="Arial" w:hAnsi="Arial" w:cs="Arial"/>
              </w:rPr>
            </w:pPr>
            <w:r>
              <w:rPr>
                <w:rFonts w:ascii="Arial" w:eastAsia="Arial" w:hAnsi="Arial" w:cs="Arial"/>
              </w:rPr>
              <w:t>-</w:t>
            </w:r>
          </w:p>
        </w:tc>
        <w:tc>
          <w:tcPr>
            <w:tcW w:w="975"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18,86</w:t>
            </w:r>
          </w:p>
        </w:tc>
        <w:tc>
          <w:tcPr>
            <w:tcW w:w="192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 xml:space="preserve">      0,39</w:t>
            </w:r>
          </w:p>
        </w:tc>
      </w:tr>
      <w:tr w:rsidR="00E512EA">
        <w:trPr>
          <w:trHeight w:val="660"/>
        </w:trPr>
        <w:tc>
          <w:tcPr>
            <w:tcW w:w="2280" w:type="dxa"/>
            <w:tcBorders>
              <w:top w:val="single" w:sz="8" w:space="0" w:color="FFFFFF"/>
              <w:left w:val="single" w:sz="8" w:space="0" w:color="FFFFFF"/>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rPr>
                <w:rFonts w:ascii="Arial" w:eastAsia="Arial" w:hAnsi="Arial" w:cs="Arial"/>
              </w:rPr>
            </w:pPr>
            <w:r>
              <w:rPr>
                <w:rFonts w:ascii="Arial" w:eastAsia="Arial" w:hAnsi="Arial" w:cs="Arial"/>
              </w:rPr>
              <w:t>Torneira laboratório</w:t>
            </w:r>
          </w:p>
        </w:tc>
        <w:tc>
          <w:tcPr>
            <w:tcW w:w="960" w:type="dxa"/>
            <w:tcBorders>
              <w:top w:val="single" w:sz="8" w:space="0" w:color="FFFFFF"/>
              <w:left w:val="nil"/>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16,36</w:t>
            </w:r>
          </w:p>
        </w:tc>
        <w:tc>
          <w:tcPr>
            <w:tcW w:w="960" w:type="dxa"/>
            <w:tcBorders>
              <w:top w:val="single" w:sz="8" w:space="0" w:color="FFFFFF"/>
              <w:left w:val="nil"/>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18,40</w:t>
            </w:r>
          </w:p>
        </w:tc>
        <w:tc>
          <w:tcPr>
            <w:tcW w:w="1020" w:type="dxa"/>
            <w:tcBorders>
              <w:top w:val="single" w:sz="8" w:space="0" w:color="FFFFFF"/>
              <w:left w:val="nil"/>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firstLine="141"/>
              <w:rPr>
                <w:rFonts w:ascii="Arial" w:eastAsia="Arial" w:hAnsi="Arial" w:cs="Arial"/>
              </w:rPr>
            </w:pPr>
            <w:r>
              <w:rPr>
                <w:rFonts w:ascii="Arial" w:eastAsia="Arial" w:hAnsi="Arial" w:cs="Arial"/>
              </w:rPr>
              <w:t>17,72</w:t>
            </w:r>
          </w:p>
        </w:tc>
        <w:tc>
          <w:tcPr>
            <w:tcW w:w="960" w:type="dxa"/>
            <w:tcBorders>
              <w:top w:val="single" w:sz="8" w:space="0" w:color="FFFFFF"/>
              <w:left w:val="nil"/>
              <w:right w:val="nil"/>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360"/>
              <w:rPr>
                <w:rFonts w:ascii="Arial" w:eastAsia="Arial" w:hAnsi="Arial" w:cs="Arial"/>
              </w:rPr>
            </w:pPr>
            <w:r>
              <w:rPr>
                <w:rFonts w:ascii="Arial" w:eastAsia="Arial" w:hAnsi="Arial" w:cs="Arial"/>
              </w:rPr>
              <w:t>-</w:t>
            </w:r>
          </w:p>
        </w:tc>
        <w:tc>
          <w:tcPr>
            <w:tcW w:w="975" w:type="dxa"/>
            <w:tcBorders>
              <w:top w:val="single" w:sz="8" w:space="0" w:color="FFFFFF"/>
              <w:left w:val="nil"/>
              <w:right w:val="dotted"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17,49</w:t>
            </w:r>
          </w:p>
        </w:tc>
        <w:tc>
          <w:tcPr>
            <w:tcW w:w="1920" w:type="dxa"/>
            <w:tcBorders>
              <w:top w:val="single" w:sz="8" w:space="0" w:color="FFFFFF"/>
              <w:left w:val="dotted" w:sz="8" w:space="0" w:color="FFFFFF"/>
              <w:right w:val="single" w:sz="8" w:space="0" w:color="FFFFFF"/>
            </w:tcBorders>
            <w:shd w:val="clear" w:color="auto" w:fill="auto"/>
            <w:tcMar>
              <w:top w:w="100" w:type="dxa"/>
              <w:left w:w="100" w:type="dxa"/>
              <w:bottom w:w="100" w:type="dxa"/>
              <w:right w:w="100" w:type="dxa"/>
            </w:tcMar>
          </w:tcPr>
          <w:p w:rsidR="00E512EA" w:rsidRDefault="00F511FF">
            <w:pPr>
              <w:widowControl w:val="0"/>
              <w:pBdr>
                <w:top w:val="nil"/>
                <w:left w:val="nil"/>
                <w:bottom w:val="nil"/>
                <w:right w:val="nil"/>
                <w:between w:val="nil"/>
              </w:pBdr>
              <w:ind w:left="141"/>
              <w:rPr>
                <w:rFonts w:ascii="Arial" w:eastAsia="Arial" w:hAnsi="Arial" w:cs="Arial"/>
              </w:rPr>
            </w:pPr>
            <w:r>
              <w:rPr>
                <w:rFonts w:ascii="Arial" w:eastAsia="Arial" w:hAnsi="Arial" w:cs="Arial"/>
              </w:rPr>
              <w:t xml:space="preserve">      1,03</w:t>
            </w:r>
          </w:p>
        </w:tc>
      </w:tr>
    </w:tbl>
    <w:p w:rsidR="00E512EA" w:rsidRDefault="00F511FF">
      <w:pPr>
        <w:widowControl w:val="0"/>
        <w:spacing w:line="360" w:lineRule="auto"/>
        <w:jc w:val="both"/>
        <w:rPr>
          <w:rFonts w:ascii="Arial" w:eastAsia="Arial" w:hAnsi="Arial" w:cs="Arial"/>
        </w:rPr>
      </w:pPr>
      <w:r>
        <w:rPr>
          <w:rFonts w:ascii="Arial" w:eastAsia="Arial" w:hAnsi="Arial" w:cs="Arial"/>
          <w:sz w:val="20"/>
          <w:szCs w:val="20"/>
        </w:rPr>
        <w:t xml:space="preserve">Fonte: </w:t>
      </w:r>
      <w:proofErr w:type="spellStart"/>
      <w:r>
        <w:rPr>
          <w:rFonts w:ascii="Arial" w:eastAsia="Arial" w:hAnsi="Arial" w:cs="Arial"/>
          <w:sz w:val="20"/>
          <w:szCs w:val="20"/>
        </w:rPr>
        <w:t>Maçaneiro</w:t>
      </w:r>
      <w:proofErr w:type="spellEnd"/>
      <w:r>
        <w:rPr>
          <w:rFonts w:ascii="Arial" w:eastAsia="Arial" w:hAnsi="Arial" w:cs="Arial"/>
          <w:sz w:val="20"/>
          <w:szCs w:val="20"/>
        </w:rPr>
        <w:t xml:space="preserve"> et al (2017).</w:t>
      </w:r>
    </w:p>
    <w:p w:rsidR="00E512EA" w:rsidRDefault="00E512EA">
      <w:pPr>
        <w:widowControl w:val="0"/>
        <w:spacing w:line="360" w:lineRule="auto"/>
        <w:jc w:val="both"/>
        <w:rPr>
          <w:rFonts w:ascii="Arial" w:eastAsia="Arial" w:hAnsi="Arial" w:cs="Arial"/>
        </w:rPr>
      </w:pPr>
    </w:p>
    <w:p w:rsidR="00E512EA" w:rsidRDefault="00F511FF">
      <w:pPr>
        <w:widowControl w:val="0"/>
        <w:spacing w:line="360" w:lineRule="auto"/>
        <w:ind w:firstLine="1133"/>
        <w:jc w:val="both"/>
        <w:rPr>
          <w:rFonts w:ascii="Arial" w:eastAsia="Arial" w:hAnsi="Arial" w:cs="Arial"/>
        </w:rPr>
      </w:pPr>
      <w:r>
        <w:rPr>
          <w:rFonts w:ascii="Arial" w:eastAsia="Arial" w:hAnsi="Arial" w:cs="Arial"/>
        </w:rPr>
        <w:t>Comparando os resultados de 2018 (Tabela 1) com os do ano de 2016 (Tabela 2), pode-se observar semelhanças, considerando que a mangueira de limpeza do setor de bovino de leite continua a ter a maior concentração de cloreto em relação a todos os pontos em que foram coletadas as amostras. Além disso, o ponto em que apresenta a menor concentração de cloretos é a torneira da EPAGRI, em ambos os anos.</w:t>
      </w:r>
    </w:p>
    <w:p w:rsidR="00E512EA" w:rsidRDefault="00F511FF">
      <w:pPr>
        <w:widowControl w:val="0"/>
        <w:spacing w:line="360" w:lineRule="auto"/>
        <w:ind w:firstLine="1133"/>
        <w:jc w:val="both"/>
        <w:rPr>
          <w:rFonts w:ascii="Arial" w:eastAsia="Arial" w:hAnsi="Arial" w:cs="Arial"/>
        </w:rPr>
      </w:pPr>
      <w:r>
        <w:rPr>
          <w:rFonts w:ascii="Arial" w:eastAsia="Arial" w:hAnsi="Arial" w:cs="Arial"/>
        </w:rPr>
        <w:t>Os maiores valores de desvio padrão e coeficiente de variação foram no ponto da torneira do laboratório, com valores de desvio de 1,03 em 2016 e, 1,68, em 2018, e valores de coeficiente de 5,88% e 8,5%, respectivamente. No entanto, estes valores são considerados desprezíveis, já que todos os pontos apresentaram valores de coeficiente de variação abaixo de 10%, constatando a baixa variação dos resultados nos anos analisados.</w:t>
      </w:r>
    </w:p>
    <w:p w:rsidR="00E512EA" w:rsidRDefault="00F511FF">
      <w:pPr>
        <w:pBdr>
          <w:top w:val="nil"/>
          <w:left w:val="nil"/>
          <w:bottom w:val="nil"/>
          <w:right w:val="nil"/>
          <w:between w:val="nil"/>
        </w:pBdr>
        <w:spacing w:line="360" w:lineRule="auto"/>
        <w:jc w:val="center"/>
        <w:rPr>
          <w:rFonts w:ascii="Arial" w:eastAsia="Arial" w:hAnsi="Arial" w:cs="Arial"/>
        </w:rPr>
      </w:pPr>
      <w:r>
        <w:rPr>
          <w:rFonts w:ascii="Arial" w:eastAsia="Arial" w:hAnsi="Arial" w:cs="Arial"/>
          <w:b/>
          <w:color w:val="000000"/>
        </w:rPr>
        <w:lastRenderedPageBreak/>
        <w:t>CON</w:t>
      </w:r>
      <w:r>
        <w:rPr>
          <w:rFonts w:ascii="Arial" w:eastAsia="Arial" w:hAnsi="Arial" w:cs="Arial"/>
          <w:b/>
        </w:rPr>
        <w:t>CLUSÕES</w:t>
      </w:r>
    </w:p>
    <w:p w:rsidR="00E512EA" w:rsidRDefault="00E512EA">
      <w:pPr>
        <w:pBdr>
          <w:top w:val="nil"/>
          <w:left w:val="nil"/>
          <w:bottom w:val="nil"/>
          <w:right w:val="nil"/>
          <w:between w:val="nil"/>
        </w:pBdr>
        <w:ind w:firstLine="1133"/>
        <w:rPr>
          <w:rFonts w:ascii="Arial" w:eastAsia="Arial" w:hAnsi="Arial" w:cs="Arial"/>
        </w:rPr>
      </w:pP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As análises das águas subterrâneas do Campus Camboriú são de suma importância, tendo em vista que possuem a finalidade de monitorar a qualidade das águas, no que se refere aos padrões de potabilidade.</w:t>
      </w:r>
    </w:p>
    <w:p w:rsidR="00E512EA" w:rsidRDefault="00F511FF">
      <w:pPr>
        <w:pBdr>
          <w:top w:val="nil"/>
          <w:left w:val="nil"/>
          <w:bottom w:val="nil"/>
          <w:right w:val="nil"/>
          <w:between w:val="nil"/>
        </w:pBdr>
        <w:spacing w:line="360" w:lineRule="auto"/>
        <w:ind w:firstLine="1133"/>
        <w:jc w:val="both"/>
        <w:rPr>
          <w:rFonts w:ascii="Arial" w:eastAsia="Arial" w:hAnsi="Arial" w:cs="Arial"/>
        </w:rPr>
      </w:pPr>
      <w:r>
        <w:rPr>
          <w:rFonts w:ascii="Arial" w:eastAsia="Arial" w:hAnsi="Arial" w:cs="Arial"/>
        </w:rPr>
        <w:t>A partir destas análises e das feitas nos anos anteriores, é possível constatar que, no ponto da mangueira de limpeza do setor de bovino de leite, há maior concentração de cloreto, com o atual valor de 28,72 mg de Cl</w:t>
      </w:r>
      <w:r>
        <w:rPr>
          <w:rFonts w:ascii="Arial" w:eastAsia="Arial" w:hAnsi="Arial" w:cs="Arial"/>
          <w:vertAlign w:val="superscript"/>
        </w:rPr>
        <w:t>-</w:t>
      </w:r>
      <w:r>
        <w:rPr>
          <w:rFonts w:ascii="Arial" w:eastAsia="Arial" w:hAnsi="Arial" w:cs="Arial"/>
        </w:rPr>
        <w:t>/L, enquanto, no ponto da torneira da EPAGRI, os resultados apontam menor quantidade deste íon, com a concentração de 19,06 mg de Cl</w:t>
      </w:r>
      <w:r>
        <w:rPr>
          <w:rFonts w:ascii="Arial" w:eastAsia="Arial" w:hAnsi="Arial" w:cs="Arial"/>
          <w:vertAlign w:val="superscript"/>
        </w:rPr>
        <w:t>-</w:t>
      </w:r>
      <w:r>
        <w:rPr>
          <w:rFonts w:ascii="Arial" w:eastAsia="Arial" w:hAnsi="Arial" w:cs="Arial"/>
        </w:rPr>
        <w:t>/L. Nos dois anos analisados, as águas encontram-se em conformidade com o limite de 250 mg/L de cloreto, estabelecido pela Portaria 2.914/2011 do Ministério da Saúde.</w:t>
      </w:r>
    </w:p>
    <w:p w:rsidR="00E512EA" w:rsidRDefault="00E512EA">
      <w:pPr>
        <w:pBdr>
          <w:top w:val="nil"/>
          <w:left w:val="nil"/>
          <w:bottom w:val="nil"/>
          <w:right w:val="nil"/>
          <w:between w:val="nil"/>
        </w:pBdr>
        <w:spacing w:line="360" w:lineRule="auto"/>
        <w:ind w:firstLine="1133"/>
        <w:jc w:val="both"/>
        <w:rPr>
          <w:rFonts w:ascii="Arial" w:eastAsia="Arial" w:hAnsi="Arial" w:cs="Arial"/>
        </w:rPr>
      </w:pPr>
    </w:p>
    <w:p w:rsidR="00E512EA" w:rsidRDefault="00E512EA">
      <w:pPr>
        <w:pBdr>
          <w:top w:val="nil"/>
          <w:left w:val="nil"/>
          <w:bottom w:val="nil"/>
          <w:right w:val="nil"/>
          <w:between w:val="nil"/>
        </w:pBdr>
        <w:spacing w:line="360" w:lineRule="auto"/>
        <w:ind w:firstLine="1133"/>
        <w:jc w:val="both"/>
        <w:rPr>
          <w:rFonts w:ascii="Arial" w:eastAsia="Arial" w:hAnsi="Arial" w:cs="Arial"/>
        </w:rPr>
      </w:pPr>
    </w:p>
    <w:p w:rsidR="00E512EA" w:rsidRDefault="00F511FF">
      <w:pPr>
        <w:pBdr>
          <w:top w:val="nil"/>
          <w:left w:val="nil"/>
          <w:bottom w:val="nil"/>
          <w:right w:val="nil"/>
          <w:between w:val="nil"/>
        </w:pBdr>
        <w:spacing w:line="360" w:lineRule="auto"/>
        <w:jc w:val="center"/>
        <w:rPr>
          <w:rFonts w:ascii="Arial" w:eastAsia="Arial" w:hAnsi="Arial" w:cs="Arial"/>
        </w:rPr>
      </w:pPr>
      <w:r>
        <w:rPr>
          <w:rFonts w:ascii="Arial" w:eastAsia="Arial" w:hAnsi="Arial" w:cs="Arial"/>
          <w:b/>
          <w:color w:val="000000"/>
        </w:rPr>
        <w:t>REFERÊNCIA</w:t>
      </w:r>
      <w:r>
        <w:rPr>
          <w:rFonts w:ascii="Arial" w:eastAsia="Arial" w:hAnsi="Arial" w:cs="Arial"/>
          <w:b/>
        </w:rPr>
        <w:t>S</w:t>
      </w:r>
    </w:p>
    <w:p w:rsidR="00E512EA" w:rsidRDefault="00E512EA">
      <w:pPr>
        <w:pBdr>
          <w:top w:val="nil"/>
          <w:left w:val="nil"/>
          <w:bottom w:val="nil"/>
          <w:right w:val="nil"/>
          <w:between w:val="nil"/>
        </w:pBdr>
        <w:rPr>
          <w:rFonts w:ascii="Arial" w:eastAsia="Arial" w:hAnsi="Arial" w:cs="Arial"/>
        </w:rPr>
      </w:pPr>
    </w:p>
    <w:p w:rsidR="00E512EA" w:rsidRDefault="00F511FF" w:rsidP="009059F0">
      <w:pPr>
        <w:pBdr>
          <w:top w:val="nil"/>
          <w:left w:val="nil"/>
          <w:bottom w:val="nil"/>
          <w:right w:val="nil"/>
          <w:between w:val="nil"/>
        </w:pBdr>
        <w:jc w:val="both"/>
        <w:rPr>
          <w:rFonts w:ascii="Arial" w:eastAsia="Arial" w:hAnsi="Arial" w:cs="Arial"/>
        </w:rPr>
      </w:pPr>
      <w:r>
        <w:rPr>
          <w:rFonts w:ascii="Arial" w:eastAsia="Arial" w:hAnsi="Arial" w:cs="Arial"/>
        </w:rPr>
        <w:t>BRASIL. Ministério da Saúde. Portaria nº 2914 de 12 de dezembro de 2011. Disponível em: &lt;http://bvsms.saude.gov.br/bvs/saudelegis/gm/2011/prt2914_12_12_2011.html&gt;. Acesso em: 02 ago. 2018.</w:t>
      </w:r>
    </w:p>
    <w:p w:rsidR="00E512EA" w:rsidRDefault="00E512EA" w:rsidP="009059F0">
      <w:pPr>
        <w:pBdr>
          <w:top w:val="nil"/>
          <w:left w:val="nil"/>
          <w:bottom w:val="nil"/>
          <w:right w:val="nil"/>
          <w:between w:val="nil"/>
        </w:pBdr>
        <w:jc w:val="both"/>
        <w:rPr>
          <w:rFonts w:ascii="Arial" w:eastAsia="Arial" w:hAnsi="Arial" w:cs="Arial"/>
          <w:b/>
        </w:rPr>
      </w:pPr>
    </w:p>
    <w:p w:rsidR="00E512EA" w:rsidRDefault="00F511FF" w:rsidP="009059F0">
      <w:pPr>
        <w:pBdr>
          <w:top w:val="nil"/>
          <w:left w:val="nil"/>
          <w:bottom w:val="nil"/>
          <w:right w:val="nil"/>
          <w:between w:val="nil"/>
        </w:pBdr>
        <w:jc w:val="both"/>
        <w:rPr>
          <w:rFonts w:ascii="Arial" w:eastAsia="Arial" w:hAnsi="Arial" w:cs="Arial"/>
        </w:rPr>
      </w:pPr>
      <w:r>
        <w:rPr>
          <w:rFonts w:ascii="Arial" w:eastAsia="Arial" w:hAnsi="Arial" w:cs="Arial"/>
        </w:rPr>
        <w:t xml:space="preserve">MACÊDO, Jorge Antônio Barros de. </w:t>
      </w:r>
      <w:r>
        <w:rPr>
          <w:rFonts w:ascii="Arial" w:eastAsia="Arial" w:hAnsi="Arial" w:cs="Arial"/>
          <w:b/>
        </w:rPr>
        <w:t>Métodos laboratoriais de análises físico-químicas e microbiológicas</w:t>
      </w:r>
      <w:r>
        <w:rPr>
          <w:rFonts w:ascii="Arial" w:eastAsia="Arial" w:hAnsi="Arial" w:cs="Arial"/>
        </w:rPr>
        <w:t>. 2 ed. Belo Horizonte: CRQ-MG, 2003. 450p.</w:t>
      </w:r>
    </w:p>
    <w:p w:rsidR="00E512EA" w:rsidRDefault="00E512EA" w:rsidP="009059F0">
      <w:pPr>
        <w:pBdr>
          <w:top w:val="nil"/>
          <w:left w:val="nil"/>
          <w:bottom w:val="nil"/>
          <w:right w:val="nil"/>
          <w:between w:val="nil"/>
        </w:pBdr>
        <w:jc w:val="both"/>
        <w:rPr>
          <w:rFonts w:ascii="Arial" w:eastAsia="Arial" w:hAnsi="Arial" w:cs="Arial"/>
          <w:b/>
        </w:rPr>
      </w:pPr>
    </w:p>
    <w:p w:rsidR="00E512EA" w:rsidRDefault="00F511FF" w:rsidP="009059F0">
      <w:pPr>
        <w:pBdr>
          <w:top w:val="nil"/>
          <w:left w:val="nil"/>
          <w:bottom w:val="nil"/>
          <w:right w:val="nil"/>
          <w:between w:val="nil"/>
        </w:pBdr>
        <w:jc w:val="both"/>
        <w:rPr>
          <w:rFonts w:ascii="Arial" w:eastAsia="Arial" w:hAnsi="Arial" w:cs="Arial"/>
        </w:rPr>
      </w:pPr>
      <w:r>
        <w:rPr>
          <w:rFonts w:ascii="Arial" w:eastAsia="Arial" w:hAnsi="Arial" w:cs="Arial"/>
        </w:rPr>
        <w:t>MACHADO, Pedro José de Oliveira;</w:t>
      </w:r>
      <w:bookmarkStart w:id="0" w:name="_GoBack"/>
      <w:bookmarkEnd w:id="0"/>
      <w:r>
        <w:rPr>
          <w:rFonts w:ascii="Arial" w:eastAsia="Arial" w:hAnsi="Arial" w:cs="Arial"/>
        </w:rPr>
        <w:t xml:space="preserve"> TORRES, Filipe </w:t>
      </w:r>
      <w:proofErr w:type="spellStart"/>
      <w:r>
        <w:rPr>
          <w:rFonts w:ascii="Arial" w:eastAsia="Arial" w:hAnsi="Arial" w:cs="Arial"/>
        </w:rPr>
        <w:t>Tamiozzo</w:t>
      </w:r>
      <w:proofErr w:type="spellEnd"/>
      <w:r>
        <w:rPr>
          <w:rFonts w:ascii="Arial" w:eastAsia="Arial" w:hAnsi="Arial" w:cs="Arial"/>
        </w:rPr>
        <w:t xml:space="preserve"> Pereira. </w:t>
      </w:r>
      <w:r>
        <w:rPr>
          <w:rFonts w:ascii="Arial" w:eastAsia="Arial" w:hAnsi="Arial" w:cs="Arial"/>
          <w:b/>
        </w:rPr>
        <w:t xml:space="preserve">Introdução à </w:t>
      </w:r>
      <w:proofErr w:type="spellStart"/>
      <w:r>
        <w:rPr>
          <w:rFonts w:ascii="Arial" w:eastAsia="Arial" w:hAnsi="Arial" w:cs="Arial"/>
          <w:b/>
        </w:rPr>
        <w:t>hidrogeografia</w:t>
      </w:r>
      <w:proofErr w:type="spellEnd"/>
      <w:r>
        <w:rPr>
          <w:rFonts w:ascii="Arial" w:eastAsia="Arial" w:hAnsi="Arial" w:cs="Arial"/>
        </w:rPr>
        <w:t xml:space="preserve">. São Paulo: </w:t>
      </w:r>
      <w:proofErr w:type="spellStart"/>
      <w:r>
        <w:rPr>
          <w:rFonts w:ascii="Arial" w:eastAsia="Arial" w:hAnsi="Arial" w:cs="Arial"/>
        </w:rPr>
        <w:t>Cengage</w:t>
      </w:r>
      <w:proofErr w:type="spellEnd"/>
      <w:r>
        <w:rPr>
          <w:rFonts w:ascii="Arial" w:eastAsia="Arial" w:hAnsi="Arial" w:cs="Arial"/>
        </w:rPr>
        <w:t xml:space="preserve"> Learning, 2012. 178p.</w:t>
      </w:r>
    </w:p>
    <w:p w:rsidR="00E512EA" w:rsidRDefault="00E512EA" w:rsidP="009059F0">
      <w:pPr>
        <w:pBdr>
          <w:top w:val="nil"/>
          <w:left w:val="nil"/>
          <w:bottom w:val="nil"/>
          <w:right w:val="nil"/>
          <w:between w:val="nil"/>
        </w:pBdr>
        <w:jc w:val="both"/>
        <w:rPr>
          <w:rFonts w:ascii="Arial" w:eastAsia="Arial" w:hAnsi="Arial" w:cs="Arial"/>
        </w:rPr>
      </w:pPr>
    </w:p>
    <w:p w:rsidR="00E512EA" w:rsidRDefault="00F511FF" w:rsidP="009059F0">
      <w:pPr>
        <w:pBdr>
          <w:top w:val="nil"/>
          <w:left w:val="nil"/>
          <w:bottom w:val="nil"/>
          <w:right w:val="nil"/>
          <w:between w:val="nil"/>
        </w:pBdr>
        <w:jc w:val="both"/>
        <w:rPr>
          <w:rFonts w:ascii="Arial" w:eastAsia="Arial" w:hAnsi="Arial" w:cs="Arial"/>
        </w:rPr>
      </w:pPr>
      <w:r>
        <w:rPr>
          <w:rFonts w:ascii="Arial" w:eastAsia="Arial" w:hAnsi="Arial" w:cs="Arial"/>
        </w:rPr>
        <w:t xml:space="preserve">MAÇANEIRO, Amanda </w:t>
      </w:r>
      <w:proofErr w:type="spellStart"/>
      <w:r>
        <w:rPr>
          <w:rFonts w:ascii="Arial" w:eastAsia="Arial" w:hAnsi="Arial" w:cs="Arial"/>
        </w:rPr>
        <w:t>Henn</w:t>
      </w:r>
      <w:proofErr w:type="spellEnd"/>
      <w:r>
        <w:rPr>
          <w:rFonts w:ascii="Arial" w:eastAsia="Arial" w:hAnsi="Arial" w:cs="Arial"/>
        </w:rPr>
        <w:t xml:space="preserve"> </w:t>
      </w:r>
      <w:r>
        <w:rPr>
          <w:rFonts w:ascii="Arial" w:eastAsia="Arial" w:hAnsi="Arial" w:cs="Arial"/>
          <w:i/>
        </w:rPr>
        <w:t xml:space="preserve">et al. </w:t>
      </w:r>
      <w:r>
        <w:rPr>
          <w:rFonts w:ascii="Arial" w:eastAsia="Arial" w:hAnsi="Arial" w:cs="Arial"/>
          <w:b/>
        </w:rPr>
        <w:t>Análises físico-químicas das águas subterrâneas do Instituto Federal Catarinense - Campus Camboriú</w:t>
      </w:r>
      <w:r>
        <w:rPr>
          <w:rFonts w:ascii="Arial" w:eastAsia="Arial" w:hAnsi="Arial" w:cs="Arial"/>
        </w:rPr>
        <w:t xml:space="preserve">. In: FEIRA DE INICIAÇÃO CIENTÍFICA E EXTENSÃO, 8, 2017, Camboriú. Resumo expandido. Camboriú: IFC - Campus Camboriú, 2017. p. 1 - 6. </w:t>
      </w:r>
    </w:p>
    <w:p w:rsidR="00E512EA" w:rsidRDefault="00E512EA">
      <w:pPr>
        <w:widowControl w:val="0"/>
        <w:rPr>
          <w:rFonts w:ascii="Arial" w:eastAsia="Arial" w:hAnsi="Arial" w:cs="Arial"/>
        </w:rPr>
      </w:pPr>
    </w:p>
    <w:p w:rsidR="00E512EA" w:rsidRDefault="00E512EA">
      <w:pPr>
        <w:widowControl w:val="0"/>
        <w:rPr>
          <w:rFonts w:ascii="Arial" w:eastAsia="Arial" w:hAnsi="Arial" w:cs="Arial"/>
        </w:rPr>
      </w:pPr>
    </w:p>
    <w:sectPr w:rsidR="00E512EA">
      <w:headerReference w:type="default" r:id="rId8"/>
      <w:footerReference w:type="default" r:id="rId9"/>
      <w:headerReference w:type="first" r:id="rId10"/>
      <w:footerReference w:type="first" r:id="rId11"/>
      <w:pgSz w:w="11906" w:h="16838"/>
      <w:pgMar w:top="1701" w:right="1134" w:bottom="1134" w:left="170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335" w:rsidRDefault="008D5335">
      <w:r>
        <w:separator/>
      </w:r>
    </w:p>
  </w:endnote>
  <w:endnote w:type="continuationSeparator" w:id="0">
    <w:p w:rsidR="008D5335" w:rsidRDefault="008D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as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EA" w:rsidRDefault="00E512EA">
    <w:pPr>
      <w:jc w:val="both"/>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EA" w:rsidRDefault="00E512E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335" w:rsidRDefault="008D5335">
      <w:r>
        <w:separator/>
      </w:r>
    </w:p>
  </w:footnote>
  <w:footnote w:type="continuationSeparator" w:id="0">
    <w:p w:rsidR="008D5335" w:rsidRDefault="008D5335">
      <w:r>
        <w:continuationSeparator/>
      </w:r>
    </w:p>
  </w:footnote>
  <w:footnote w:id="1">
    <w:p w:rsidR="00E512EA" w:rsidRDefault="00F511FF">
      <w:pPr>
        <w:rPr>
          <w:rFonts w:ascii="Arial" w:eastAsia="Arial" w:hAnsi="Arial" w:cs="Arial"/>
          <w:sz w:val="18"/>
          <w:szCs w:val="18"/>
        </w:rPr>
      </w:pPr>
      <w:r>
        <w:rPr>
          <w:vertAlign w:val="superscript"/>
        </w:rPr>
        <w:footnoteRef/>
      </w:r>
      <w:r>
        <w:rPr>
          <w:sz w:val="20"/>
          <w:szCs w:val="20"/>
          <w:vertAlign w:val="superscript"/>
        </w:rPr>
        <w:t xml:space="preserve"> </w:t>
      </w:r>
      <w:r>
        <w:rPr>
          <w:rFonts w:ascii="Arial" w:eastAsia="Arial" w:hAnsi="Arial" w:cs="Arial"/>
          <w:sz w:val="20"/>
          <w:szCs w:val="20"/>
        </w:rPr>
        <w:t xml:space="preserve"> </w:t>
      </w:r>
      <w:r>
        <w:rPr>
          <w:rFonts w:ascii="Arial" w:eastAsia="Arial" w:hAnsi="Arial" w:cs="Arial"/>
          <w:sz w:val="18"/>
          <w:szCs w:val="18"/>
        </w:rPr>
        <w:t>Estudante do curso de Controle Ambiental IFC - Campus Camboriú. E-mail: karinesilvanini6@gmail.com</w:t>
      </w:r>
    </w:p>
    <w:p w:rsidR="00E512EA" w:rsidRDefault="00F511FF">
      <w:pPr>
        <w:jc w:val="both"/>
        <w:rPr>
          <w:rFonts w:ascii="Arial" w:eastAsia="Arial" w:hAnsi="Arial" w:cs="Arial"/>
          <w:sz w:val="18"/>
          <w:szCs w:val="18"/>
        </w:rPr>
      </w:pPr>
      <w:proofErr w:type="gramStart"/>
      <w:r>
        <w:rPr>
          <w:rFonts w:ascii="Arial" w:eastAsia="Arial" w:hAnsi="Arial" w:cs="Arial"/>
          <w:sz w:val="18"/>
          <w:szCs w:val="18"/>
          <w:vertAlign w:val="superscript"/>
        </w:rPr>
        <w:t xml:space="preserve">2  </w:t>
      </w:r>
      <w:r>
        <w:rPr>
          <w:rFonts w:ascii="Arial" w:eastAsia="Arial" w:hAnsi="Arial" w:cs="Arial"/>
          <w:sz w:val="18"/>
          <w:szCs w:val="18"/>
        </w:rPr>
        <w:t>Estudante</w:t>
      </w:r>
      <w:proofErr w:type="gramEnd"/>
      <w:r>
        <w:rPr>
          <w:rFonts w:ascii="Arial" w:eastAsia="Arial" w:hAnsi="Arial" w:cs="Arial"/>
          <w:sz w:val="18"/>
          <w:szCs w:val="18"/>
        </w:rPr>
        <w:t xml:space="preserve"> do curso de Controle Ambiental IFC - Campus Camboriú. E-mail: nicoledietrichm@gmail.com</w:t>
      </w:r>
    </w:p>
    <w:p w:rsidR="00E512EA" w:rsidRDefault="00F511FF">
      <w:pPr>
        <w:jc w:val="both"/>
        <w:rPr>
          <w:rFonts w:ascii="Arial" w:eastAsia="Arial" w:hAnsi="Arial" w:cs="Arial"/>
          <w:sz w:val="18"/>
          <w:szCs w:val="18"/>
        </w:rPr>
      </w:pPr>
      <w:r>
        <w:rPr>
          <w:rFonts w:ascii="Arial" w:eastAsia="Arial" w:hAnsi="Arial" w:cs="Arial"/>
          <w:sz w:val="18"/>
          <w:szCs w:val="18"/>
          <w:vertAlign w:val="superscript"/>
        </w:rPr>
        <w:t>3</w:t>
      </w:r>
      <w:r>
        <w:rPr>
          <w:rFonts w:ascii="Arial" w:eastAsia="Arial" w:hAnsi="Arial" w:cs="Arial"/>
          <w:sz w:val="18"/>
          <w:szCs w:val="18"/>
        </w:rPr>
        <w:t xml:space="preserve"> Doutor em Química, UFSC; Professor do IFC - Campus Camboriú. E-mail: adriano.martendal@ifc.edu.br</w:t>
      </w:r>
    </w:p>
    <w:p w:rsidR="00E512EA" w:rsidRDefault="00F511FF">
      <w:pPr>
        <w:jc w:val="both"/>
        <w:rPr>
          <w:sz w:val="20"/>
          <w:szCs w:val="20"/>
          <w:vertAlign w:val="superscript"/>
        </w:rPr>
      </w:pPr>
      <w:r>
        <w:rPr>
          <w:rFonts w:ascii="Arial" w:eastAsia="Arial" w:hAnsi="Arial" w:cs="Arial"/>
          <w:sz w:val="18"/>
          <w:szCs w:val="18"/>
          <w:vertAlign w:val="superscript"/>
        </w:rPr>
        <w:t>4</w:t>
      </w:r>
      <w:r>
        <w:rPr>
          <w:rFonts w:ascii="Arial" w:eastAsia="Arial" w:hAnsi="Arial" w:cs="Arial"/>
          <w:sz w:val="18"/>
          <w:szCs w:val="18"/>
        </w:rPr>
        <w:t xml:space="preserve"> Doutora em Química, UFSC; Professora do IFC - Campus Camboriú. E-mail: ana.teixeira@ifc.edu.br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EA" w:rsidRDefault="00E512EA">
    <w:pPr>
      <w:rPr>
        <w:rFonts w:ascii="Calibri" w:eastAsia="Calibri" w:hAnsi="Calibri" w:cs="Calibri"/>
        <w:sz w:val="20"/>
        <w:szCs w:val="20"/>
      </w:rPr>
    </w:pPr>
  </w:p>
  <w:p w:rsidR="00E512EA" w:rsidRDefault="00E512EA">
    <w:pPr>
      <w:rPr>
        <w:rFonts w:ascii="Calibri" w:eastAsia="Calibri" w:hAnsi="Calibri" w:cs="Calibri"/>
        <w:sz w:val="20"/>
        <w:szCs w:val="20"/>
      </w:rPr>
    </w:pPr>
  </w:p>
  <w:p w:rsidR="00E512EA" w:rsidRDefault="00F511FF">
    <w:pPr>
      <w:jc w:val="center"/>
      <w:rPr>
        <w:rFonts w:ascii="Calibri" w:eastAsia="Calibri" w:hAnsi="Calibri" w:cs="Calibri"/>
        <w:sz w:val="20"/>
        <w:szCs w:val="20"/>
      </w:rPr>
    </w:pPr>
    <w:r>
      <w:rPr>
        <w:rFonts w:ascii="Calibri" w:eastAsia="Calibri" w:hAnsi="Calibri" w:cs="Calibri"/>
        <w:noProof/>
        <w:sz w:val="20"/>
        <w:szCs w:val="20"/>
      </w:rPr>
      <w:drawing>
        <wp:inline distT="0" distB="0" distL="0" distR="0">
          <wp:extent cx="3619474" cy="5840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p w:rsidR="00E512EA" w:rsidRDefault="00E512EA">
    <w:pPr>
      <w:jc w:val="center"/>
      <w:rPr>
        <w:rFonts w:ascii="Calibri" w:eastAsia="Calibri" w:hAnsi="Calibri" w:cs="Calibr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EA" w:rsidRDefault="00E512E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D4B51"/>
    <w:multiLevelType w:val="multilevel"/>
    <w:tmpl w:val="44AA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12EA"/>
    <w:rsid w:val="00241F5F"/>
    <w:rsid w:val="00756457"/>
    <w:rsid w:val="008D5335"/>
    <w:rsid w:val="009059F0"/>
    <w:rsid w:val="00A47B36"/>
    <w:rsid w:val="00E512EA"/>
    <w:rsid w:val="00F51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4018"/>
  <w15:docId w15:val="{9F7809E6-5624-4138-B8DE-2CA42395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asa" w:eastAsia="Rasa" w:hAnsi="Rasa" w:cs="Rasa"/>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241F5F"/>
    <w:rPr>
      <w:rFonts w:ascii="Tahoma" w:hAnsi="Tahoma" w:cs="Tahoma"/>
      <w:sz w:val="16"/>
      <w:szCs w:val="16"/>
    </w:rPr>
  </w:style>
  <w:style w:type="character" w:customStyle="1" w:styleId="TextodebaloChar">
    <w:name w:val="Texto de balão Char"/>
    <w:basedOn w:val="Fontepargpadro"/>
    <w:link w:val="Textodebalo"/>
    <w:uiPriority w:val="99"/>
    <w:semiHidden/>
    <w:rsid w:val="00241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1653</Words>
  <Characters>8931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 IFC</dc:creator>
  <cp:lastModifiedBy>Cliente SI</cp:lastModifiedBy>
  <cp:revision>3</cp:revision>
  <dcterms:created xsi:type="dcterms:W3CDTF">2019-07-03T13:58:00Z</dcterms:created>
  <dcterms:modified xsi:type="dcterms:W3CDTF">2019-07-04T16:54:00Z</dcterms:modified>
</cp:coreProperties>
</file>