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FD67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PROPOSTA DE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RESTAURAÇÃO AMBIENTAL </w:t>
      </w:r>
      <w:r>
        <w:rPr>
          <w:rFonts w:ascii="Arial" w:eastAsia="Arial" w:hAnsi="Arial" w:cs="Arial"/>
          <w:b/>
          <w:sz w:val="24"/>
          <w:szCs w:val="24"/>
        </w:rPr>
        <w:t>DE UMA ÁREA DEGRADADA COM A UTILIZAÇÃO DA ADUBAÇÃO VERDE</w:t>
      </w:r>
    </w:p>
    <w:p w14:paraId="7F660166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Karine de Melo Alves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i/>
          <w:color w:val="000000"/>
          <w:sz w:val="24"/>
          <w:szCs w:val="24"/>
        </w:rPr>
        <w:t>; Maria Eduarda Ferreira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Mondadori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i/>
          <w:sz w:val="24"/>
          <w:szCs w:val="24"/>
        </w:rPr>
        <w:t>; Cristalina Yoshimura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0750B3F9" w14:textId="0A732DC7" w:rsidR="00F94D15" w:rsidRDefault="00F9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FAFE895" w14:textId="77777777" w:rsidR="00263356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E150C22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487F426D" w14:textId="77777777" w:rsidR="00F94D15" w:rsidRDefault="00F9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552433C7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adubação verde é uma prática agrícola que consiste no plantio de espécies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vegetais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, cobrindo o terreno por determinado </w:t>
      </w:r>
      <w:proofErr w:type="gram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período de tempo</w:t>
      </w:r>
      <w:proofErr w:type="gram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Embora sejam cultivadas espécies de várias famílias botânicas como adubo verde, as</w:t>
      </w:r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Leguminosae</w:t>
      </w:r>
      <w:proofErr w:type="spellEnd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destacam-se por formar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em associação simbiótica com bactérias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nitrificadoras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de nitrogênio,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condição que pode auxiliar no processo de restauração de solos degradados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. Dentre essas leguminosas, destaca-se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Crotalaria</w:t>
      </w:r>
      <w:proofErr w:type="spellEnd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spectabilis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Cajanus</w:t>
      </w:r>
      <w:proofErr w:type="spellEnd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cajan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.  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Este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trabalho avali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ou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o potencial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de germinação e estabelecimento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em uma área em restauração ambiental. Com a germinação e estabelecimento dessas espécies de adubação verde, será possível avaliar seu potencial competitivo com a braquiária, uma espécie exótica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forrageira que impede o desenvolvimento da restauração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florestal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em áreas degradadas.</w:t>
      </w:r>
    </w:p>
    <w:p w14:paraId="68E32D83" w14:textId="77777777" w:rsidR="00F94D15" w:rsidRDefault="00F9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E55DAB8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Restauração florestal. Adubação verde. Crotalária.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Feijão-guandu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A65164D" w14:textId="77777777" w:rsidR="00263356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EB4C6C4" w14:textId="1A7A8C4D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283A4C35" w14:textId="77777777" w:rsidR="00F94D15" w:rsidRDefault="00F94D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F8A6298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5AF55D26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U</w:t>
      </w:r>
      <w:r>
        <w:rPr>
          <w:rFonts w:ascii="Arial" w:eastAsia="Arial" w:hAnsi="Arial" w:cs="Arial"/>
          <w:color w:val="00000A"/>
          <w:sz w:val="24"/>
          <w:szCs w:val="24"/>
        </w:rPr>
        <w:t>ma área degradada é a que teve eliminados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>a vegetação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os meios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bióticos de regeneração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(GHODDOSI </w:t>
      </w:r>
      <w:r>
        <w:rPr>
          <w:rFonts w:ascii="Arial" w:eastAsia="Arial" w:hAnsi="Arial" w:cs="Arial"/>
          <w:i/>
          <w:color w:val="00000A"/>
          <w:sz w:val="24"/>
          <w:szCs w:val="24"/>
        </w:rPr>
        <w:t>et al</w:t>
      </w:r>
      <w:r>
        <w:rPr>
          <w:rFonts w:ascii="Arial" w:eastAsia="Arial" w:hAnsi="Arial" w:cs="Arial"/>
          <w:color w:val="00000A"/>
          <w:sz w:val="24"/>
          <w:szCs w:val="24"/>
        </w:rPr>
        <w:t>., 2009)</w:t>
      </w:r>
      <w:r>
        <w:rPr>
          <w:rFonts w:ascii="Arial" w:eastAsia="Arial" w:hAnsi="Arial" w:cs="Arial"/>
          <w:color w:val="00000A"/>
          <w:sz w:val="24"/>
          <w:szCs w:val="24"/>
        </w:rPr>
        <w:t>. Nestas áreas, pode ser necessário implementar ações destinad</w:t>
      </w:r>
      <w:r>
        <w:rPr>
          <w:rFonts w:ascii="Arial" w:eastAsia="Arial" w:hAnsi="Arial" w:cs="Arial"/>
          <w:color w:val="00000A"/>
          <w:sz w:val="24"/>
          <w:szCs w:val="24"/>
        </w:rPr>
        <w:t>as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à recuperação da capacidade do solo de sustentar o crescimento de plantas </w:t>
      </w:r>
      <w:r>
        <w:rPr>
          <w:rFonts w:ascii="Arial" w:eastAsia="Arial" w:hAnsi="Arial" w:cs="Arial"/>
          <w:color w:val="000000"/>
          <w:sz w:val="24"/>
          <w:szCs w:val="24"/>
        </w:rPr>
        <w:t>(GONÇALVES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et al.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2008). </w:t>
      </w:r>
      <w:r>
        <w:rPr>
          <w:rFonts w:ascii="Arial" w:eastAsia="Arial" w:hAnsi="Arial" w:cs="Arial"/>
          <w:sz w:val="24"/>
          <w:szCs w:val="24"/>
        </w:rPr>
        <w:t>Freitas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et al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(1988)</w:t>
      </w:r>
      <w:r>
        <w:rPr>
          <w:rFonts w:ascii="Arial" w:eastAsia="Arial" w:hAnsi="Arial" w:cs="Arial"/>
          <w:sz w:val="24"/>
          <w:szCs w:val="24"/>
        </w:rPr>
        <w:t xml:space="preserve"> afirmam que para</w:t>
      </w:r>
      <w:r>
        <w:rPr>
          <w:rFonts w:ascii="Arial" w:eastAsia="Arial" w:hAnsi="Arial" w:cs="Arial"/>
          <w:sz w:val="24"/>
          <w:szCs w:val="24"/>
        </w:rPr>
        <w:t xml:space="preserve"> um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solo degradado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uma das formas de recuperar sua fertilidade </w:t>
      </w:r>
      <w:proofErr w:type="gramStart"/>
      <w:r>
        <w:rPr>
          <w:rFonts w:ascii="Arial" w:eastAsia="Arial" w:hAnsi="Arial" w:cs="Arial"/>
          <w:sz w:val="24"/>
          <w:szCs w:val="24"/>
        </w:rPr>
        <w:t>é  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cultivo de adubos verdes, possibilitando melhor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 xml:space="preserve">-lo </w:t>
      </w:r>
      <w:r>
        <w:rPr>
          <w:rFonts w:ascii="Arial" w:eastAsia="Arial" w:hAnsi="Arial" w:cs="Arial"/>
          <w:sz w:val="24"/>
          <w:szCs w:val="24"/>
        </w:rPr>
        <w:t>e reduzir o uso de fertilizantes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Souza (1989), mostra que em áreas degradadas, o solo desprotegido pode perder seus nutrientes por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ixiviação. Além disso, </w:t>
      </w:r>
      <w:r>
        <w:rPr>
          <w:rFonts w:ascii="Arial" w:eastAsia="Arial" w:hAnsi="Arial" w:cs="Arial"/>
          <w:sz w:val="24"/>
          <w:szCs w:val="24"/>
        </w:rPr>
        <w:t>áreas</w:t>
      </w:r>
      <w:r>
        <w:rPr>
          <w:rFonts w:ascii="Arial" w:eastAsia="Arial" w:hAnsi="Arial" w:cs="Arial"/>
          <w:sz w:val="24"/>
          <w:szCs w:val="24"/>
        </w:rPr>
        <w:t xml:space="preserve"> sem cobertura estão mais sujeit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à erosão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em caso de enxurradas, a presença de cobertur</w:t>
      </w:r>
      <w:r>
        <w:rPr>
          <w:rFonts w:ascii="Arial" w:eastAsia="Arial" w:hAnsi="Arial" w:cs="Arial"/>
          <w:sz w:val="24"/>
          <w:szCs w:val="24"/>
        </w:rPr>
        <w:t>a vegetal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pode </w:t>
      </w:r>
      <w:r>
        <w:rPr>
          <w:rFonts w:ascii="Arial" w:eastAsia="Arial" w:hAnsi="Arial" w:cs="Arial"/>
          <w:sz w:val="24"/>
          <w:szCs w:val="24"/>
        </w:rPr>
        <w:t xml:space="preserve">reduzir </w:t>
      </w:r>
      <w:r>
        <w:rPr>
          <w:rFonts w:ascii="Arial" w:eastAsia="Arial" w:hAnsi="Arial" w:cs="Arial"/>
          <w:sz w:val="24"/>
          <w:szCs w:val="24"/>
        </w:rPr>
        <w:t>sua velocidade e a adubação verde pode auxiliar no controle de erosão.</w:t>
      </w:r>
    </w:p>
    <w:p w14:paraId="12036548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adubação verde, segundo Espíndola </w:t>
      </w:r>
      <w:r>
        <w:rPr>
          <w:rFonts w:ascii="Arial" w:eastAsia="Arial" w:hAnsi="Arial" w:cs="Arial"/>
          <w:i/>
          <w:sz w:val="24"/>
          <w:szCs w:val="24"/>
        </w:rPr>
        <w:t>et al</w:t>
      </w:r>
      <w:r>
        <w:rPr>
          <w:rFonts w:ascii="Arial" w:eastAsia="Arial" w:hAnsi="Arial" w:cs="Arial"/>
          <w:sz w:val="24"/>
          <w:szCs w:val="24"/>
        </w:rPr>
        <w:t xml:space="preserve">. (2005) </w:t>
      </w:r>
      <w:r>
        <w:rPr>
          <w:rFonts w:ascii="Arial" w:eastAsia="Arial" w:hAnsi="Arial" w:cs="Arial"/>
          <w:sz w:val="24"/>
          <w:szCs w:val="24"/>
        </w:rPr>
        <w:t>é uma prática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consiste no plantio de espécies vegetais. </w:t>
      </w:r>
      <w:r>
        <w:rPr>
          <w:rFonts w:ascii="Arial" w:eastAsia="Arial" w:hAnsi="Arial" w:cs="Arial"/>
          <w:sz w:val="24"/>
          <w:szCs w:val="24"/>
        </w:rPr>
        <w:t>Dentre essas espécies,</w:t>
      </w:r>
      <w:r>
        <w:rPr>
          <w:rFonts w:ascii="Arial" w:eastAsia="Arial" w:hAnsi="Arial" w:cs="Arial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família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Leguminosae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destaca-se por formar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izóbios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associações com bactérias que enriquecem o solo com nitrogênio assimilável pelas plantas.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Dentre essas leguminosas, destacam-se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Crotalaria</w:t>
      </w:r>
      <w:proofErr w:type="spellEnd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  <w:highlight w:val="white"/>
        </w:rPr>
        <w:t>spectabilis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, conhecida como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s</w:t>
      </w:r>
      <w:r>
        <w:rPr>
          <w:rFonts w:ascii="Arial" w:eastAsia="Arial" w:hAnsi="Arial" w:cs="Arial"/>
          <w:color w:val="00000A"/>
          <w:sz w:val="24"/>
          <w:szCs w:val="24"/>
        </w:rPr>
        <w:t>pectabilis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</w:rPr>
        <w:t>Cajanus</w:t>
      </w:r>
      <w:proofErr w:type="spellEnd"/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A"/>
          <w:sz w:val="24"/>
          <w:szCs w:val="24"/>
        </w:rPr>
        <w:t>cajans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>. A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pesar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</w:rPr>
        <w:lastRenderedPageBreak/>
        <w:t xml:space="preserve">serem espécies exóticas, estas não apresentam potencial invasor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(ZILLER, 2001), </w:t>
      </w:r>
      <w:r>
        <w:rPr>
          <w:rFonts w:ascii="Arial" w:eastAsia="Arial" w:hAnsi="Arial" w:cs="Arial"/>
          <w:color w:val="00000A"/>
          <w:sz w:val="24"/>
          <w:szCs w:val="24"/>
        </w:rPr>
        <w:t>ao contrário da gramínea exótica invasora braquiária</w:t>
      </w:r>
      <w:r>
        <w:rPr>
          <w:rFonts w:ascii="Arial" w:eastAsia="Arial" w:hAnsi="Arial" w:cs="Arial"/>
          <w:color w:val="00000A"/>
          <w:sz w:val="24"/>
          <w:szCs w:val="24"/>
        </w:rPr>
        <w:t>.</w:t>
      </w:r>
    </w:p>
    <w:p w14:paraId="275132E8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1134"/>
        <w:jc w:val="both"/>
        <w:rPr>
          <w:rFonts w:ascii="Arial" w:eastAsia="Arial" w:hAnsi="Arial" w:cs="Arial"/>
          <w:color w:val="00000A"/>
          <w:sz w:val="18"/>
          <w:szCs w:val="18"/>
          <w:highlight w:val="white"/>
        </w:rPr>
      </w:pPr>
      <w:r>
        <w:rPr>
          <w:rFonts w:ascii="Arial" w:eastAsia="Arial" w:hAnsi="Arial" w:cs="Arial"/>
          <w:color w:val="00000A"/>
          <w:sz w:val="24"/>
          <w:szCs w:val="24"/>
        </w:rPr>
        <w:t xml:space="preserve">De acordo com Reynolds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Pacala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(1993)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Schiwinning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Weiner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(199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8) </w:t>
      </w:r>
      <w:r>
        <w:rPr>
          <w:rFonts w:ascii="Arial" w:eastAsia="Arial" w:hAnsi="Arial" w:cs="Arial"/>
          <w:i/>
          <w:color w:val="00000A"/>
          <w:sz w:val="24"/>
          <w:szCs w:val="24"/>
        </w:rPr>
        <w:t xml:space="preserve">apud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Dias-Filho (2006), </w:t>
      </w:r>
      <w:r>
        <w:rPr>
          <w:rFonts w:ascii="Arial" w:eastAsia="Arial" w:hAnsi="Arial" w:cs="Arial"/>
          <w:color w:val="00000A"/>
          <w:sz w:val="24"/>
          <w:szCs w:val="24"/>
        </w:rPr>
        <w:t>a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s árvores e arbustos, por terem maior altura, 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são </w:t>
      </w:r>
      <w:r>
        <w:rPr>
          <w:rFonts w:ascii="Arial" w:eastAsia="Arial" w:hAnsi="Arial" w:cs="Arial"/>
          <w:color w:val="00000A"/>
          <w:sz w:val="24"/>
          <w:szCs w:val="24"/>
        </w:rPr>
        <w:t>melhores competidoras de luz, diminuindo a disponibilida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de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desta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para as gramíneas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, que por sua vez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podem ser mais eficientes em esgotar os recursos do solo em consequência da ma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ior abundância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de raízes.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Quanto mais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essas plantas aumenta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ssem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em massa e altura, elas se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tornariam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mais competitivas.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Pela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excelente adaptação das braquiárias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é necessário investigar a sua resposta 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somb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reamento (COSTA </w:t>
      </w:r>
      <w:r>
        <w:rPr>
          <w:rFonts w:ascii="Arial" w:eastAsia="Arial" w:hAnsi="Arial" w:cs="Arial"/>
          <w:i/>
          <w:color w:val="00000A"/>
          <w:sz w:val="24"/>
          <w:szCs w:val="24"/>
        </w:rPr>
        <w:t>et al.</w:t>
      </w:r>
      <w:r>
        <w:rPr>
          <w:rFonts w:ascii="Arial" w:eastAsia="Arial" w:hAnsi="Arial" w:cs="Arial"/>
          <w:color w:val="00000A"/>
          <w:sz w:val="24"/>
          <w:szCs w:val="24"/>
        </w:rPr>
        <w:t>, 1999), o que 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erá propiciado com o crescimento das espécies de adubação verde (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) cuja germinação foi avaliada no presente projeto.</w:t>
      </w:r>
    </w:p>
    <w:p w14:paraId="711AA726" w14:textId="3A07FE66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1134"/>
        <w:jc w:val="both"/>
        <w:rPr>
          <w:rFonts w:ascii="Arial" w:eastAsia="Arial" w:hAnsi="Arial" w:cs="Arial"/>
          <w:color w:val="FF0000"/>
          <w:sz w:val="18"/>
          <w:szCs w:val="18"/>
          <w:highlight w:val="white"/>
        </w:rPr>
      </w:pPr>
      <w:r>
        <w:rPr>
          <w:rFonts w:ascii="Arial" w:eastAsia="Arial" w:hAnsi="Arial" w:cs="Arial"/>
          <w:color w:val="FF0000"/>
          <w:sz w:val="18"/>
          <w:szCs w:val="18"/>
          <w:highlight w:val="white"/>
        </w:rPr>
        <w:t xml:space="preserve"> </w:t>
      </w:r>
    </w:p>
    <w:p w14:paraId="5FB76DFD" w14:textId="77777777" w:rsidR="00263356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1134"/>
        <w:jc w:val="both"/>
        <w:rPr>
          <w:rFonts w:ascii="Arial" w:eastAsia="Arial" w:hAnsi="Arial" w:cs="Arial"/>
          <w:color w:val="FF0000"/>
          <w:sz w:val="18"/>
          <w:szCs w:val="18"/>
          <w:highlight w:val="white"/>
        </w:rPr>
      </w:pPr>
    </w:p>
    <w:p w14:paraId="268B57D7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1134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4AB59079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 cidade de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Camboriú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SC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(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>27°01'00.0"S 48°39'56.6"W)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está localizada </w:t>
      </w:r>
      <w:r>
        <w:rPr>
          <w:rFonts w:ascii="Arial" w:eastAsia="Arial" w:hAnsi="Arial" w:cs="Arial"/>
          <w:sz w:val="24"/>
          <w:szCs w:val="24"/>
          <w:highlight w:val="white"/>
        </w:rPr>
        <w:t>na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Mata Atlântica, possuindo clima quente e temperado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 acordo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Köppen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o clima é classificado como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Cfa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a temperatura média é 20,1 °C e a pluviosidade média anual é 1.569 mm </w:t>
      </w:r>
      <w:r>
        <w:rPr>
          <w:rFonts w:ascii="Arial" w:eastAsia="Arial" w:hAnsi="Arial" w:cs="Arial"/>
          <w:color w:val="000000"/>
          <w:sz w:val="24"/>
          <w:szCs w:val="24"/>
        </w:rPr>
        <w:t>(CLIMA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…,[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201-?]). 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área </w:t>
      </w:r>
      <w:r>
        <w:rPr>
          <w:rFonts w:ascii="Arial" w:eastAsia="Arial" w:hAnsi="Arial" w:cs="Arial"/>
          <w:sz w:val="24"/>
          <w:szCs w:val="24"/>
          <w:highlight w:val="white"/>
        </w:rPr>
        <w:t>do experimento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encontrava-se tomad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por braquiária e por mal-me-quer-do brejo (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Sphagneticola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trilobata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), onde 90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indivíduos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 espécies nativas foram 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plantadas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em 2015 e 2017.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 experimento foi conduzido entre maio e setembro de 2018</w:t>
      </w:r>
      <w:r>
        <w:rPr>
          <w:rFonts w:ascii="Arial" w:eastAsia="Arial" w:hAnsi="Arial" w:cs="Arial"/>
          <w:sz w:val="24"/>
          <w:szCs w:val="24"/>
          <w:highlight w:val="white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no Instituto Federal Catarinense –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Campus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Camboriú. </w:t>
      </w:r>
    </w:p>
    <w:p w14:paraId="327442BB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             </w:t>
      </w: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2B13F77E" wp14:editId="380A7185">
            <wp:extent cx="4658678" cy="15501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1550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0D26E" w14:textId="77777777" w:rsidR="00F94D15" w:rsidRDefault="00263356">
      <w:pPr>
        <w:widowControl w:val="0"/>
        <w:spacing w:before="240"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Figura 1: Localização do município de Camboriú em Santa Catarina, com destaque para o local onde o projeto foi desenvolvido. 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Fonte: Arquivo próprio.</w:t>
      </w:r>
    </w:p>
    <w:p w14:paraId="39059F47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1133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O projeto foi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realizado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em 3 etapas: semeadura e análise da germinação das espécies; monitoramento e análise do crescimento d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as mesmas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análise do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lastRenderedPageBreak/>
        <w:t>potencial de competição das espécies de adubação verde com braquiária. A primeira etapa foi dividida em 5 atividades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. i.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 local fo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i roçado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em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12 de abril de 2018 (outono)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após,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foi aplicado o herbicida glifosato,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para inibir o crescimento de braquiária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ii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. Medição da área: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local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apresentava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72 m de comprimento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largura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entre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7,8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a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24,5 m (Figura 2).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iii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.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 área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foi dividid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em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3 módulos de 24 m de comprimento cada, sendo que cada módulo foi subdividido em 3 parcelas de 8 m cada.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iv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. Foram sorteados os tr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ês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tratamentos (Crotalária,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Feijão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e Braquiária) em cada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módulo. v. Plantio das leguminosas nos dias 12/0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7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(parcelas 1 e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3), 08/08 (parcelas 5 e 6) e 09/08 (parcelas 8 e 9). </w:t>
      </w:r>
    </w:p>
    <w:p w14:paraId="27BC2E0D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N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 atividade v, 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foi plantada em covas de aproximadamente 5 cm de profundidade com distância de 50 cm entre elas, nas quais foram colocadas de 3 a 5 sementes. O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também foi pla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ntado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com as mesmas distâncias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, mas somente uma semente por cova. As parcelas d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adubação verde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continham 5 linhas de plantio cada. Já no tratamento de braquiária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(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controle), foi destinado ao monitoramento do crescimento da braquiária e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mal-me-quer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ab/>
      </w:r>
    </w:p>
    <w:p w14:paraId="793F7898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drawing>
          <wp:inline distT="0" distB="0" distL="0" distR="0" wp14:anchorId="03B1BF81" wp14:editId="550C7694">
            <wp:extent cx="4409440" cy="156495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64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25130" w14:textId="77777777" w:rsidR="00F94D15" w:rsidRDefault="00263356">
      <w:pPr>
        <w:widowControl w:val="0"/>
        <w:spacing w:line="24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Figura 2: Modelo representativo da área do estudo, mostrando as parcelas sorteadas aleatoriamente em cada módulo.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 Fonte: Arquivo próprio.</w:t>
      </w:r>
    </w:p>
    <w:p w14:paraId="5AF15C8D" w14:textId="77777777" w:rsidR="00F94D15" w:rsidRDefault="00263356">
      <w:pPr>
        <w:widowControl w:val="0"/>
        <w:spacing w:line="360" w:lineRule="auto"/>
        <w:ind w:firstLine="1134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 monitoramento foi realiz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ado semanalmente por meio da contagem de covas com plantas germinadas em cada linha de plantio, quando foi feito também a limpeza manual no local de semeadura.</w:t>
      </w:r>
    </w:p>
    <w:p w14:paraId="78787D50" w14:textId="77777777" w:rsidR="00F94D15" w:rsidRDefault="00263356">
      <w:pPr>
        <w:widowControl w:val="0"/>
        <w:spacing w:line="36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Tabela 1: Número de covas por linha em cada uma das parcelas avaliadas.</w:t>
      </w: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125"/>
        <w:gridCol w:w="1500"/>
        <w:gridCol w:w="1500"/>
        <w:gridCol w:w="1500"/>
        <w:gridCol w:w="1500"/>
      </w:tblGrid>
      <w:tr w:rsidR="00F94D15" w14:paraId="5FD2D302" w14:textId="77777777">
        <w:trPr>
          <w:jc w:val="center"/>
        </w:trPr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5C13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PARCELA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2209" w14:textId="77777777" w:rsidR="00F94D15" w:rsidRDefault="00263356">
            <w:pPr>
              <w:widowControl w:val="0"/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1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ª  linha</w:t>
            </w:r>
            <w:proofErr w:type="gram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AB01" w14:textId="77777777" w:rsidR="00F94D15" w:rsidRDefault="00263356">
            <w:pPr>
              <w:widowControl w:val="0"/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2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ª  linha</w:t>
            </w:r>
            <w:proofErr w:type="gram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2964" w14:textId="77777777" w:rsidR="00F94D15" w:rsidRDefault="00263356">
            <w:pPr>
              <w:widowControl w:val="0"/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3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ª  linha</w:t>
            </w:r>
            <w:proofErr w:type="gram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CDF9" w14:textId="77777777" w:rsidR="00F94D15" w:rsidRDefault="00263356">
            <w:pPr>
              <w:widowControl w:val="0"/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4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ª  linha</w:t>
            </w:r>
            <w:proofErr w:type="gramEnd"/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B1FC" w14:textId="77777777" w:rsidR="00F94D15" w:rsidRDefault="00263356">
            <w:pPr>
              <w:widowControl w:val="0"/>
              <w:spacing w:after="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5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ª  linha</w:t>
            </w:r>
            <w:proofErr w:type="gramEnd"/>
          </w:p>
        </w:tc>
      </w:tr>
      <w:tr w:rsidR="00F94D15" w14:paraId="5DF73484" w14:textId="77777777">
        <w:trPr>
          <w:jc w:val="center"/>
        </w:trPr>
        <w:tc>
          <w:tcPr>
            <w:tcW w:w="189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D1FD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P1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feijão-guandu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9DB8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6845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0365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1BD9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2BBA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9</w:t>
            </w:r>
          </w:p>
        </w:tc>
      </w:tr>
      <w:tr w:rsidR="00F94D15" w14:paraId="03EFF598" w14:textId="7777777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A3C3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P3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crotalária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5AB0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ECAE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816B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8DCF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10EC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</w:t>
            </w:r>
          </w:p>
        </w:tc>
      </w:tr>
      <w:tr w:rsidR="00F94D15" w14:paraId="09B3709A" w14:textId="7777777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831D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lastRenderedPageBreak/>
              <w:t>P5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crotalária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C088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8CE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  <w:p w14:paraId="376CBA27" w14:textId="77777777" w:rsidR="00F94D15" w:rsidRDefault="00F94D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29F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F067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75D0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0</w:t>
            </w:r>
          </w:p>
        </w:tc>
      </w:tr>
      <w:tr w:rsidR="00F94D15" w14:paraId="6F1EBC6F" w14:textId="7777777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74B9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P6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feijão-guandu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C08F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289C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A97C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874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D53F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</w:t>
            </w:r>
          </w:p>
        </w:tc>
      </w:tr>
      <w:tr w:rsidR="00F94D15" w14:paraId="40808E6C" w14:textId="77777777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D368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P8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crotalária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19C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A353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5CBA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208A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273A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</w:t>
            </w:r>
          </w:p>
        </w:tc>
      </w:tr>
      <w:tr w:rsidR="00F94D15" w14:paraId="1CDFE5EB" w14:textId="77777777">
        <w:trPr>
          <w:jc w:val="center"/>
        </w:trPr>
        <w:tc>
          <w:tcPr>
            <w:tcW w:w="1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A179" w14:textId="77777777" w:rsidR="00F94D15" w:rsidRDefault="00263356">
            <w:pPr>
              <w:widowControl w:val="0"/>
              <w:spacing w:after="0" w:line="36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P9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feijão-guandu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6970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B64B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3575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BE04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8AAD" w14:textId="77777777" w:rsidR="00F94D15" w:rsidRDefault="00263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7</w:t>
            </w:r>
          </w:p>
        </w:tc>
      </w:tr>
    </w:tbl>
    <w:p w14:paraId="54841E65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Fonte: Arquivo próprio.</w:t>
      </w:r>
    </w:p>
    <w:p w14:paraId="6B8EE11B" w14:textId="1B036212" w:rsidR="00F94D15" w:rsidRDefault="00F94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Liberation Serif" w:eastAsia="Liberation Serif" w:hAnsi="Liberation Serif" w:cs="Liberation Serif"/>
          <w:sz w:val="18"/>
          <w:szCs w:val="18"/>
        </w:rPr>
      </w:pPr>
    </w:p>
    <w:p w14:paraId="6BD61A3D" w14:textId="77777777" w:rsidR="00263356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Liberation Serif" w:eastAsia="Liberation Serif" w:hAnsi="Liberation Serif" w:cs="Liberation Serif"/>
          <w:sz w:val="18"/>
          <w:szCs w:val="18"/>
        </w:rPr>
      </w:pPr>
    </w:p>
    <w:p w14:paraId="635EAF89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4280F5CF" w14:textId="77777777" w:rsidR="00F94D15" w:rsidRDefault="00263356">
      <w:pPr>
        <w:widowControl w:val="0"/>
        <w:spacing w:line="360" w:lineRule="auto"/>
        <w:ind w:firstLine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A parcela 1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(Figura 3) foi a que apresentou os percentuais de germinação mais altos deste tratamento, apesar dos baixos valores médios, menos de 10%. As parcelas 6 e 9 não apresentaram germin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ação na maioria das linhas, o que pode ter sido causado por identificação errônea da espécie.</w:t>
      </w:r>
    </w:p>
    <w:p w14:paraId="6862D446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0" distB="0" distL="0" distR="0" wp14:anchorId="5A2DE6E1" wp14:editId="2DFF1AC9">
            <wp:extent cx="4870906" cy="24265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906" cy="2426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6659C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Figura 3: Média de germinação de </w:t>
      </w:r>
      <w:proofErr w:type="spellStart"/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 por parcela ao longo das 6 semanas de monitoramento. 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Fonte: Arquivo próprio.</w:t>
      </w:r>
    </w:p>
    <w:p w14:paraId="0324E5E5" w14:textId="77777777" w:rsidR="00F94D15" w:rsidRDefault="00263356">
      <w:pPr>
        <w:widowControl w:val="0"/>
        <w:spacing w:line="360" w:lineRule="auto"/>
        <w:ind w:firstLine="720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No tratamento de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(Figura 4), a parcela 5 foi a de maior destaque, com percentuais médios próximos de 20%, seguido da parc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ela 8, com valores médios próximos a 10%, e por último a parcela 3, com menos de 10% de germinação. Foi possível observar que na parcela 3 houve germinação em praticamente todas as semanas, ao passo que na parcela 8 não foi observada nenhuma germinação nas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3 primeiras semanas.</w:t>
      </w:r>
    </w:p>
    <w:p w14:paraId="39943BF6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color w:val="000000"/>
          <w:sz w:val="24"/>
          <w:szCs w:val="24"/>
        </w:rPr>
        <w:lastRenderedPageBreak/>
        <w:drawing>
          <wp:inline distT="0" distB="0" distL="0" distR="0" wp14:anchorId="2EB34AB7" wp14:editId="2F462313">
            <wp:extent cx="5086350" cy="24460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4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</w:p>
    <w:p w14:paraId="06CD27F0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Figura 4: Média de germinação de </w:t>
      </w:r>
      <w:proofErr w:type="spellStart"/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 xml:space="preserve"> por parcela ao longo das 6 semanas de monitoramento. </w:t>
      </w:r>
      <w:r>
        <w:rPr>
          <w:rFonts w:ascii="Arial" w:eastAsia="Arial" w:hAnsi="Arial" w:cs="Arial"/>
          <w:color w:val="00000A"/>
          <w:sz w:val="20"/>
          <w:szCs w:val="20"/>
          <w:highlight w:val="white"/>
        </w:rPr>
        <w:t>Fonte: Arquivo próprio.</w:t>
      </w:r>
    </w:p>
    <w:p w14:paraId="0781C4F5" w14:textId="0FB97DDD" w:rsidR="00F94D15" w:rsidRDefault="00F94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5A1E49BF" w14:textId="77777777" w:rsidR="00263356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14:paraId="186DA946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420393BC" w14:textId="77777777" w:rsidR="00F94D15" w:rsidRDefault="00263356">
      <w:pPr>
        <w:widowControl w:val="0"/>
        <w:spacing w:line="360" w:lineRule="auto"/>
        <w:ind w:firstLine="1134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A partir da a análise dos dados, concluímos qu</w:t>
      </w:r>
      <w:bookmarkStart w:id="0" w:name="_GoBack"/>
      <w:bookmarkEnd w:id="0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e a </w:t>
      </w:r>
      <w:proofErr w:type="spellStart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teve o melhor desenvolvimento, o que pode ser explicado pela quantidade de sementes por cova. Sugere-se que em futuros experimentos sejam plantadas mais sementes por cova.</w:t>
      </w:r>
    </w:p>
    <w:p w14:paraId="1E475AB5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De acordo com a literat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ura, embora 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adubação verde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seja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uma ótima técnica para restauração ambiental, nã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 foi possível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 analisar todos os objetivos propostos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no presente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 xml:space="preserve">estudo pela baixa taxa de germinação, sendo os valores máximos 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menores que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 10% para o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feijão-guandu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 xml:space="preserve"> e 20% par</w:t>
      </w:r>
      <w:r>
        <w:rPr>
          <w:rFonts w:ascii="Arial" w:eastAsia="Arial" w:hAnsi="Arial" w:cs="Arial"/>
          <w:color w:val="00000A"/>
          <w:sz w:val="24"/>
          <w:szCs w:val="24"/>
        </w:rPr>
        <w:t xml:space="preserve">a a </w:t>
      </w:r>
      <w:proofErr w:type="spellStart"/>
      <w:r>
        <w:rPr>
          <w:rFonts w:ascii="Arial" w:eastAsia="Arial" w:hAnsi="Arial" w:cs="Arial"/>
          <w:color w:val="00000A"/>
          <w:sz w:val="24"/>
          <w:szCs w:val="24"/>
        </w:rPr>
        <w:t>crotalária</w:t>
      </w:r>
      <w:proofErr w:type="spellEnd"/>
      <w:r>
        <w:rPr>
          <w:rFonts w:ascii="Arial" w:eastAsia="Arial" w:hAnsi="Arial" w:cs="Arial"/>
          <w:color w:val="00000A"/>
          <w:sz w:val="24"/>
          <w:szCs w:val="24"/>
        </w:rPr>
        <w:t>, o que impediu a continuidade das etapas subsequentes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. A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pesar disso, f</w:t>
      </w:r>
      <w:r>
        <w:rPr>
          <w:rFonts w:ascii="Arial" w:eastAsia="Arial" w:hAnsi="Arial" w:cs="Arial"/>
          <w:color w:val="00000A"/>
          <w:sz w:val="24"/>
          <w:szCs w:val="24"/>
          <w:highlight w:val="white"/>
        </w:rPr>
        <w:t>oi possível efetuar o monitoramento de germinação.</w:t>
      </w:r>
    </w:p>
    <w:p w14:paraId="326F8934" w14:textId="570002A5" w:rsidR="00F94D15" w:rsidRDefault="00F94D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</w:p>
    <w:p w14:paraId="3672611D" w14:textId="77777777" w:rsidR="00263356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Arial" w:hAnsi="Arial" w:cs="Arial"/>
          <w:color w:val="00000A"/>
          <w:sz w:val="24"/>
          <w:szCs w:val="24"/>
          <w:highlight w:val="white"/>
        </w:rPr>
      </w:pPr>
    </w:p>
    <w:p w14:paraId="7BEF533F" w14:textId="77777777" w:rsidR="00F94D15" w:rsidRDefault="002633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2759A368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CLIMA Camboriú. </w:t>
      </w:r>
      <w:r>
        <w:rPr>
          <w:rFonts w:ascii="Arial" w:eastAsia="Arial" w:hAnsi="Arial" w:cs="Arial"/>
          <w:color w:val="000000"/>
          <w:sz w:val="24"/>
          <w:szCs w:val="24"/>
        </w:rPr>
        <w:t>[201-?]. Disponível em: &lt;</w:t>
      </w:r>
      <w:hyperlink r:id="rId10">
        <w:r>
          <w:rPr>
            <w:rFonts w:ascii="Arial" w:eastAsia="Arial" w:hAnsi="Arial" w:cs="Arial"/>
            <w:color w:val="000000"/>
            <w:sz w:val="24"/>
            <w:szCs w:val="24"/>
          </w:rPr>
          <w:t>https://pt.climate-data.org/america-do-sul/brasil/santa-catarina/camboriu-29961/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&gt;. Acesso em: 08 nov. 2018.</w:t>
      </w:r>
    </w:p>
    <w:p w14:paraId="34DE88A6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COSTA, N de L; TOWNSEND, C. R.; MAGALHÃES, J.A.; PEREIRA, R. G. de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A. </w:t>
      </w:r>
      <w:r>
        <w:rPr>
          <w:rFonts w:ascii="Arial" w:eastAsia="Arial" w:hAnsi="Arial" w:cs="Arial"/>
          <w:b/>
          <w:color w:val="000000"/>
          <w:sz w:val="24"/>
          <w:szCs w:val="24"/>
        </w:rPr>
        <w:t>Avaliação agronômica de gramíneas forrageiras sob sombreamento de seringal adulto</w:t>
      </w:r>
      <w:r>
        <w:rPr>
          <w:rFonts w:ascii="Arial" w:eastAsia="Arial" w:hAnsi="Arial" w:cs="Arial"/>
          <w:color w:val="000000"/>
          <w:sz w:val="24"/>
          <w:szCs w:val="24"/>
        </w:rPr>
        <w:t>. 1999. Disponível em: &lt;</w:t>
      </w:r>
      <w:hyperlink r:id="rId11">
        <w:r>
          <w:rPr>
            <w:rFonts w:ascii="Arial" w:eastAsia="Arial" w:hAnsi="Arial" w:cs="Arial"/>
            <w:sz w:val="24"/>
            <w:szCs w:val="24"/>
          </w:rPr>
          <w:t>https://ainfo.cnptia.embrapa.br/digital/bitstream/item/24758/1/172-nov99.pdf</w:t>
        </w:r>
      </w:hyperlink>
      <w:r>
        <w:rPr>
          <w:rFonts w:ascii="Arial" w:eastAsia="Arial" w:hAnsi="Arial" w:cs="Arial"/>
          <w:sz w:val="24"/>
          <w:szCs w:val="24"/>
        </w:rPr>
        <w:t>&gt;. Acesso em: 23 out. 2018.</w:t>
      </w:r>
    </w:p>
    <w:p w14:paraId="582D272A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DIAS-FILHO, M. B.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Competição e sucessão vegetal em pastagens. </w:t>
      </w:r>
      <w:r>
        <w:rPr>
          <w:rFonts w:ascii="Arial" w:eastAsia="Arial" w:hAnsi="Arial" w:cs="Arial"/>
          <w:color w:val="000000"/>
          <w:sz w:val="24"/>
          <w:szCs w:val="24"/>
        </w:rPr>
        <w:t>2006. Disponível em: &lt;</w:t>
      </w:r>
      <w:hyperlink r:id="rId12">
        <w:r>
          <w:rPr>
            <w:rFonts w:ascii="Arial" w:eastAsia="Arial" w:hAnsi="Arial" w:cs="Arial"/>
            <w:sz w:val="24"/>
            <w:szCs w:val="24"/>
          </w:rPr>
          <w:t>http://diasfilho.com.br/Competicao_e_sucessao_em_pastagens.pdf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&gt;. Acesso em: 22 nov. 2018.</w:t>
      </w:r>
    </w:p>
    <w:p w14:paraId="57444E73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ESPINDOLA, J. </w:t>
      </w:r>
      <w:r>
        <w:rPr>
          <w:rFonts w:ascii="Arial" w:eastAsia="Arial" w:hAnsi="Arial" w:cs="Arial"/>
          <w:i/>
          <w:color w:val="000000"/>
          <w:sz w:val="24"/>
          <w:szCs w:val="24"/>
        </w:rPr>
        <w:t>et al.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Adubação Verde com Leguminosas.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1ed. Brasília: Embrapa Informação Tecnológica, 2005. 49 p.</w:t>
      </w:r>
    </w:p>
    <w:p w14:paraId="72826399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FREITAS, M. V.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, et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al.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Adubação Verde.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 xml:space="preserve">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ed. São Paulo: Nobel, 1988. 64 p.</w:t>
      </w:r>
    </w:p>
    <w:p w14:paraId="0F33CBE9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GHODDOSI,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S;  TORRES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, F; FRANK,B.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Caderno de recuperação de matas ciliares: orientação para os grupos de trabalhos municipais.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ª  ed.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Blumenau: FURB, 2009. 94 p.</w:t>
      </w:r>
    </w:p>
    <w:p w14:paraId="51226FB4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GONÇALVES, J. L. de M.; NOGUEIRA JUNIOR, L. R.; DUCATTI, F. 2008. Restauração de solos degradados. </w:t>
      </w:r>
      <w:r>
        <w:rPr>
          <w:rFonts w:ascii="Arial" w:eastAsia="Arial" w:hAnsi="Arial" w:cs="Arial"/>
          <w:i/>
          <w:color w:val="000000"/>
          <w:sz w:val="24"/>
          <w:szCs w:val="24"/>
        </w:rPr>
        <w:t>In: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KAGEYAMA, P. </w:t>
      </w:r>
      <w:r>
        <w:rPr>
          <w:rFonts w:ascii="Arial" w:eastAsia="Arial" w:hAnsi="Arial" w:cs="Arial"/>
          <w:i/>
          <w:color w:val="000000"/>
          <w:sz w:val="24"/>
          <w:szCs w:val="24"/>
        </w:rPr>
        <w:t>et 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Rest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auração ecológica de ecossistemas naturais. </w:t>
      </w:r>
      <w:r>
        <w:rPr>
          <w:rFonts w:ascii="Arial" w:eastAsia="Arial" w:hAnsi="Arial" w:cs="Arial"/>
          <w:color w:val="000000"/>
          <w:sz w:val="24"/>
          <w:szCs w:val="24"/>
        </w:rPr>
        <w:t>1ª ed. Botucatu: FEPAF, 2008.</w:t>
      </w:r>
    </w:p>
    <w:p w14:paraId="31241FDD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SOUZA, L.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Adubação Orgânica.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1ª ed. Viçosa: Editora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Technoprint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1989. 116 p.</w:t>
      </w:r>
    </w:p>
    <w:p w14:paraId="51E72219" w14:textId="77777777" w:rsidR="00F94D15" w:rsidRDefault="002633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ZILLER, S. R. </w:t>
      </w:r>
      <w:r>
        <w:rPr>
          <w:rFonts w:ascii="Arial" w:eastAsia="Arial" w:hAnsi="Arial" w:cs="Arial"/>
          <w:b/>
          <w:color w:val="000000"/>
          <w:sz w:val="24"/>
          <w:szCs w:val="24"/>
        </w:rPr>
        <w:t>Plantas Exóticas Invasoras</w:t>
      </w:r>
      <w:r>
        <w:rPr>
          <w:rFonts w:ascii="Arial" w:eastAsia="Arial" w:hAnsi="Arial" w:cs="Arial"/>
          <w:color w:val="000000"/>
          <w:sz w:val="24"/>
          <w:szCs w:val="24"/>
        </w:rPr>
        <w:t>: a ameaça da contaminação biológica. 2001. Disponível em: &lt;</w:t>
      </w:r>
      <w:r>
        <w:rPr>
          <w:rFonts w:ascii="Arial" w:eastAsia="Arial" w:hAnsi="Arial" w:cs="Arial"/>
          <w:color w:val="000000"/>
          <w:sz w:val="24"/>
          <w:szCs w:val="24"/>
        </w:rPr>
        <w:t>h</w:t>
      </w:r>
      <w:hyperlink r:id="rId13">
        <w:r>
          <w:rPr>
            <w:rFonts w:ascii="Arial" w:eastAsia="Arial" w:hAnsi="Arial" w:cs="Arial"/>
            <w:sz w:val="24"/>
            <w:szCs w:val="24"/>
          </w:rPr>
          <w:t>ttp://www.institutohorus.org.br/download/artigos/cienhojedez2001.pdf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&gt;. Acesso em: 23 out. 2018.</w:t>
      </w:r>
    </w:p>
    <w:sectPr w:rsidR="00F94D15">
      <w:headerReference w:type="default" r:id="rId14"/>
      <w:footerReference w:type="default" r:id="rId15"/>
      <w:footerReference w:type="first" r:id="rId16"/>
      <w:pgSz w:w="11906" w:h="16838"/>
      <w:pgMar w:top="1701" w:right="1134" w:bottom="1134" w:left="1701" w:header="70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3579" w14:textId="77777777" w:rsidR="00000000" w:rsidRDefault="00263356">
      <w:pPr>
        <w:spacing w:after="0" w:line="240" w:lineRule="auto"/>
      </w:pPr>
      <w:r>
        <w:separator/>
      </w:r>
    </w:p>
  </w:endnote>
  <w:endnote w:type="continuationSeparator" w:id="0">
    <w:p w14:paraId="25D98184" w14:textId="77777777" w:rsidR="00000000" w:rsidRDefault="0026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70549" w14:textId="77777777" w:rsidR="00F94D15" w:rsidRDefault="00F94D15">
    <w:pPr>
      <w:spacing w:after="0" w:line="360" w:lineRule="auto"/>
      <w:jc w:val="both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28831" w14:textId="77777777" w:rsidR="00F94D15" w:rsidRDefault="00263356">
    <w:pPr>
      <w:spacing w:after="0" w:line="360" w:lineRule="auto"/>
      <w:jc w:val="both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Aluna do Curso Técnico de Controle Ambiental. E-mail: </w:t>
    </w:r>
    <w:hyperlink r:id="rId1">
      <w:r>
        <w:rPr>
          <w:rFonts w:ascii="Arial" w:eastAsia="Arial" w:hAnsi="Arial" w:cs="Arial"/>
          <w:sz w:val="18"/>
          <w:szCs w:val="18"/>
        </w:rPr>
        <w:t>alveskarine671@gmail.co</w:t>
      </w:r>
    </w:hyperlink>
    <w:r>
      <w:rPr>
        <w:rFonts w:ascii="Arial" w:eastAsia="Arial" w:hAnsi="Arial" w:cs="Arial"/>
        <w:sz w:val="18"/>
        <w:szCs w:val="18"/>
      </w:rPr>
      <w:t>m</w:t>
    </w:r>
  </w:p>
  <w:p w14:paraId="706F6ABB" w14:textId="77777777" w:rsidR="00F94D15" w:rsidRDefault="00263356">
    <w:pPr>
      <w:spacing w:after="0" w:line="360" w:lineRule="auto"/>
      <w:jc w:val="both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i/>
        <w:sz w:val="18"/>
        <w:szCs w:val="18"/>
        <w:vertAlign w:val="superscript"/>
      </w:rPr>
      <w:t>2</w:t>
    </w:r>
    <w:r>
      <w:rPr>
        <w:rFonts w:ascii="Arial" w:eastAsia="Arial" w:hAnsi="Arial" w:cs="Arial"/>
        <w:sz w:val="18"/>
        <w:szCs w:val="18"/>
      </w:rPr>
      <w:t>Aluna do Curso Técnico de Controle Ambiental. E-mail: me.mondadori@gmail.com</w:t>
    </w:r>
  </w:p>
  <w:p w14:paraId="7D5E8B35" w14:textId="13681D04" w:rsidR="00F94D15" w:rsidRDefault="00263356">
    <w:pPr>
      <w:spacing w:after="0" w:line="360" w:lineRule="auto"/>
      <w:jc w:val="both"/>
    </w:pPr>
    <w:r>
      <w:rPr>
        <w:rFonts w:ascii="Arial" w:eastAsia="Arial" w:hAnsi="Arial" w:cs="Arial"/>
        <w:i/>
        <w:sz w:val="18"/>
        <w:szCs w:val="18"/>
        <w:vertAlign w:val="superscript"/>
      </w:rPr>
      <w:t xml:space="preserve"> </w:t>
    </w:r>
    <w:r>
      <w:rPr>
        <w:rFonts w:ascii="Arial" w:eastAsia="Arial" w:hAnsi="Arial" w:cs="Arial"/>
        <w:i/>
        <w:sz w:val="18"/>
        <w:szCs w:val="18"/>
        <w:vertAlign w:val="superscript"/>
      </w:rPr>
      <w:t>3</w:t>
    </w:r>
    <w:r w:rsidR="004670FE">
      <w:rPr>
        <w:rFonts w:ascii="Arial" w:eastAsia="Arial" w:hAnsi="Arial" w:cs="Arial"/>
        <w:i/>
        <w:sz w:val="18"/>
        <w:szCs w:val="18"/>
        <w:vertAlign w:val="superscript"/>
      </w:rPr>
      <w:t xml:space="preserve"> </w:t>
    </w:r>
    <w:r w:rsidR="004670FE">
      <w:rPr>
        <w:rFonts w:ascii="Arial" w:eastAsia="Arial" w:hAnsi="Arial" w:cs="Arial"/>
        <w:sz w:val="18"/>
        <w:szCs w:val="18"/>
      </w:rPr>
      <w:t>Professora orientadora</w:t>
    </w:r>
    <w:r>
      <w:rPr>
        <w:rFonts w:ascii="Arial" w:eastAsia="Arial" w:hAnsi="Arial" w:cs="Arial"/>
        <w:sz w:val="18"/>
        <w:szCs w:val="18"/>
      </w:rPr>
      <w:t>. E-mail: cristalina.yoshim</w:t>
    </w:r>
    <w:r>
      <w:rPr>
        <w:rFonts w:ascii="Arial" w:eastAsia="Arial" w:hAnsi="Arial" w:cs="Arial"/>
        <w:sz w:val="18"/>
        <w:szCs w:val="18"/>
      </w:rPr>
      <w:t>ura@ifc.edu.br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6C84" w14:textId="77777777" w:rsidR="00000000" w:rsidRDefault="00263356">
      <w:pPr>
        <w:spacing w:after="0" w:line="240" w:lineRule="auto"/>
      </w:pPr>
      <w:r>
        <w:separator/>
      </w:r>
    </w:p>
  </w:footnote>
  <w:footnote w:type="continuationSeparator" w:id="0">
    <w:p w14:paraId="3EC42702" w14:textId="77777777" w:rsidR="00000000" w:rsidRDefault="0026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28B2D" w14:textId="77777777" w:rsidR="00F94D15" w:rsidRDefault="0026335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</w:rPr>
      <w:drawing>
        <wp:inline distT="0" distB="0" distL="0" distR="0" wp14:anchorId="59D1A7A1" wp14:editId="5B18AF84">
          <wp:extent cx="3604895" cy="58166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4895" cy="581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E227D3" w14:textId="77777777" w:rsidR="00F94D15" w:rsidRDefault="00F94D1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15"/>
    <w:rsid w:val="00263356"/>
    <w:rsid w:val="004670FE"/>
    <w:rsid w:val="00F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1A0F6"/>
  <w15:docId w15:val="{E486D270-729F-4EA3-85E6-A5CD3033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6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0FE"/>
  </w:style>
  <w:style w:type="paragraph" w:styleId="Rodap">
    <w:name w:val="footer"/>
    <w:basedOn w:val="Normal"/>
    <w:link w:val="RodapChar"/>
    <w:uiPriority w:val="99"/>
    <w:unhideWhenUsed/>
    <w:rsid w:val="00467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nstitutohorus.org.br/download/artigos/cienhojedez2001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iasfilho.com.br/Competicao_e_sucessao_em_pastagens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info.cnptia.embrapa.br/digital/bitstream/item/24758/1/172-nov99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pt.climate-data.org/america-do-sul/brasil/santa-catarina/camboriu-2996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veskarine67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1467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Cristalina Yoshie Yoshimura</cp:lastModifiedBy>
  <cp:revision>3</cp:revision>
  <dcterms:created xsi:type="dcterms:W3CDTF">2019-07-13T01:18:00Z</dcterms:created>
  <dcterms:modified xsi:type="dcterms:W3CDTF">2019-07-13T01:22:00Z</dcterms:modified>
</cp:coreProperties>
</file>