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20B" w:rsidRDefault="003A020B">
      <w:pPr>
        <w:pStyle w:val="Normal1"/>
        <w:spacing w:after="0" w:line="360" w:lineRule="auto"/>
        <w:jc w:val="center"/>
        <w:rPr>
          <w:rFonts w:ascii="Arial" w:hAnsi="Arial"/>
          <w:b/>
          <w:bCs/>
          <w:sz w:val="24"/>
          <w:szCs w:val="24"/>
        </w:rPr>
      </w:pPr>
    </w:p>
    <w:p w:rsidR="006E1459" w:rsidRDefault="00394141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 USO DE DIFERENTES FERRAMENTAS PARA O ENSINO DA MATEMÁTICA</w:t>
      </w:r>
    </w:p>
    <w:p w:rsidR="006E1459" w:rsidRDefault="00394141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  <w:u w:color="3A3AEE"/>
        </w:rPr>
      </w:pPr>
      <w:r>
        <w:rPr>
          <w:rFonts w:ascii="Arial" w:hAnsi="Arial"/>
          <w:b/>
          <w:bCs/>
          <w:sz w:val="24"/>
          <w:szCs w:val="24"/>
        </w:rPr>
        <w:t>Relato de experiência no ensino de Progressão Aritmética e Geométrica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 xml:space="preserve"> (um </w:t>
      </w:r>
      <w:r>
        <w:rPr>
          <w:rFonts w:ascii="Arial" w:hAnsi="Arial"/>
          <w:color w:val="FFFFFF"/>
          <w:sz w:val="18"/>
          <w:szCs w:val="18"/>
          <w:u w:color="FFFFFF"/>
        </w:rPr>
        <w:t>espaço simples</w:t>
      </w:r>
      <w:r>
        <w:rPr>
          <w:rFonts w:ascii="Arial" w:hAnsi="Arial"/>
          <w:color w:val="FFFFFF"/>
          <w:sz w:val="24"/>
          <w:szCs w:val="24"/>
          <w:u w:color="FFFFFF"/>
        </w:rPr>
        <w:t xml:space="preserve"> em branco)</w:t>
      </w:r>
    </w:p>
    <w:p w:rsidR="006E1459" w:rsidRPr="00553FEF" w:rsidRDefault="00394141">
      <w:pPr>
        <w:pStyle w:val="Normal1"/>
        <w:spacing w:after="0" w:line="360" w:lineRule="auto"/>
        <w:jc w:val="center"/>
        <w:rPr>
          <w:rFonts w:ascii="Arial" w:eastAsia="Arial" w:hAnsi="Arial" w:cs="Arial"/>
          <w:color w:val="auto"/>
          <w:sz w:val="24"/>
          <w:szCs w:val="24"/>
          <w:vertAlign w:val="superscript"/>
        </w:rPr>
      </w:pPr>
      <w:r w:rsidRPr="00553FEF">
        <w:rPr>
          <w:rFonts w:ascii="Arial" w:hAnsi="Arial"/>
          <w:i/>
          <w:iCs/>
          <w:color w:val="auto"/>
          <w:sz w:val="24"/>
          <w:szCs w:val="24"/>
        </w:rPr>
        <w:t>Caroline de Paula Lima</w:t>
      </w:r>
      <w:r w:rsidRPr="00553FEF">
        <w:rPr>
          <w:rFonts w:ascii="Arial" w:eastAsia="Arial" w:hAnsi="Arial" w:cs="Arial"/>
          <w:i/>
          <w:iCs/>
          <w:color w:val="auto"/>
          <w:sz w:val="24"/>
          <w:szCs w:val="24"/>
          <w:vertAlign w:val="superscript"/>
        </w:rPr>
        <w:footnoteReference w:id="2"/>
      </w:r>
      <w:r w:rsidRPr="00553FEF">
        <w:rPr>
          <w:rFonts w:ascii="Arial" w:hAnsi="Arial"/>
          <w:i/>
          <w:iCs/>
          <w:color w:val="auto"/>
          <w:sz w:val="24"/>
          <w:szCs w:val="24"/>
        </w:rPr>
        <w:t>; Jackson de Oliveira</w:t>
      </w:r>
      <w:r w:rsidRPr="00553FEF">
        <w:rPr>
          <w:rFonts w:ascii="Arial" w:eastAsia="Arial" w:hAnsi="Arial" w:cs="Arial"/>
          <w:i/>
          <w:iCs/>
          <w:color w:val="auto"/>
          <w:sz w:val="24"/>
          <w:szCs w:val="24"/>
          <w:vertAlign w:val="superscript"/>
        </w:rPr>
        <w:footnoteReference w:id="3"/>
      </w:r>
      <w:r w:rsidRPr="00553FEF">
        <w:rPr>
          <w:rFonts w:ascii="Arial" w:hAnsi="Arial"/>
          <w:i/>
          <w:iCs/>
          <w:color w:val="auto"/>
          <w:sz w:val="24"/>
          <w:szCs w:val="24"/>
        </w:rPr>
        <w:t>, Araceli Gonçalves</w:t>
      </w:r>
      <w:r w:rsidRPr="00553FEF">
        <w:rPr>
          <w:rFonts w:ascii="Arial" w:eastAsia="Arial" w:hAnsi="Arial" w:cs="Arial"/>
          <w:i/>
          <w:iCs/>
          <w:color w:val="auto"/>
          <w:sz w:val="24"/>
          <w:szCs w:val="24"/>
          <w:vertAlign w:val="superscript"/>
        </w:rPr>
        <w:footnoteReference w:id="4"/>
      </w:r>
      <w:r w:rsidRPr="00553FEF">
        <w:rPr>
          <w:rFonts w:ascii="Arial" w:hAnsi="Arial"/>
          <w:i/>
          <w:iCs/>
          <w:color w:val="auto"/>
          <w:sz w:val="24"/>
          <w:szCs w:val="24"/>
        </w:rPr>
        <w:t>; Carla Mö</w:t>
      </w:r>
      <w:r w:rsidRPr="00553FEF">
        <w:rPr>
          <w:rFonts w:ascii="Arial" w:hAnsi="Arial"/>
          <w:color w:val="auto"/>
          <w:sz w:val="24"/>
          <w:szCs w:val="24"/>
        </w:rPr>
        <w:t>rschbächer</w:t>
      </w:r>
      <w:r w:rsidRPr="00553FEF">
        <w:rPr>
          <w:rFonts w:ascii="Arial" w:eastAsia="Arial" w:hAnsi="Arial" w:cs="Arial"/>
          <w:i/>
          <w:iCs/>
          <w:color w:val="auto"/>
          <w:sz w:val="24"/>
          <w:szCs w:val="24"/>
          <w:vertAlign w:val="superscript"/>
        </w:rPr>
        <w:footnoteReference w:id="5"/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</w:t>
      </w:r>
      <w:r>
        <w:rPr>
          <w:rFonts w:ascii="Arial" w:hAnsi="Arial"/>
          <w:color w:val="FFFFFF"/>
          <w:sz w:val="24"/>
          <w:szCs w:val="24"/>
          <w:u w:color="FFFFFF"/>
        </w:rPr>
        <w:t xml:space="preserve"> em 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RESUMO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>(</w:t>
      </w:r>
      <w:r>
        <w:rPr>
          <w:rFonts w:ascii="Arial" w:hAnsi="Arial"/>
          <w:color w:val="FFFFFF"/>
          <w:sz w:val="18"/>
          <w:szCs w:val="18"/>
          <w:u w:color="FFFFFF"/>
        </w:rPr>
        <w:t>um espaço simples em branco)</w:t>
      </w:r>
    </w:p>
    <w:p w:rsidR="006E1459" w:rsidRPr="00553FEF" w:rsidRDefault="00394141">
      <w:pPr>
        <w:pStyle w:val="Normal1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  <w:u w:color="FFFFFF"/>
        </w:rPr>
      </w:pPr>
      <w:r>
        <w:rPr>
          <w:rFonts w:ascii="Arial" w:hAnsi="Arial"/>
          <w:sz w:val="24"/>
          <w:szCs w:val="24"/>
        </w:rPr>
        <w:t xml:space="preserve">Cada vez mais a tecnologia e os jogos vêm se mostrando eficientes nos ambientes educacionais, é de conhecimento comum que a tecnologia vem ditando o comportamento da sociedade e ganhando espaço no ensino. Nesse contexto, este trabalho surge com a intenção de compartilhar a experiência vivida, por acadêmicos de licenciatura em matemática, na aplicação de uma </w:t>
      </w:r>
      <w:r w:rsidRPr="00553FEF">
        <w:rPr>
          <w:rFonts w:ascii="Arial" w:hAnsi="Arial"/>
          <w:color w:val="auto"/>
          <w:sz w:val="24"/>
          <w:szCs w:val="24"/>
        </w:rPr>
        <w:t>sequência didática, envolvendo o assunto de progressão aritmética e progressão geométrica em uma turma de 2º ano do ensino médio do Instituto Federal Catarinense – Campus Camboriú. Para tanto, apresenta-se um relato a respeito dos jogos e tecnologias aplicados, com uma visão sobre a importante contribuição no processo de ensino e aprendizagem da matemática. Este trabalho foi realizado por meio do programa de Residência Pedagógica da Capes e faz parte de uma das ações que integram a política nacional de formação de professores.</w:t>
      </w:r>
    </w:p>
    <w:p w:rsidR="006E1459" w:rsidRPr="002E088A" w:rsidRDefault="00394141">
      <w:pPr>
        <w:pStyle w:val="Normal1"/>
        <w:spacing w:after="0" w:line="24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 w:rsidRPr="002E088A">
        <w:rPr>
          <w:rFonts w:ascii="Arial" w:hAnsi="Arial"/>
          <w:color w:val="FFFFFF"/>
          <w:sz w:val="24"/>
          <w:szCs w:val="24"/>
          <w:u w:color="FFFFFF"/>
        </w:rPr>
        <w:t>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Palavras-chave</w:t>
      </w:r>
      <w:r>
        <w:rPr>
          <w:rFonts w:ascii="Arial" w:hAnsi="Arial"/>
          <w:sz w:val="24"/>
          <w:szCs w:val="24"/>
        </w:rPr>
        <w:t>: Tecnologia. Jogos. Matemática. Ensino e Aprendizagem.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m 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INTRODUÇÃO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O uso de tecnologias e jogos no ensino e aprendizagem da matemática vem sendo cada vez mais explorado, tal uso diferencia o espaço escolar de forma inovadora. De acordo com Pocho; Aguiar; Sampaio (2010):</w:t>
      </w:r>
    </w:p>
    <w:p w:rsidR="003A020B" w:rsidRDefault="00394141" w:rsidP="00F34C8A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left="226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Assim como a tecnologia para uso do homem expande suas capacidades, a presença dela na sala de aula amplia seus horizontes e seu alcance em direção à realidade. Para que os alunos interajam pedagogicamente com ela, de modo crítico e criativo – o que irá contribuir para a formação de </w:t>
      </w:r>
      <w:r>
        <w:rPr>
          <w:rFonts w:ascii="Arial" w:hAnsi="Arial"/>
          <w:sz w:val="20"/>
          <w:szCs w:val="20"/>
        </w:rPr>
        <w:lastRenderedPageBreak/>
        <w:t>cidadãos mais atuantes na sociedade tecnológica em que vivemos.</w:t>
      </w:r>
    </w:p>
    <w:p w:rsidR="00F34C8A" w:rsidRPr="00F34C8A" w:rsidRDefault="00F34C8A" w:rsidP="00F34C8A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left="2268"/>
        <w:jc w:val="both"/>
        <w:rPr>
          <w:rFonts w:ascii="Arial" w:hAnsi="Arial"/>
          <w:sz w:val="20"/>
          <w:szCs w:val="20"/>
        </w:rPr>
      </w:pPr>
    </w:p>
    <w:p w:rsidR="006E1459" w:rsidRPr="003A020B" w:rsidRDefault="003A020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</w:t>
      </w:r>
      <w:r w:rsidR="00394141">
        <w:rPr>
          <w:rFonts w:ascii="Arial" w:hAnsi="Arial"/>
          <w:sz w:val="24"/>
          <w:szCs w:val="24"/>
        </w:rPr>
        <w:t xml:space="preserve">Com o presente trabalho pretende-se evidenciar o fato de que as aulas de matemática não são compostas apenas por teoremas, fórmulas, quadro e giz. Mas é possível integrar diferentes materiais e metodologias, criando um ambiente onde os estudantes enxerguem a matemática como uma ciência aliada ao seu mundo. A fim de elucidar este fato decidiu-se compartilhar experiências vividas durante a aplicação de um experimento didático. </w:t>
      </w:r>
    </w:p>
    <w:p w:rsidR="006E1459" w:rsidRDefault="00394141" w:rsidP="003A020B">
      <w:pPr>
        <w:pStyle w:val="Normal1"/>
        <w:widowControl w:val="0"/>
        <w:tabs>
          <w:tab w:val="left" w:pos="284"/>
          <w:tab w:val="left" w:pos="567"/>
          <w:tab w:val="left" w:pos="709"/>
          <w:tab w:val="left" w:pos="1134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O experimento em questão foi realizado por meio do </w:t>
      </w:r>
      <w:r w:rsidRPr="00F7673D">
        <w:rPr>
          <w:rFonts w:ascii="Arial" w:hAnsi="Arial"/>
          <w:color w:val="auto"/>
          <w:sz w:val="24"/>
          <w:szCs w:val="24"/>
        </w:rPr>
        <w:t xml:space="preserve">Programa de Residência Pedagógica, que é uma das ações que integram a política nacional de </w:t>
      </w:r>
      <w:r>
        <w:rPr>
          <w:rFonts w:ascii="Arial" w:hAnsi="Arial"/>
          <w:sz w:val="24"/>
          <w:szCs w:val="24"/>
        </w:rPr>
        <w:t>formação de professores aliado a Capes (Coordenação de Aperfeiçoamento de Pessoal de Nível Superior)</w:t>
      </w:r>
      <w:r w:rsidR="0087569C">
        <w:rPr>
          <w:rFonts w:ascii="Arial" w:hAnsi="Arial"/>
          <w:sz w:val="24"/>
          <w:szCs w:val="24"/>
        </w:rPr>
        <w:t>. O objetivo do programa é</w:t>
      </w:r>
      <w:r>
        <w:rPr>
          <w:rFonts w:ascii="Arial" w:hAnsi="Arial"/>
          <w:sz w:val="24"/>
          <w:szCs w:val="24"/>
        </w:rPr>
        <w:t xml:space="preserve"> induzir o aperfeiçoamento da formação prática nos cursos de licenciatura, promovendo a imersão do licenciando na escola de educação básica, contemplando, entre outras atividades, regência de sala de aula e intervenção pedagógica, acompanhadas por um professor da escola com experiência na área de ensino do licenciando e orientada por um docente da sua instituição formadora.</w:t>
      </w:r>
    </w:p>
    <w:p w:rsidR="006E1459" w:rsidRPr="006F001A" w:rsidRDefault="00394141" w:rsidP="0087569C">
      <w:pPr>
        <w:pStyle w:val="Normal1"/>
        <w:widowControl w:val="0"/>
        <w:tabs>
          <w:tab w:val="left" w:pos="284"/>
          <w:tab w:val="left" w:pos="567"/>
          <w:tab w:val="left" w:pos="709"/>
          <w:tab w:val="left" w:pos="1134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4"/>
          <w:szCs w:val="24"/>
        </w:rPr>
        <w:t xml:space="preserve">                 Há diversas teorias relacionadas a aplicação de jogos no ensino da matemática que comprovam sua contribuição eficiente no processo de ensino e aprendizagem,</w:t>
      </w:r>
      <w:r w:rsidR="00F7673D">
        <w:rPr>
          <w:rFonts w:ascii="Arial" w:hAnsi="Arial"/>
          <w:sz w:val="24"/>
          <w:szCs w:val="24"/>
        </w:rPr>
        <w:t xml:space="preserve"> como por exemplo</w:t>
      </w:r>
      <w:r w:rsidR="0087569C">
        <w:rPr>
          <w:rFonts w:ascii="Arial" w:hAnsi="Arial"/>
          <w:sz w:val="24"/>
          <w:szCs w:val="24"/>
        </w:rPr>
        <w:t xml:space="preserve"> as de</w:t>
      </w:r>
      <w:r w:rsidR="00F7673D">
        <w:rPr>
          <w:rFonts w:ascii="Arial" w:hAnsi="Arial"/>
          <w:sz w:val="24"/>
          <w:szCs w:val="24"/>
        </w:rPr>
        <w:t xml:space="preserve"> Piaget</w:t>
      </w:r>
      <w:r w:rsidR="0087569C">
        <w:rPr>
          <w:rFonts w:ascii="Arial" w:hAnsi="Arial"/>
          <w:sz w:val="24"/>
          <w:szCs w:val="24"/>
        </w:rPr>
        <w:t xml:space="preserve"> e de</w:t>
      </w:r>
      <w:r w:rsidR="00F7673D">
        <w:rPr>
          <w:rFonts w:ascii="Arial" w:hAnsi="Arial"/>
          <w:sz w:val="24"/>
          <w:szCs w:val="24"/>
        </w:rPr>
        <w:t xml:space="preserve"> Vygotsky</w:t>
      </w:r>
      <w:r w:rsidRPr="00F7673D">
        <w:rPr>
          <w:rFonts w:ascii="Arial" w:hAnsi="Arial"/>
          <w:color w:val="auto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>Entretanto, é importante se atentar quanto ao tipo de jogo e momento correto para aplicação.</w:t>
      </w:r>
      <w:r w:rsidR="008756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sz w:val="24"/>
          <w:szCs w:val="24"/>
        </w:rPr>
        <w:t>Malba Tahan (1968)</w:t>
      </w:r>
      <w:r w:rsidR="009E2B98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afirma: “para que os jogos produzam os efeitos desejados é preciso que sejam, de certa forma, dirigidos pelos educadores”. </w:t>
      </w:r>
      <w:r w:rsidRPr="00325EAB">
        <w:rPr>
          <w:rFonts w:ascii="Arial" w:hAnsi="Arial"/>
          <w:color w:val="auto"/>
          <w:sz w:val="24"/>
          <w:szCs w:val="24"/>
        </w:rPr>
        <w:t xml:space="preserve">Assim,  </w:t>
      </w:r>
      <w:r>
        <w:rPr>
          <w:rFonts w:ascii="Arial" w:hAnsi="Arial"/>
          <w:sz w:val="24"/>
          <w:szCs w:val="24"/>
        </w:rPr>
        <w:t>é crucial a escolha de jogos/ tecnologias que atendam a objetivos bem estipulados.</w:t>
      </w:r>
    </w:p>
    <w:p w:rsidR="006E1459" w:rsidRDefault="00394141" w:rsidP="009E2B98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Para </w:t>
      </w:r>
      <w:r w:rsidRPr="00F7673D">
        <w:rPr>
          <w:rFonts w:ascii="Arial" w:hAnsi="Arial"/>
          <w:color w:val="auto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 aplicação na sequência didática aqui apresentada foram selecionadas atividades com objetivos pré-estabelecidos buscando o maior aproveitamento possível dos estudantes.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PROCEDIMENTOS METODOLÓGICOS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>(</w:t>
      </w:r>
      <w:r>
        <w:rPr>
          <w:rFonts w:ascii="Arial" w:hAnsi="Arial"/>
          <w:color w:val="FFFFFF"/>
          <w:sz w:val="18"/>
          <w:szCs w:val="18"/>
          <w:u w:color="FFFFFF"/>
        </w:rPr>
        <w:t>um espaço simples em branco)</w:t>
      </w:r>
    </w:p>
    <w:p w:rsidR="00FF6BF7" w:rsidRDefault="00394141" w:rsidP="00FF6BF7">
      <w:pPr>
        <w:pStyle w:val="Normal1"/>
        <w:spacing w:after="0" w:line="360" w:lineRule="auto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experimento didático foi desenvolvido em uma turma do 2º ano do Ensino Médio integrado ao Técnico em Agropecuária, no Instituto Federal </w:t>
      </w:r>
    </w:p>
    <w:p w:rsidR="00F34C8A" w:rsidRDefault="00F34C8A" w:rsidP="00FF6BF7">
      <w:pPr>
        <w:pStyle w:val="Normal1"/>
        <w:spacing w:after="0" w:line="360" w:lineRule="auto"/>
        <w:ind w:firstLine="1134"/>
        <w:jc w:val="both"/>
        <w:rPr>
          <w:rFonts w:ascii="Arial" w:hAnsi="Arial"/>
          <w:sz w:val="24"/>
          <w:szCs w:val="24"/>
        </w:rPr>
      </w:pPr>
    </w:p>
    <w:p w:rsidR="00FF6BF7" w:rsidRDefault="00FF6BF7" w:rsidP="00FF6BF7">
      <w:pPr>
        <w:pStyle w:val="Normal1"/>
        <w:spacing w:after="0" w:line="360" w:lineRule="auto"/>
        <w:jc w:val="both"/>
        <w:rPr>
          <w:rFonts w:ascii="Arial" w:hAnsi="Arial"/>
          <w:sz w:val="24"/>
          <w:szCs w:val="24"/>
        </w:rPr>
      </w:pPr>
    </w:p>
    <w:p w:rsidR="006E1459" w:rsidRPr="0087569C" w:rsidRDefault="00394141" w:rsidP="0087569C">
      <w:pPr>
        <w:pStyle w:val="Normal1"/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Catarinense – </w:t>
      </w:r>
      <w:r w:rsidRPr="006F001A">
        <w:rPr>
          <w:rFonts w:ascii="Arial" w:hAnsi="Arial"/>
          <w:color w:val="auto"/>
          <w:sz w:val="24"/>
          <w:szCs w:val="24"/>
        </w:rPr>
        <w:t>Campus Camboriú, e os conteúdos tratados foram Progressão Aritmética (PA) e Geométrica (PG).</w:t>
      </w:r>
      <w:r w:rsidR="0087569C">
        <w:rPr>
          <w:rFonts w:ascii="Arial" w:hAnsi="Arial"/>
          <w:sz w:val="24"/>
          <w:szCs w:val="24"/>
        </w:rPr>
        <w:t xml:space="preserve"> </w:t>
      </w:r>
      <w:r w:rsidRPr="006F001A">
        <w:rPr>
          <w:rFonts w:ascii="Arial" w:hAnsi="Arial"/>
          <w:color w:val="auto"/>
          <w:sz w:val="24"/>
          <w:szCs w:val="24"/>
        </w:rPr>
        <w:t xml:space="preserve">Os  principais jogos/tecnologias aplicados no decorrer da </w:t>
      </w:r>
      <w:r w:rsidR="0087569C">
        <w:rPr>
          <w:rFonts w:ascii="Arial" w:hAnsi="Arial"/>
          <w:color w:val="auto"/>
          <w:sz w:val="24"/>
          <w:szCs w:val="24"/>
        </w:rPr>
        <w:t>atividade</w:t>
      </w:r>
      <w:r w:rsidRPr="006F001A">
        <w:rPr>
          <w:rFonts w:ascii="Arial" w:hAnsi="Arial"/>
          <w:color w:val="auto"/>
          <w:sz w:val="24"/>
          <w:szCs w:val="24"/>
        </w:rPr>
        <w:t xml:space="preserve"> estão descrit</w:t>
      </w:r>
      <w:r w:rsidR="0087569C">
        <w:rPr>
          <w:rFonts w:ascii="Arial" w:hAnsi="Arial"/>
          <w:color w:val="auto"/>
          <w:sz w:val="24"/>
          <w:szCs w:val="24"/>
        </w:rPr>
        <w:t>a</w:t>
      </w:r>
      <w:r w:rsidRPr="006F001A">
        <w:rPr>
          <w:rFonts w:ascii="Arial" w:hAnsi="Arial"/>
          <w:color w:val="auto"/>
          <w:sz w:val="24"/>
          <w:szCs w:val="24"/>
        </w:rPr>
        <w:t>s a seguir.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 xml:space="preserve">(um </w:t>
      </w:r>
      <w:r>
        <w:rPr>
          <w:rFonts w:ascii="Arial" w:hAnsi="Arial"/>
          <w:color w:val="FFFFFF"/>
          <w:sz w:val="18"/>
          <w:szCs w:val="18"/>
          <w:u w:color="FFFFFF"/>
        </w:rPr>
        <w:t>espaço simples em branco)</w:t>
      </w:r>
    </w:p>
    <w:p w:rsidR="006E1459" w:rsidRDefault="0039414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Aplicação do jogo “corrida ao 100” (Apresentação dos conceitos iniciais sobre Sequências Numéricas)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 xml:space="preserve">(um </w:t>
      </w:r>
      <w:r>
        <w:rPr>
          <w:rFonts w:ascii="Arial" w:hAnsi="Arial"/>
          <w:color w:val="FFFFFF"/>
          <w:sz w:val="18"/>
          <w:szCs w:val="18"/>
          <w:u w:color="FFFFFF"/>
        </w:rPr>
        <w:t>espaço simples em branco)</w:t>
      </w:r>
    </w:p>
    <w:p w:rsidR="006E1459" w:rsidRPr="006F001A" w:rsidRDefault="00394141" w:rsidP="006F001A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</w:t>
      </w:r>
      <w:r w:rsidR="006F001A">
        <w:rPr>
          <w:rFonts w:ascii="Arial" w:hAnsi="Arial"/>
          <w:sz w:val="24"/>
          <w:szCs w:val="24"/>
        </w:rPr>
        <w:t xml:space="preserve">  </w:t>
      </w:r>
      <w:r w:rsidRPr="006F001A">
        <w:rPr>
          <w:rFonts w:ascii="Arial" w:hAnsi="Arial"/>
          <w:color w:val="auto"/>
          <w:sz w:val="24"/>
          <w:szCs w:val="24"/>
        </w:rPr>
        <w:t xml:space="preserve">Esta atividade consistiu em um jogo no qual os alunos deveriam criar uma estratégia que os permitiria vencer as partidas. Para isso, eles foram induzidos a obter uma sequência de </w:t>
      </w:r>
      <w:r w:rsidR="0087569C">
        <w:rPr>
          <w:rFonts w:ascii="Arial" w:hAnsi="Arial"/>
          <w:color w:val="auto"/>
          <w:sz w:val="24"/>
          <w:szCs w:val="24"/>
        </w:rPr>
        <w:t>números</w:t>
      </w:r>
      <w:r w:rsidRPr="006F001A">
        <w:rPr>
          <w:rFonts w:ascii="Arial" w:hAnsi="Arial"/>
          <w:color w:val="auto"/>
          <w:sz w:val="24"/>
          <w:szCs w:val="24"/>
        </w:rPr>
        <w:t xml:space="preserve"> que, ao fim da atividade, seria explorada como uma Progressão Aritmética. </w:t>
      </w:r>
    </w:p>
    <w:p w:rsidR="006E1459" w:rsidRDefault="0039414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</w:t>
      </w:r>
      <w:r>
        <w:rPr>
          <w:rFonts w:ascii="Arial" w:hAnsi="Arial"/>
          <w:sz w:val="24"/>
          <w:szCs w:val="24"/>
        </w:rPr>
        <w:t xml:space="preserve">No início da aula os alunos foram divididos em </w:t>
      </w:r>
      <w:r w:rsidRPr="006F001A">
        <w:rPr>
          <w:rFonts w:ascii="Arial" w:hAnsi="Arial"/>
          <w:color w:val="auto"/>
          <w:sz w:val="24"/>
          <w:szCs w:val="24"/>
        </w:rPr>
        <w:t xml:space="preserve">duplas e cada </w:t>
      </w:r>
      <w:r>
        <w:rPr>
          <w:rFonts w:ascii="Arial" w:hAnsi="Arial"/>
          <w:sz w:val="24"/>
          <w:szCs w:val="24"/>
        </w:rPr>
        <w:t>dupla recebeu uma folha com o jogo, conforme imagem abaixo: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 xml:space="preserve">(um espaço simples em </w:t>
      </w:r>
      <w:r>
        <w:rPr>
          <w:rFonts w:ascii="Arial" w:hAnsi="Arial"/>
          <w:color w:val="FFFFFF"/>
          <w:sz w:val="18"/>
          <w:szCs w:val="18"/>
          <w:u w:color="FFFFFF"/>
        </w:rPr>
        <w:t>branco)</w:t>
      </w:r>
    </w:p>
    <w:p w:rsidR="006E1459" w:rsidRDefault="00394141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1 – Jogo “Corrida ao 100”</w:t>
      </w:r>
    </w:p>
    <w:p w:rsidR="006E1459" w:rsidRDefault="00FD64A7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E088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931920" cy="1181100"/>
            <wp:effectExtent l="0" t="0" r="0" b="0"/>
            <wp:docPr id="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59" w:rsidRDefault="00394141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Unicamp, 2019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 xml:space="preserve">(um </w:t>
      </w:r>
      <w:r>
        <w:rPr>
          <w:rFonts w:ascii="Arial" w:hAnsi="Arial"/>
          <w:color w:val="FFFFFF"/>
          <w:sz w:val="18"/>
          <w:szCs w:val="18"/>
          <w:u w:color="FFFFFF"/>
        </w:rPr>
        <w:t>espaço simples em 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Para começar o jogo, foi definido P=8, ou seja, o jogador poderia andar de 1 a 8 casas na sua </w:t>
      </w:r>
      <w:r w:rsidRPr="006F001A">
        <w:rPr>
          <w:rFonts w:ascii="Arial" w:hAnsi="Arial"/>
          <w:color w:val="auto"/>
          <w:sz w:val="24"/>
          <w:szCs w:val="24"/>
        </w:rPr>
        <w:t xml:space="preserve">vez para, ao final, atingir a casa de número 100.  </w:t>
      </w:r>
      <w:r>
        <w:rPr>
          <w:rFonts w:ascii="Arial" w:hAnsi="Arial"/>
          <w:sz w:val="24"/>
          <w:szCs w:val="24"/>
        </w:rPr>
        <w:t xml:space="preserve">Após 10 minutos de jogo, foi revelado que existia um número </w:t>
      </w:r>
      <w:r w:rsidRPr="006F001A">
        <w:rPr>
          <w:rFonts w:ascii="Arial" w:hAnsi="Arial"/>
          <w:color w:val="auto"/>
          <w:sz w:val="24"/>
          <w:szCs w:val="24"/>
        </w:rPr>
        <w:t>e que o jogador que o escolhesse seria o vencedor, uma espécie de “xeque mate</w:t>
      </w:r>
      <w:r>
        <w:rPr>
          <w:rFonts w:ascii="Arial" w:hAnsi="Arial"/>
          <w:sz w:val="24"/>
          <w:szCs w:val="24"/>
        </w:rPr>
        <w:t>”. Ao parar neste número, o jogador sempre conseguiria escolher o número 100 no final. Após 15 minutos de jogo, o número 91 foi apresentado como o “</w:t>
      </w:r>
      <w:r w:rsidR="0087569C">
        <w:rPr>
          <w:rFonts w:ascii="Arial" w:hAnsi="Arial"/>
          <w:sz w:val="24"/>
          <w:szCs w:val="24"/>
        </w:rPr>
        <w:t>xe</w:t>
      </w:r>
      <w:r>
        <w:rPr>
          <w:rFonts w:ascii="Arial" w:hAnsi="Arial"/>
          <w:sz w:val="24"/>
          <w:szCs w:val="24"/>
        </w:rPr>
        <w:t xml:space="preserve">que mate”, pois ao parar sobre este número, a jogada consecutiva do outro jogador seria entre os números 92 e 99, portanto o jogo acabaria na jogada seguinte. </w:t>
      </w:r>
    </w:p>
    <w:p w:rsidR="003A020B" w:rsidRDefault="00394141">
      <w:pPr>
        <w:pStyle w:val="Normal1"/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Assim como é possível garantir o número 100, escolhendo o 91 na antepenúltima jogada, também é possível garantir o número 91 a partir de uma escolha específica anterior. Com estes esclarecimentos os alunos jogaram mais 5 </w:t>
      </w:r>
    </w:p>
    <w:p w:rsidR="003A020B" w:rsidRDefault="003A020B">
      <w:pPr>
        <w:pStyle w:val="Normal1"/>
        <w:spacing w:after="0" w:line="360" w:lineRule="auto"/>
        <w:jc w:val="both"/>
        <w:rPr>
          <w:rFonts w:ascii="Arial" w:hAnsi="Arial"/>
          <w:sz w:val="24"/>
          <w:szCs w:val="24"/>
        </w:rPr>
      </w:pPr>
    </w:p>
    <w:p w:rsidR="006E1459" w:rsidRDefault="00394141" w:rsidP="0087569C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minutos</w:t>
      </w:r>
      <w:r w:rsidRPr="006F001A">
        <w:rPr>
          <w:rFonts w:ascii="Arial" w:hAnsi="Arial"/>
          <w:color w:val="auto"/>
          <w:sz w:val="24"/>
          <w:szCs w:val="24"/>
        </w:rPr>
        <w:t xml:space="preserve">. Ao final deste tempo, </w:t>
      </w:r>
      <w:r>
        <w:rPr>
          <w:rFonts w:ascii="Arial" w:hAnsi="Arial"/>
          <w:sz w:val="24"/>
          <w:szCs w:val="24"/>
        </w:rPr>
        <w:t>os alunos deveriam encontrar todos os números que deveriam ser escolhidos anteriormente, montando assim a “sequência vencedora”.</w:t>
      </w:r>
      <w:r w:rsidR="0087569C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 partir daí a dupla deveria escolher outro valor para P, entre 5 e 15, e definir a nova “sequência vencedora”.  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Utilização do software Plickers (Apresentação da soma dos n termos de uma progressão aritmética)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Após a dedução da fórmula da soma, cada aluno recebeu um cartão de QR-code, e foi instruído a utilizá-lo para responder as questões de múltipla escolha que seriam realizadas durante a aula. O </w:t>
      </w:r>
      <w:r w:rsidRPr="006F001A">
        <w:rPr>
          <w:rFonts w:ascii="Arial" w:hAnsi="Arial"/>
          <w:color w:val="auto"/>
          <w:sz w:val="24"/>
          <w:szCs w:val="24"/>
        </w:rPr>
        <w:t xml:space="preserve">cartão interage com </w:t>
      </w:r>
      <w:r>
        <w:rPr>
          <w:rFonts w:ascii="Arial" w:hAnsi="Arial"/>
          <w:sz w:val="24"/>
          <w:szCs w:val="24"/>
        </w:rPr>
        <w:t>o software Plickers, que reconhece o aluno e sua resposta ao passar a câmera do celular na frente da folha. A figura de QR-code pode ficar em quatro posições distintas, e cada uma destas posições representa uma alternativa (A, B, C e D).</w:t>
      </w:r>
    </w:p>
    <w:p w:rsidR="006E1459" w:rsidRDefault="0039414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As questões foram projetadas no PowerPoint, e os alunos tiveram alguns minutos para calcular o resultado. Ao finalizar, o aluno deveria associar a resposta encontrada nos cálculos com alguma alternativa, erguendo o QR-code. Em seguida, todos os resultados foram coletados pela câmera do celular do residente, que ao mirar para o Qr-code contabilizou as respostas dos estudantes.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Jogo “Eu tenho... Quem tem?” (Avaliação do conteúdo ministrado)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 xml:space="preserve">(um </w:t>
      </w:r>
      <w:r>
        <w:rPr>
          <w:rFonts w:ascii="Arial" w:hAnsi="Arial"/>
          <w:color w:val="FFFFFF"/>
          <w:sz w:val="18"/>
          <w:szCs w:val="18"/>
          <w:u w:color="FFFFFF"/>
        </w:rPr>
        <w:t>espaço simples em branco)</w:t>
      </w:r>
    </w:p>
    <w:p w:rsidR="006E1459" w:rsidRPr="006F001A" w:rsidRDefault="00394141">
      <w:pPr>
        <w:spacing w:after="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A fim de realizar uma avaliação qualitativa do conteúdo ministrado durante a regência</w:t>
      </w:r>
      <w:r w:rsidR="0087569C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foi implementad</w:t>
      </w:r>
      <w:r w:rsidR="0087569C">
        <w:rPr>
          <w:rFonts w:ascii="Arial" w:hAnsi="Arial"/>
          <w:sz w:val="24"/>
          <w:szCs w:val="24"/>
        </w:rPr>
        <w:t>a uma adapta</w:t>
      </w:r>
      <w:r w:rsidR="00FD64A7">
        <w:rPr>
          <w:rFonts w:ascii="Arial" w:hAnsi="Arial"/>
          <w:sz w:val="24"/>
          <w:szCs w:val="24"/>
        </w:rPr>
        <w:t>ção</w:t>
      </w:r>
      <w:r>
        <w:rPr>
          <w:rFonts w:ascii="Arial" w:hAnsi="Arial"/>
          <w:sz w:val="24"/>
          <w:szCs w:val="24"/>
        </w:rPr>
        <w:t xml:space="preserve"> </w:t>
      </w:r>
      <w:r w:rsidR="00FD64A7"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 xml:space="preserve">o Jogo: “Eu tenho... Quem tem?”. Para </w:t>
      </w:r>
      <w:r w:rsidR="00FD64A7">
        <w:rPr>
          <w:rFonts w:ascii="Arial" w:hAnsi="Arial"/>
          <w:sz w:val="24"/>
          <w:szCs w:val="24"/>
        </w:rPr>
        <w:t>esta atividade,</w:t>
      </w:r>
      <w:r>
        <w:rPr>
          <w:rFonts w:ascii="Arial" w:hAnsi="Arial"/>
          <w:sz w:val="24"/>
          <w:szCs w:val="24"/>
        </w:rPr>
        <w:t xml:space="preserve"> a turma foi dividida em cinco </w:t>
      </w:r>
      <w:r w:rsidR="00FD64A7">
        <w:rPr>
          <w:rFonts w:ascii="Arial" w:hAnsi="Arial"/>
          <w:sz w:val="24"/>
          <w:szCs w:val="24"/>
        </w:rPr>
        <w:t>equipes contendo</w:t>
      </w:r>
      <w:r>
        <w:rPr>
          <w:rFonts w:ascii="Arial" w:hAnsi="Arial"/>
          <w:sz w:val="24"/>
          <w:szCs w:val="24"/>
        </w:rPr>
        <w:t xml:space="preserve"> 5 </w:t>
      </w:r>
      <w:r w:rsidR="00FD64A7">
        <w:rPr>
          <w:rFonts w:ascii="Arial" w:hAnsi="Arial"/>
          <w:sz w:val="24"/>
          <w:szCs w:val="24"/>
        </w:rPr>
        <w:t>ou</w:t>
      </w:r>
      <w:r>
        <w:rPr>
          <w:rFonts w:ascii="Arial" w:hAnsi="Arial"/>
          <w:sz w:val="24"/>
          <w:szCs w:val="24"/>
        </w:rPr>
        <w:t xml:space="preserve"> 6 pessoas, cada grupo recebeu 24 fichas contendo, </w:t>
      </w:r>
      <w:r w:rsidRPr="006F001A">
        <w:rPr>
          <w:rFonts w:ascii="Arial" w:hAnsi="Arial"/>
          <w:color w:val="auto"/>
          <w:sz w:val="24"/>
          <w:szCs w:val="24"/>
        </w:rPr>
        <w:t xml:space="preserve">em cada uma delas, uma pergunta e uma resposta sobre o conteúdo de PA e PG.  As fichas foram distribuídas igualmente entre </w:t>
      </w:r>
      <w:r w:rsidR="00FD64A7">
        <w:rPr>
          <w:rFonts w:ascii="Arial" w:hAnsi="Arial"/>
          <w:color w:val="auto"/>
          <w:sz w:val="24"/>
          <w:szCs w:val="24"/>
        </w:rPr>
        <w:t xml:space="preserve">todos </w:t>
      </w:r>
      <w:r w:rsidRPr="006F001A">
        <w:rPr>
          <w:rFonts w:ascii="Arial" w:hAnsi="Arial"/>
          <w:color w:val="auto"/>
          <w:sz w:val="24"/>
          <w:szCs w:val="24"/>
        </w:rPr>
        <w:t xml:space="preserve">os </w:t>
      </w:r>
      <w:r w:rsidR="00FD64A7">
        <w:rPr>
          <w:rFonts w:ascii="Arial" w:hAnsi="Arial"/>
          <w:color w:val="auto"/>
          <w:sz w:val="24"/>
          <w:szCs w:val="24"/>
        </w:rPr>
        <w:t>membros</w:t>
      </w:r>
      <w:r w:rsidRPr="006F001A">
        <w:rPr>
          <w:rFonts w:ascii="Arial" w:hAnsi="Arial"/>
          <w:color w:val="auto"/>
          <w:sz w:val="24"/>
          <w:szCs w:val="24"/>
        </w:rPr>
        <w:t xml:space="preserve"> do grupo, então um integrante lia a afirmação e a pergunta de sua ficha e </w:t>
      </w:r>
      <w:r w:rsidR="00FD64A7">
        <w:rPr>
          <w:rFonts w:ascii="Arial" w:hAnsi="Arial"/>
          <w:color w:val="auto"/>
          <w:sz w:val="24"/>
          <w:szCs w:val="24"/>
        </w:rPr>
        <w:t>os demais</w:t>
      </w:r>
      <w:r w:rsidRPr="006F001A">
        <w:rPr>
          <w:rFonts w:ascii="Arial" w:hAnsi="Arial"/>
          <w:color w:val="auto"/>
          <w:sz w:val="24"/>
          <w:szCs w:val="24"/>
        </w:rPr>
        <w:t xml:space="preserve"> integrante</w:t>
      </w:r>
      <w:r w:rsidR="00FD64A7">
        <w:rPr>
          <w:rFonts w:ascii="Arial" w:hAnsi="Arial"/>
          <w:color w:val="auto"/>
          <w:sz w:val="24"/>
          <w:szCs w:val="24"/>
        </w:rPr>
        <w:t>s</w:t>
      </w:r>
      <w:r w:rsidRPr="006F001A">
        <w:rPr>
          <w:rFonts w:ascii="Arial" w:hAnsi="Arial"/>
          <w:color w:val="auto"/>
          <w:sz w:val="24"/>
          <w:szCs w:val="24"/>
        </w:rPr>
        <w:t xml:space="preserve"> </w:t>
      </w:r>
      <w:r w:rsidR="00FD64A7">
        <w:rPr>
          <w:rFonts w:ascii="Arial" w:hAnsi="Arial"/>
          <w:color w:val="auto"/>
          <w:sz w:val="24"/>
          <w:szCs w:val="24"/>
        </w:rPr>
        <w:t xml:space="preserve">eram desafiados a </w:t>
      </w:r>
      <w:r w:rsidRPr="006F001A">
        <w:rPr>
          <w:rFonts w:ascii="Arial" w:hAnsi="Arial"/>
          <w:color w:val="auto"/>
          <w:sz w:val="24"/>
          <w:szCs w:val="24"/>
        </w:rPr>
        <w:t xml:space="preserve">encontrar a resposta na própria ficha para continuar o jogo.                                                                                   </w:t>
      </w:r>
    </w:p>
    <w:p w:rsidR="006E1459" w:rsidRPr="006F001A" w:rsidRDefault="00394141">
      <w:pPr>
        <w:spacing w:after="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F001A">
        <w:rPr>
          <w:rFonts w:ascii="Arial" w:hAnsi="Arial"/>
          <w:color w:val="auto"/>
          <w:sz w:val="24"/>
          <w:szCs w:val="24"/>
        </w:rPr>
        <w:t xml:space="preserve">                 </w:t>
      </w:r>
      <w:r w:rsidR="00FD64A7">
        <w:rPr>
          <w:rFonts w:ascii="Arial" w:hAnsi="Arial"/>
          <w:color w:val="auto"/>
          <w:sz w:val="24"/>
          <w:szCs w:val="24"/>
        </w:rPr>
        <w:t xml:space="preserve">As fichas continham </w:t>
      </w:r>
      <w:bookmarkStart w:id="0" w:name="_GoBack"/>
      <w:bookmarkEnd w:id="0"/>
      <w:r w:rsidRPr="006F001A">
        <w:rPr>
          <w:rFonts w:ascii="Arial" w:hAnsi="Arial"/>
          <w:color w:val="auto"/>
          <w:sz w:val="24"/>
          <w:szCs w:val="24"/>
        </w:rPr>
        <w:t xml:space="preserve"> respostas e perguntas, como exemplificado a seguir.</w:t>
      </w:r>
    </w:p>
    <w:p w:rsidR="006E1459" w:rsidRDefault="00394141">
      <w:pPr>
        <w:numPr>
          <w:ilvl w:val="0"/>
          <w:numId w:val="2"/>
        </w:num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6F001A">
        <w:rPr>
          <w:rFonts w:ascii="Arial" w:hAnsi="Arial"/>
          <w:color w:val="auto"/>
          <w:sz w:val="24"/>
          <w:szCs w:val="24"/>
        </w:rPr>
        <w:t>Eu tenho a sequência ( 38,</w:t>
      </w:r>
      <w:r w:rsidRPr="006F001A">
        <w:rPr>
          <w:rFonts w:ascii="Arial" w:hAnsi="Arial"/>
          <w:b/>
          <w:bCs/>
          <w:color w:val="auto"/>
          <w:sz w:val="24"/>
          <w:szCs w:val="24"/>
        </w:rPr>
        <w:t>…</w:t>
      </w:r>
      <w:r w:rsidRPr="006F001A">
        <w:rPr>
          <w:rFonts w:ascii="Arial" w:hAnsi="Arial"/>
          <w:color w:val="auto"/>
          <w:sz w:val="24"/>
          <w:szCs w:val="24"/>
        </w:rPr>
        <w:t xml:space="preserve">, 48 ), quem tem </w:t>
      </w:r>
      <w:r>
        <w:rPr>
          <w:rFonts w:ascii="Arial" w:hAnsi="Arial"/>
          <w:sz w:val="24"/>
          <w:szCs w:val="24"/>
        </w:rPr>
        <w:t>o meu extremo?</w:t>
      </w:r>
    </w:p>
    <w:p w:rsidR="003A020B" w:rsidRDefault="003A020B" w:rsidP="003A020B">
      <w:pPr>
        <w:spacing w:after="0" w:line="360" w:lineRule="auto"/>
        <w:jc w:val="both"/>
        <w:rPr>
          <w:rFonts w:ascii="Arial" w:hAnsi="Arial"/>
          <w:sz w:val="24"/>
          <w:szCs w:val="24"/>
        </w:rPr>
      </w:pPr>
    </w:p>
    <w:p w:rsidR="003A020B" w:rsidRDefault="003A020B" w:rsidP="003A020B">
      <w:pPr>
        <w:spacing w:after="0" w:line="360" w:lineRule="auto"/>
        <w:jc w:val="both"/>
        <w:rPr>
          <w:rFonts w:ascii="Arial" w:hAnsi="Arial"/>
          <w:sz w:val="24"/>
          <w:szCs w:val="24"/>
        </w:rPr>
      </w:pPr>
    </w:p>
    <w:p w:rsidR="006E1459" w:rsidRDefault="00394141">
      <w:pPr>
        <w:numPr>
          <w:ilvl w:val="0"/>
          <w:numId w:val="2"/>
        </w:num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Eu tenho 48, quem tem o meu número menos 10 como sendo o seu último termo?</w:t>
      </w:r>
    </w:p>
    <w:p w:rsidR="006E1459" w:rsidRDefault="00394141">
      <w:pPr>
        <w:numPr>
          <w:ilvl w:val="0"/>
          <w:numId w:val="2"/>
        </w:num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Eu tenho ( 18, 28, 38), quem tem a minha razão?</w:t>
      </w:r>
    </w:p>
    <w:p w:rsidR="006E1459" w:rsidRDefault="00394141">
      <w:pPr>
        <w:numPr>
          <w:ilvl w:val="0"/>
          <w:numId w:val="2"/>
        </w:num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Eu tenho 10, quem tem o meu número como razão de sua PG?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u w:color="FFFFFF"/>
        </w:rPr>
      </w:pPr>
      <w:r>
        <w:rPr>
          <w:rFonts w:ascii="Arial" w:hAnsi="Arial"/>
          <w:color w:val="FFFFFF"/>
          <w:sz w:val="24"/>
          <w:szCs w:val="24"/>
          <w:u w:color="FFFFFF"/>
        </w:rPr>
        <w:t xml:space="preserve"> </w:t>
      </w:r>
      <w:r>
        <w:rPr>
          <w:rFonts w:ascii="Arial" w:hAnsi="Arial"/>
          <w:color w:val="FFFFFF"/>
          <w:sz w:val="18"/>
          <w:szCs w:val="18"/>
          <w:u w:color="FFFFFF"/>
        </w:rPr>
        <w:t xml:space="preserve">(um espaço simples </w:t>
      </w:r>
    </w:p>
    <w:p w:rsidR="006E1459" w:rsidRPr="003A020B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color w:val="FFFFFF"/>
          <w:sz w:val="18"/>
          <w:szCs w:val="18"/>
          <w:u w:color="FFFFFF"/>
        </w:rPr>
        <w:t>em</w:t>
      </w:r>
      <w:r>
        <w:rPr>
          <w:rFonts w:ascii="Arial" w:hAnsi="Arial"/>
          <w:b/>
          <w:bCs/>
          <w:sz w:val="24"/>
          <w:szCs w:val="24"/>
        </w:rPr>
        <w:t>Utilização da plataforma Socrative (Avaliação do conteúdo ministrado)</w:t>
      </w:r>
      <w:r>
        <w:rPr>
          <w:rFonts w:ascii="Arial" w:hAnsi="Arial"/>
          <w:color w:val="FFFFFF"/>
          <w:sz w:val="18"/>
          <w:szCs w:val="18"/>
          <w:u w:color="FFFFFF"/>
        </w:rPr>
        <w:t>simples em branco)</w:t>
      </w:r>
    </w:p>
    <w:p w:rsidR="006E1459" w:rsidRDefault="0039414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F001A">
        <w:rPr>
          <w:rFonts w:ascii="Arial" w:hAnsi="Arial"/>
          <w:color w:val="auto"/>
          <w:sz w:val="24"/>
          <w:szCs w:val="24"/>
        </w:rPr>
        <w:t xml:space="preserve">                 Para a avaliação final do período de regência foi utilizada a plataforma Socrative, como recurso didático tecnológico avaliativo. Para esta atividade, a turma foi dividida em 11 equipes e as questões da avaliação foram disparadas para o celular dos alunos via internet, por meio do acesso “Socrative teacher”, no modo “Corrida Espacial”.  As questões foram lançadas em modo aleatório e um “placar” foi projetado no monitor da televisão da sala de aula, permitindo o acompanhamento do desenvolvimento da atividade. Neste “placar” cada equipe estava representada por um foguete de cor específica, escolhida previamente por cada grupo no acesso </w:t>
      </w:r>
      <w:r>
        <w:rPr>
          <w:rFonts w:ascii="Arial" w:hAnsi="Arial"/>
          <w:sz w:val="24"/>
          <w:szCs w:val="24"/>
        </w:rPr>
        <w:t>“Socrative Student”.</w:t>
      </w:r>
    </w:p>
    <w:p w:rsidR="006E1459" w:rsidRPr="002E088A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</w:t>
      </w:r>
      <w:r w:rsidRPr="002E088A">
        <w:rPr>
          <w:rFonts w:ascii="Arial" w:hAnsi="Arial"/>
          <w:color w:val="FFFFFF"/>
          <w:sz w:val="18"/>
          <w:szCs w:val="18"/>
          <w:u w:color="FFFFFF"/>
        </w:rPr>
        <w:t>um espaço simples em 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 w:rsidRPr="002E088A">
        <w:rPr>
          <w:rFonts w:ascii="Arial" w:hAnsi="Arial"/>
          <w:color w:val="FFFFFF"/>
          <w:sz w:val="18"/>
          <w:szCs w:val="18"/>
          <w:u w:color="FFFFFF"/>
        </w:rPr>
        <w:t>(um espaço simples em branco</w:t>
      </w:r>
      <w:r>
        <w:rPr>
          <w:rFonts w:ascii="Arial" w:hAnsi="Arial"/>
          <w:color w:val="FFFFFF"/>
          <w:sz w:val="18"/>
          <w:szCs w:val="18"/>
          <w:u w:color="FFFFFF"/>
        </w:rPr>
        <w:t>)</w:t>
      </w:r>
    </w:p>
    <w:p w:rsidR="006E1459" w:rsidRDefault="0039414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RESULTADOS E DISCUSSÃO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</w:t>
      </w:r>
      <w:r>
        <w:rPr>
          <w:rFonts w:ascii="Arial" w:hAnsi="Arial"/>
          <w:color w:val="FFFFFF"/>
          <w:sz w:val="24"/>
          <w:szCs w:val="24"/>
          <w:u w:color="FFFFFF"/>
        </w:rPr>
        <w:t xml:space="preserve"> em branco)</w:t>
      </w:r>
    </w:p>
    <w:p w:rsidR="006E1459" w:rsidRPr="006F001A" w:rsidRDefault="0039414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F001A">
        <w:rPr>
          <w:rFonts w:ascii="Arial" w:hAnsi="Arial"/>
          <w:color w:val="auto"/>
          <w:sz w:val="24"/>
          <w:szCs w:val="24"/>
        </w:rPr>
        <w:t xml:space="preserve">Os jogos e tecnologias foram essenciais para atingir os propósitos de cada aula. </w:t>
      </w:r>
      <w:r w:rsidRPr="006F001A">
        <w:rPr>
          <w:rFonts w:ascii="Arial" w:hAnsi="Arial"/>
          <w:color w:val="auto"/>
          <w:sz w:val="24"/>
          <w:szCs w:val="24"/>
          <w:u w:color="FFFFFF"/>
        </w:rPr>
        <w:t xml:space="preserve">As sequências obtidas no jogo Corrida ao 100 foram exemplos de Progressões Aritméticas, permitindo uma introdução mais concreta do conteúdo. </w:t>
      </w:r>
      <w:r w:rsidRPr="006F001A">
        <w:rPr>
          <w:rFonts w:ascii="Arial" w:hAnsi="Arial"/>
          <w:color w:val="auto"/>
          <w:sz w:val="24"/>
          <w:szCs w:val="24"/>
        </w:rPr>
        <w:t>Durante o jogo “Eu tenho...Quem tem?”, constatou-se que  os alunos tinham conhecimento sobre os conceitos abordados, as dúvidas foram em sua maioria relacionadas a interpretação do enunciado das questões ou em encontrar a resposta correta, que em alguns casos estava mascarada matematicamente.  Essa atividade, possibilitou um clima colaborativo entre os elementos de cada equipe.</w:t>
      </w:r>
    </w:p>
    <w:p w:rsidR="006E1459" w:rsidRDefault="00394141">
      <w:pPr>
        <w:pStyle w:val="Normal1"/>
        <w:spacing w:after="0" w:line="360" w:lineRule="auto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 aula em que houve a utilização do software Plickers foi possível perceber o entusiasmo dos estudantes pela tecnologia. Esta dinâmica, talvez pela competição ou simplesmente por ser diferente, agilizou o processo dos cálculos. No final da avaliação a turma acertou 80% das questões. Os erros se concentraram</w:t>
      </w:r>
      <w:r w:rsidR="006F001A">
        <w:rPr>
          <w:rFonts w:ascii="Arial" w:hAnsi="Arial"/>
          <w:sz w:val="24"/>
          <w:szCs w:val="24"/>
        </w:rPr>
        <w:t xml:space="preserve"> em uma </w:t>
      </w:r>
      <w:r>
        <w:rPr>
          <w:rFonts w:ascii="Arial" w:hAnsi="Arial"/>
          <w:sz w:val="24"/>
          <w:szCs w:val="24"/>
        </w:rPr>
        <w:t xml:space="preserve">questão </w:t>
      </w:r>
      <w:r w:rsidR="006F001A">
        <w:rPr>
          <w:rFonts w:ascii="Arial" w:hAnsi="Arial"/>
          <w:sz w:val="24"/>
          <w:szCs w:val="24"/>
        </w:rPr>
        <w:t>específica da avaliação</w:t>
      </w:r>
      <w:r>
        <w:rPr>
          <w:rFonts w:ascii="Arial" w:hAnsi="Arial"/>
          <w:sz w:val="24"/>
          <w:szCs w:val="24"/>
        </w:rPr>
        <w:t>, que pedia a razão de uma PA dada. Esta questão foi retomada no início da aula seguinte.</w:t>
      </w:r>
    </w:p>
    <w:p w:rsidR="003A020B" w:rsidRDefault="003A020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6E1459" w:rsidRDefault="0039414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Na aula em que houve a utilização da plataforma Socrative criou-se um clima de competição entre os alunos, que reforçou o debate entre os integrantes da equipe para não errar nenhuma questão e ficar para trás. A média final da turma foi 7,4. </w:t>
      </w:r>
      <w:r w:rsidRPr="006F001A">
        <w:rPr>
          <w:rFonts w:ascii="Arial" w:hAnsi="Arial"/>
          <w:color w:val="auto"/>
          <w:sz w:val="24"/>
          <w:szCs w:val="24"/>
        </w:rPr>
        <w:t>Assim como no Plickers, o Socrative permitiu localizar os erros de forma específica, possibilitando a sua retomada.</w:t>
      </w:r>
    </w:p>
    <w:p w:rsidR="0082619D" w:rsidRPr="002E088A" w:rsidRDefault="0082619D" w:rsidP="0082619D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 w:rsidRPr="002E088A">
        <w:rPr>
          <w:rFonts w:ascii="Arial" w:hAnsi="Arial"/>
          <w:color w:val="FFFFFF"/>
          <w:sz w:val="18"/>
          <w:szCs w:val="18"/>
          <w:u w:color="FFFFFF"/>
        </w:rPr>
        <w:t>um espaço simples em branco)</w:t>
      </w:r>
    </w:p>
    <w:p w:rsidR="006E1459" w:rsidRDefault="0082619D" w:rsidP="0082619D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 w:rsidRPr="002E088A">
        <w:rPr>
          <w:rFonts w:ascii="Arial" w:hAnsi="Arial"/>
          <w:color w:val="FFFFFF"/>
          <w:sz w:val="18"/>
          <w:szCs w:val="18"/>
          <w:u w:color="FFFFFF"/>
        </w:rPr>
        <w:t>(um espaço simples em branco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  <w:u w:color="0000FF"/>
        </w:rPr>
      </w:pPr>
      <w:r>
        <w:rPr>
          <w:rFonts w:ascii="Arial" w:hAnsi="Arial"/>
          <w:b/>
          <w:bCs/>
          <w:sz w:val="24"/>
          <w:szCs w:val="24"/>
        </w:rPr>
        <w:t>CONCLUSÕES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experimento didático contribuiu de forma significativa como gerador de experiência, pois proporcionou momentos marcantes para nossa formação, como professores de matemática. </w:t>
      </w:r>
    </w:p>
    <w:p w:rsidR="006E1459" w:rsidRDefault="0039414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partir dessa atividade foi possível dar relevância a alguns pontos antes não notados, como o envolvimento e interesse da turma que se fez dinâmico e atraente, além da autonomia para solucionar os desafios encontrados. Percebemos que desenvolver uma aula diferente </w:t>
      </w:r>
      <w:r w:rsidRPr="00496021">
        <w:rPr>
          <w:rFonts w:ascii="Arial" w:hAnsi="Arial"/>
          <w:color w:val="auto"/>
          <w:sz w:val="24"/>
          <w:szCs w:val="24"/>
        </w:rPr>
        <w:t xml:space="preserve">é bastante desafiador, </w:t>
      </w:r>
      <w:r>
        <w:rPr>
          <w:rFonts w:ascii="Arial" w:hAnsi="Arial"/>
          <w:sz w:val="24"/>
          <w:szCs w:val="24"/>
        </w:rPr>
        <w:t xml:space="preserve">neste caso ainda mais, pois cada aula precisava apresentar uma definição específica dentro do conteúdo de Progressões, com metodologia diferenciada. </w:t>
      </w:r>
    </w:p>
    <w:p w:rsidR="006E1459" w:rsidRDefault="0039414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Hoje em dia é muito prático seguir as instruções de uma apostila, ou reproduzir uma sequência didática de um livro, mas este processo de construção das aulas, evidenciou que o professor pode ir além, adaptando o material para o perfil da turma, apresentando conteúdo de diferentes pontos de vista, por diferentes metodologias.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>(um espaço simples em 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color w:val="FFFFFF"/>
          <w:sz w:val="24"/>
          <w:szCs w:val="24"/>
          <w:u w:color="FFFFFF"/>
        </w:rPr>
      </w:pPr>
      <w:r>
        <w:rPr>
          <w:rFonts w:ascii="Arial" w:hAnsi="Arial"/>
          <w:color w:val="FFFFFF"/>
          <w:sz w:val="18"/>
          <w:szCs w:val="18"/>
          <w:u w:color="FFFFFF"/>
        </w:rPr>
        <w:t xml:space="preserve">(um espaço simples em </w:t>
      </w:r>
      <w:r>
        <w:rPr>
          <w:rFonts w:ascii="Arial" w:hAnsi="Arial"/>
          <w:color w:val="FFFFFF"/>
          <w:sz w:val="24"/>
          <w:szCs w:val="24"/>
          <w:u w:color="FFFFFF"/>
        </w:rPr>
        <w:t>branco)</w:t>
      </w:r>
    </w:p>
    <w:p w:rsidR="006E1459" w:rsidRDefault="00394141">
      <w:pPr>
        <w:pStyle w:val="Normal1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REFERÊNCIAS</w:t>
      </w:r>
      <w:r>
        <w:rPr>
          <w:rFonts w:ascii="Arial" w:hAnsi="Arial"/>
          <w:color w:val="FFFFFF"/>
          <w:sz w:val="24"/>
          <w:szCs w:val="24"/>
          <w:u w:color="FFFFFF"/>
        </w:rPr>
        <w:t>simples em branco)</w:t>
      </w:r>
    </w:p>
    <w:p w:rsidR="006E1459" w:rsidRDefault="00394141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POCHO, C.L.; AGUIAR, M. M.; SAMPAIO, M. N. </w:t>
      </w:r>
      <w:r>
        <w:rPr>
          <w:rFonts w:ascii="Arial" w:hAnsi="Arial"/>
          <w:b/>
          <w:bCs/>
          <w:sz w:val="24"/>
          <w:szCs w:val="24"/>
        </w:rPr>
        <w:t>Tecnologia Educacional: descubra suas possibilidades na sala de aula.</w:t>
      </w:r>
      <w:r>
        <w:rPr>
          <w:rFonts w:ascii="Arial" w:hAnsi="Arial"/>
          <w:sz w:val="24"/>
          <w:szCs w:val="24"/>
        </w:rPr>
        <w:t xml:space="preserve"> 5. ed. – Petrópolis, RJ : Vozes, 2010.</w:t>
      </w:r>
    </w:p>
    <w:p w:rsidR="006E1459" w:rsidRDefault="006E1459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E1459" w:rsidRPr="0095287A" w:rsidRDefault="00394141">
      <w:pPr>
        <w:pStyle w:val="Normal1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SILVA, C</w:t>
      </w:r>
      <w:r w:rsidR="00496021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R</w:t>
      </w:r>
      <w:r w:rsidR="00496021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>; MARTINS, L</w:t>
      </w:r>
      <w:r w:rsidR="00496021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P</w:t>
      </w:r>
      <w:r w:rsidR="00496021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; MELO, M. </w:t>
      </w:r>
      <w:r>
        <w:rPr>
          <w:rFonts w:ascii="Arial" w:hAnsi="Arial"/>
          <w:b/>
          <w:bCs/>
          <w:sz w:val="24"/>
          <w:szCs w:val="24"/>
        </w:rPr>
        <w:t>O</w:t>
      </w:r>
      <w:r w:rsidR="0095287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experimento: corrida ao 100.</w:t>
      </w:r>
      <w:r w:rsidR="0095287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Disponível em:</w:t>
      </w:r>
      <w:r w:rsidR="0095287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&lt;http://m3.ime.unicamp.br/recursos/1003&gt;. Acesso em: 01 jul 2019.</w:t>
      </w:r>
    </w:p>
    <w:p w:rsidR="006E1459" w:rsidRDefault="006E1459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E1459" w:rsidRDefault="00394141">
      <w:pPr>
        <w:pStyle w:val="Normal1"/>
        <w:spacing w:after="0" w:line="240" w:lineRule="auto"/>
      </w:pPr>
      <w:r>
        <w:rPr>
          <w:rFonts w:ascii="Arial" w:hAnsi="Arial"/>
          <w:sz w:val="24"/>
          <w:szCs w:val="24"/>
        </w:rPr>
        <w:t xml:space="preserve">TAHAN, M. </w:t>
      </w:r>
      <w:r>
        <w:rPr>
          <w:rFonts w:ascii="Arial" w:hAnsi="Arial"/>
          <w:b/>
          <w:bCs/>
          <w:sz w:val="24"/>
          <w:szCs w:val="24"/>
        </w:rPr>
        <w:t>O homem que calculava.</w:t>
      </w:r>
      <w:r>
        <w:rPr>
          <w:rFonts w:ascii="Arial" w:hAnsi="Arial"/>
          <w:sz w:val="24"/>
          <w:szCs w:val="24"/>
        </w:rPr>
        <w:t xml:space="preserve"> Rio de Janeiro: Record, 1968.</w:t>
      </w:r>
    </w:p>
    <w:sectPr w:rsidR="006E14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9BE" w:rsidRDefault="00DE69BE">
      <w:pPr>
        <w:spacing w:after="0" w:line="240" w:lineRule="auto"/>
      </w:pPr>
      <w:r>
        <w:separator/>
      </w:r>
    </w:p>
  </w:endnote>
  <w:endnote w:type="continuationSeparator" w:id="0">
    <w:p w:rsidR="00DE69BE" w:rsidRDefault="00DE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69C" w:rsidRDefault="008756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69C" w:rsidRDefault="008756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69C" w:rsidRDefault="008756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9BE" w:rsidRDefault="00DE69BE">
      <w:r>
        <w:separator/>
      </w:r>
    </w:p>
  </w:footnote>
  <w:footnote w:type="continuationSeparator" w:id="0">
    <w:p w:rsidR="00DE69BE" w:rsidRDefault="00DE69BE">
      <w:r>
        <w:continuationSeparator/>
      </w:r>
    </w:p>
  </w:footnote>
  <w:footnote w:type="continuationNotice" w:id="1">
    <w:p w:rsidR="00DE69BE" w:rsidRDefault="00DE69BE"/>
  </w:footnote>
  <w:footnote w:id="2">
    <w:p w:rsidR="00394141" w:rsidRPr="00F7673D" w:rsidRDefault="00F7673D" w:rsidP="00F7673D">
      <w:pPr>
        <w:pStyle w:val="Rodap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1 Estudante de Graduação em Licenciatura em Matemática, Instituto Federal Catarinense – Campus Camboriú. E-mail: caroline.dplima@gmail.com</w:t>
      </w:r>
    </w:p>
  </w:footnote>
  <w:footnote w:id="3">
    <w:p w:rsidR="00394141" w:rsidRPr="00F7673D" w:rsidRDefault="00F7673D" w:rsidP="00F7673D">
      <w:pPr>
        <w:pStyle w:val="Rodap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2 Estudante de Graduação em Licenciatura em Matemática, Instituto Federal Catarinense – Campus Camboriú. E-mail: </w:t>
      </w:r>
      <w:hyperlink r:id="rId1" w:history="1">
        <w:r w:rsidRPr="002F09C6">
          <w:rPr>
            <w:rStyle w:val="Hyperlink"/>
            <w:rFonts w:ascii="Arial" w:hAnsi="Arial"/>
            <w:sz w:val="18"/>
            <w:szCs w:val="18"/>
          </w:rPr>
          <w:t>jack.mjl@hotmail.com</w:t>
        </w:r>
      </w:hyperlink>
    </w:p>
  </w:footnote>
  <w:footnote w:id="4">
    <w:p w:rsidR="00F7673D" w:rsidRDefault="00F7673D" w:rsidP="00F7673D">
      <w:pPr>
        <w:pStyle w:val="Rodap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3 </w:t>
      </w:r>
      <w:r w:rsidRPr="00553FEF">
        <w:rPr>
          <w:rFonts w:ascii="Arial" w:hAnsi="Arial"/>
          <w:color w:val="auto"/>
          <w:sz w:val="18"/>
          <w:szCs w:val="18"/>
        </w:rPr>
        <w:t>Professora Mestre em Matemática</w:t>
      </w:r>
      <w:r>
        <w:rPr>
          <w:rFonts w:ascii="Arial" w:hAnsi="Arial"/>
          <w:sz w:val="18"/>
          <w:szCs w:val="18"/>
        </w:rPr>
        <w:t xml:space="preserve">, Instituto Federal Catarinense – Campus Camboriú. </w:t>
      </w:r>
    </w:p>
    <w:p w:rsidR="00394141" w:rsidRPr="00F7673D" w:rsidRDefault="00F7673D" w:rsidP="00F7673D">
      <w:pPr>
        <w:pStyle w:val="Rodap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E-mail: </w:t>
      </w:r>
      <w:hyperlink r:id="rId2" w:history="1">
        <w:r w:rsidRPr="002F09C6">
          <w:rPr>
            <w:rStyle w:val="Hyperlink"/>
            <w:rFonts w:ascii="Arial" w:hAnsi="Arial"/>
            <w:sz w:val="18"/>
            <w:szCs w:val="18"/>
          </w:rPr>
          <w:t>araceli.goncalves@ifc.edu.br</w:t>
        </w:r>
      </w:hyperlink>
    </w:p>
  </w:footnote>
  <w:footnote w:id="5">
    <w:p w:rsidR="00F7673D" w:rsidRDefault="00F7673D" w:rsidP="00F7673D">
      <w:pPr>
        <w:pStyle w:val="Rodap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4 </w:t>
      </w:r>
      <w:r w:rsidRPr="00553FEF">
        <w:rPr>
          <w:rFonts w:ascii="Arial" w:hAnsi="Arial"/>
          <w:color w:val="auto"/>
          <w:sz w:val="18"/>
          <w:szCs w:val="18"/>
        </w:rPr>
        <w:t>Professora Mestre em Matemática</w:t>
      </w:r>
      <w:r>
        <w:rPr>
          <w:rFonts w:ascii="Arial" w:hAnsi="Arial"/>
          <w:sz w:val="18"/>
          <w:szCs w:val="18"/>
        </w:rPr>
        <w:t xml:space="preserve">, Instituto Federal Catarinense – Campus Camboriú. </w:t>
      </w:r>
    </w:p>
    <w:p w:rsidR="00553FEF" w:rsidRPr="00553FEF" w:rsidRDefault="00F7673D" w:rsidP="00F7673D">
      <w:pPr>
        <w:pStyle w:val="Rodap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E-mail: carla.morschbacher@ifc.edu.br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69C" w:rsidRDefault="008756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59" w:rsidRDefault="00FD64A7">
    <w:pPr>
      <w:pStyle w:val="Normal1"/>
      <w:spacing w:after="0" w:line="240" w:lineRule="auto"/>
      <w:jc w:val="center"/>
    </w:pPr>
    <w:r w:rsidRPr="002E088A">
      <w:rPr>
        <w:noProof/>
        <w:sz w:val="20"/>
        <w:szCs w:val="20"/>
      </w:rPr>
      <w:drawing>
        <wp:inline distT="0" distB="0" distL="0" distR="0">
          <wp:extent cx="3604260" cy="579120"/>
          <wp:effectExtent l="0" t="0" r="0" b="0"/>
          <wp:docPr id="6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426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69C" w:rsidRDefault="008756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6BA1"/>
    <w:multiLevelType w:val="hybridMultilevel"/>
    <w:tmpl w:val="215664C6"/>
    <w:numStyleLink w:val="EstiloImportado1"/>
  </w:abstractNum>
  <w:abstractNum w:abstractNumId="1" w15:restartNumberingAfterBreak="0">
    <w:nsid w:val="5D7801AE"/>
    <w:multiLevelType w:val="hybridMultilevel"/>
    <w:tmpl w:val="215664C6"/>
    <w:styleLink w:val="EstiloImportado1"/>
    <w:lvl w:ilvl="0" w:tplc="7E9A4DA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F08D31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B4275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4D0E52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3503CD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562FA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E94FB8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174FA1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CB07B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9C"/>
    <w:rsid w:val="002E088A"/>
    <w:rsid w:val="00325EAB"/>
    <w:rsid w:val="00394141"/>
    <w:rsid w:val="003A020B"/>
    <w:rsid w:val="00496021"/>
    <w:rsid w:val="00553FEF"/>
    <w:rsid w:val="006B4C15"/>
    <w:rsid w:val="006E1459"/>
    <w:rsid w:val="006F001A"/>
    <w:rsid w:val="0082619D"/>
    <w:rsid w:val="0087569C"/>
    <w:rsid w:val="0095287A"/>
    <w:rsid w:val="009E2B98"/>
    <w:rsid w:val="00A00CCA"/>
    <w:rsid w:val="00DE69BE"/>
    <w:rsid w:val="00EC3FBD"/>
    <w:rsid w:val="00F34C8A"/>
    <w:rsid w:val="00F7673D"/>
    <w:rsid w:val="00FD64A7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F932"/>
  <w15:docId w15:val="{4C77D583-7E14-456E-976C-ADA32778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bdr w:val="ni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bdr w:val="nil"/>
      <w:lang w:val="pt-PT"/>
    </w:rPr>
  </w:style>
  <w:style w:type="paragraph" w:customStyle="1" w:styleId="CabealhoeRodap">
    <w:name w:val="Cabeçalho e Rodapé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bdr w:val="nil"/>
    </w:rPr>
  </w:style>
  <w:style w:type="paragraph" w:styleId="Rodap">
    <w:name w:val="footer"/>
    <w:link w:val="RodapChar"/>
    <w:uiPriority w:val="99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bdr w:val="nil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53FEF"/>
    <w:rPr>
      <w:rFonts w:ascii="Segoe UI" w:hAnsi="Segoe UI" w:cs="Segoe UI"/>
      <w:color w:val="000000"/>
      <w:sz w:val="18"/>
      <w:szCs w:val="18"/>
      <w:u w:color="000000"/>
      <w:lang w:val="pt-PT"/>
    </w:rPr>
  </w:style>
  <w:style w:type="paragraph" w:styleId="Reviso">
    <w:name w:val="Revision"/>
    <w:hidden/>
    <w:uiPriority w:val="99"/>
    <w:semiHidden/>
    <w:rsid w:val="00553FEF"/>
    <w:rPr>
      <w:rFonts w:ascii="Calibri" w:hAnsi="Calibri" w:cs="Arial Unicode MS"/>
      <w:color w:val="000000"/>
      <w:sz w:val="22"/>
      <w:szCs w:val="22"/>
      <w:u w:color="000000"/>
      <w:bdr w:val="nil"/>
      <w:lang w:val="pt-PT"/>
    </w:rPr>
  </w:style>
  <w:style w:type="character" w:styleId="MenoPendente">
    <w:name w:val="Unresolved Mention"/>
    <w:uiPriority w:val="99"/>
    <w:semiHidden/>
    <w:unhideWhenUsed/>
    <w:rsid w:val="00553FE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53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553FEF"/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673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7673D"/>
    <w:rPr>
      <w:rFonts w:ascii="Calibri" w:hAnsi="Calibri" w:cs="Arial Unicode MS"/>
      <w:color w:val="000000"/>
      <w:u w:color="000000"/>
      <w:lang w:val="pt-PT"/>
    </w:rPr>
  </w:style>
  <w:style w:type="character" w:styleId="Refdenotaderodap">
    <w:name w:val="footnote reference"/>
    <w:uiPriority w:val="99"/>
    <w:semiHidden/>
    <w:unhideWhenUsed/>
    <w:rsid w:val="00F7673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673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7673D"/>
    <w:rPr>
      <w:rFonts w:ascii="Calibri" w:hAnsi="Calibri" w:cs="Arial Unicode MS"/>
      <w:color w:val="000000"/>
      <w:u w:color="000000"/>
      <w:lang w:val="pt-PT"/>
    </w:rPr>
  </w:style>
  <w:style w:type="character" w:styleId="Refdenotadefim">
    <w:name w:val="endnote reference"/>
    <w:uiPriority w:val="99"/>
    <w:semiHidden/>
    <w:unhideWhenUsed/>
    <w:rsid w:val="00F7673D"/>
    <w:rPr>
      <w:vertAlign w:val="superscript"/>
    </w:rPr>
  </w:style>
  <w:style w:type="character" w:customStyle="1" w:styleId="RodapChar">
    <w:name w:val="Rodapé Char"/>
    <w:link w:val="Rodap"/>
    <w:uiPriority w:val="99"/>
    <w:rsid w:val="0087569C"/>
    <w:rPr>
      <w:rFonts w:ascii="Calibri" w:hAnsi="Calibri" w:cs="Arial Unicode MS"/>
      <w:color w:val="000000"/>
      <w:sz w:val="22"/>
      <w:szCs w:val="22"/>
      <w:u w:color="000000"/>
      <w:bdr w:val="ni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araceli.goncalves@ifc.edu.br" TargetMode="External"/><Relationship Id="rId1" Type="http://schemas.openxmlformats.org/officeDocument/2006/relationships/hyperlink" Target="mailto:jack.mjl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m\Downloads\Carol_e%20Jackson_O%20USO%20DE%20DIFERENTES%20FERRAMENTAS%20PARA%20O%20ENSINO%20DA%20MATEM&#193;TICA_%203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46E4-4C73-44D1-A5FD-19E0719D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Carol_e Jackson_O USO DE DIFERENTES FERRAMENTAS PARA O ENSINO DA MATEMÁTICA_ 3</Template>
  <TotalTime>15</TotalTime>
  <Pages>6</Pages>
  <Words>1870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Links>
    <vt:vector size="12" baseType="variant">
      <vt:variant>
        <vt:i4>8061022</vt:i4>
      </vt:variant>
      <vt:variant>
        <vt:i4>3</vt:i4>
      </vt:variant>
      <vt:variant>
        <vt:i4>0</vt:i4>
      </vt:variant>
      <vt:variant>
        <vt:i4>5</vt:i4>
      </vt:variant>
      <vt:variant>
        <vt:lpwstr>mailto:araceli.goncalves@ifc.edu.br</vt:lpwstr>
      </vt:variant>
      <vt:variant>
        <vt:lpwstr/>
      </vt:variant>
      <vt:variant>
        <vt:i4>4522035</vt:i4>
      </vt:variant>
      <vt:variant>
        <vt:i4>0</vt:i4>
      </vt:variant>
      <vt:variant>
        <vt:i4>0</vt:i4>
      </vt:variant>
      <vt:variant>
        <vt:i4>5</vt:i4>
      </vt:variant>
      <vt:variant>
        <vt:lpwstr>mailto:jack.mjl@hotmail.com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oliveira</dc:creator>
  <cp:keywords/>
  <cp:lastModifiedBy>jackson oliveira</cp:lastModifiedBy>
  <cp:revision>1</cp:revision>
  <cp:lastPrinted>2019-07-28T21:12:00Z</cp:lastPrinted>
  <dcterms:created xsi:type="dcterms:W3CDTF">2019-07-29T18:03:00Z</dcterms:created>
  <dcterms:modified xsi:type="dcterms:W3CDTF">2019-07-29T18:18:00Z</dcterms:modified>
</cp:coreProperties>
</file>