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EA07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USO DE EXTRATOS VEGETAIS NO CONTROLE DA CONTAMINAÇÃO IN VITRO EM SEMENTES DE TOMATE</w:t>
      </w:r>
    </w:p>
    <w:p w14:paraId="415EFE30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44A43A3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Fernanda Karoline Augustinho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 xml:space="preserve">João Vítor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Dallabona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 xml:space="preserve">Mayra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Vídia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Machado Vieira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r>
        <w:rPr>
          <w:rFonts w:ascii="Arial" w:eastAsia="Arial" w:hAnsi="Arial" w:cs="Arial"/>
          <w:i/>
          <w:sz w:val="24"/>
          <w:szCs w:val="24"/>
        </w:rPr>
        <w:t>Thaysi Ventura de Souza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</w:p>
    <w:p w14:paraId="6011BA00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3198085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24644516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5BB1D82" w14:textId="77777777" w:rsidR="00CF26F2" w:rsidRDefault="003557C9">
      <w:pPr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 xml:space="preserve">Extratos vegetais e óleos essenciais podem ter potencial antimicrobiano e o uso destes extratos pode ser uma alternativa no combate a contaminação na germinação </w:t>
      </w:r>
      <w:r>
        <w:rPr>
          <w:rFonts w:ascii="Arial" w:eastAsia="Arial" w:hAnsi="Arial" w:cs="Arial"/>
          <w:i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micropropagação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plantas. Desta forma, este trabalho teve como objetivo avaliar os</w:t>
      </w:r>
      <w:r>
        <w:rPr>
          <w:rFonts w:ascii="Arial" w:eastAsia="Arial" w:hAnsi="Arial" w:cs="Arial"/>
          <w:sz w:val="24"/>
          <w:szCs w:val="24"/>
        </w:rPr>
        <w:t xml:space="preserve"> efeitos de extratos vegetais no combate a contaminação </w:t>
      </w:r>
      <w:r>
        <w:rPr>
          <w:rFonts w:ascii="Arial" w:eastAsia="Arial" w:hAnsi="Arial" w:cs="Arial"/>
          <w:i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 xml:space="preserve"> em sementes de tomate.  Extratos vegetais de alho, manjericão e própolis foram preparados e utilizados como tratamento de desinfecção de sementes de tomate durante a sua inoculação para a ger</w:t>
      </w:r>
      <w:r>
        <w:rPr>
          <w:rFonts w:ascii="Arial" w:eastAsia="Arial" w:hAnsi="Arial" w:cs="Arial"/>
          <w:sz w:val="24"/>
          <w:szCs w:val="24"/>
        </w:rPr>
        <w:t xml:space="preserve">minação </w:t>
      </w:r>
      <w:r w:rsidRPr="00291485">
        <w:rPr>
          <w:rFonts w:ascii="Arial" w:eastAsia="Arial" w:hAnsi="Arial" w:cs="Arial"/>
          <w:i/>
          <w:iCs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 xml:space="preserve">. Os resultados ainda são preliminares, mas já indicam um potencial de desinfecção dos extratos estudados em sementes de tomate inoculadas </w:t>
      </w:r>
      <w:r>
        <w:rPr>
          <w:rFonts w:ascii="Arial" w:eastAsia="Arial" w:hAnsi="Arial" w:cs="Arial"/>
          <w:i/>
          <w:sz w:val="24"/>
          <w:szCs w:val="24"/>
        </w:rPr>
        <w:t>in vitro.</w:t>
      </w:r>
    </w:p>
    <w:p w14:paraId="6667C6C3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410C12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14:paraId="7878D139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Extrato vegetal. </w:t>
      </w:r>
      <w:proofErr w:type="spellStart"/>
      <w:r>
        <w:rPr>
          <w:rFonts w:ascii="Arial" w:eastAsia="Arial" w:hAnsi="Arial" w:cs="Arial"/>
          <w:sz w:val="24"/>
          <w:szCs w:val="24"/>
        </w:rPr>
        <w:t>Micropropagação</w:t>
      </w:r>
      <w:proofErr w:type="spellEnd"/>
      <w:r>
        <w:rPr>
          <w:rFonts w:ascii="Arial" w:eastAsia="Arial" w:hAnsi="Arial" w:cs="Arial"/>
          <w:sz w:val="24"/>
          <w:szCs w:val="24"/>
        </w:rPr>
        <w:t>. Germinação in vitro.</w:t>
      </w:r>
    </w:p>
    <w:p w14:paraId="4DFF6ADF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5AB3CDE5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3EEE9EB6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634B81C2" w14:textId="77777777" w:rsidR="00CF26F2" w:rsidRDefault="00CF26F2">
      <w:pPr>
        <w:spacing w:after="0" w:line="360" w:lineRule="auto"/>
        <w:ind w:firstLine="1140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14:paraId="62BDE0EB" w14:textId="10F5D9A8" w:rsidR="00CF26F2" w:rsidRDefault="003557C9">
      <w:pPr>
        <w:spacing w:after="0" w:line="360" w:lineRule="auto"/>
        <w:ind w:firstLine="1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micropropagação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tem por objetivo criar plantas matrizes em menor tempo e proporcionar um melhor desempenho de germinação pois o ambiente laboratorial pode proporcionar condições controladas de temperatura e umidade. Um dos grandes problemas da cultura es</w:t>
      </w:r>
      <w:r>
        <w:rPr>
          <w:rFonts w:ascii="Arial" w:eastAsia="Arial" w:hAnsi="Arial" w:cs="Arial"/>
          <w:sz w:val="24"/>
          <w:szCs w:val="24"/>
        </w:rPr>
        <w:t xml:space="preserve">tá relacionado a mudas em relação a qualidade genética e fitossanitária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(BALDASSARI; GOES; TANNURI, 2003)</w:t>
      </w:r>
      <w:r>
        <w:rPr>
          <w:rFonts w:ascii="Arial" w:eastAsia="Arial" w:hAnsi="Arial" w:cs="Arial"/>
          <w:sz w:val="24"/>
          <w:szCs w:val="24"/>
        </w:rPr>
        <w:t>. Os problemas relacionados a falta de qualidade genética, seriam os de ordem fisiológico-bioquímica que podem afetar diretamente o desenvolvimento das</w:t>
      </w:r>
      <w:r>
        <w:rPr>
          <w:rFonts w:ascii="Arial" w:eastAsia="Arial" w:hAnsi="Arial" w:cs="Arial"/>
          <w:sz w:val="24"/>
          <w:szCs w:val="24"/>
        </w:rPr>
        <w:t xml:space="preserve"> culturas. Dentre estes problemas pode-se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citar como </w:t>
      </w:r>
      <w:r w:rsidR="00291485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principais a oxidação, o declínio de vigor, a </w:t>
      </w:r>
      <w:proofErr w:type="spellStart"/>
      <w:r>
        <w:rPr>
          <w:rFonts w:ascii="Arial" w:eastAsia="Arial" w:hAnsi="Arial" w:cs="Arial"/>
          <w:sz w:val="24"/>
          <w:szCs w:val="24"/>
        </w:rPr>
        <w:t>hiperidricidade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vitrificação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a necrose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(MÉNDEZ, 2016)</w:t>
      </w:r>
      <w:r>
        <w:rPr>
          <w:rFonts w:ascii="Arial" w:eastAsia="Arial" w:hAnsi="Arial" w:cs="Arial"/>
          <w:sz w:val="24"/>
          <w:szCs w:val="24"/>
        </w:rPr>
        <w:t xml:space="preserve"> e o</w:t>
      </w:r>
      <w:r>
        <w:rPr>
          <w:rFonts w:ascii="Arial" w:eastAsia="Arial" w:hAnsi="Arial" w:cs="Arial"/>
          <w:sz w:val="24"/>
          <w:szCs w:val="24"/>
        </w:rPr>
        <w:t xml:space="preserve"> fitossanitário</w:t>
      </w:r>
      <w:r>
        <w:rPr>
          <w:rFonts w:ascii="Arial" w:eastAsia="Arial" w:hAnsi="Arial" w:cs="Arial"/>
          <w:sz w:val="24"/>
          <w:szCs w:val="24"/>
        </w:rPr>
        <w:t xml:space="preserve"> é a contaminação do meio nutritivo por fungos e bactérias durante as etapas </w:t>
      </w:r>
      <w:r>
        <w:rPr>
          <w:rFonts w:ascii="Arial" w:eastAsia="Arial" w:hAnsi="Arial" w:cs="Arial"/>
          <w:sz w:val="24"/>
          <w:szCs w:val="24"/>
        </w:rPr>
        <w:t xml:space="preserve">de propagação in vitro. A contaminação estabelece-se no meio de cultura e/ou material vegetal competindo pelos nutrientes, produzindo substâncias tóxicas e inibindo o desenvolvimento do </w:t>
      </w:r>
      <w:proofErr w:type="spellStart"/>
      <w:r>
        <w:rPr>
          <w:rFonts w:ascii="Arial" w:eastAsia="Arial" w:hAnsi="Arial" w:cs="Arial"/>
          <w:sz w:val="24"/>
          <w:szCs w:val="24"/>
        </w:rPr>
        <w:t>explante</w:t>
      </w:r>
      <w:proofErr w:type="spellEnd"/>
      <w:r>
        <w:rPr>
          <w:rFonts w:ascii="Arial" w:eastAsia="Arial" w:hAnsi="Arial" w:cs="Arial"/>
          <w:sz w:val="24"/>
          <w:szCs w:val="24"/>
        </w:rPr>
        <w:t>, ocasionando, assim, sua perda (SOUSA, 2007).</w:t>
      </w:r>
    </w:p>
    <w:p w14:paraId="296A715D" w14:textId="2E9CA0FD" w:rsidR="00CF26F2" w:rsidRDefault="003557C9">
      <w:pP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ab/>
        <w:t>O uso de extra</w:t>
      </w:r>
      <w:r>
        <w:rPr>
          <w:rFonts w:ascii="Arial" w:eastAsia="Arial" w:hAnsi="Arial" w:cs="Arial"/>
          <w:sz w:val="24"/>
          <w:szCs w:val="24"/>
        </w:rPr>
        <w:t>tos vegetais v</w:t>
      </w:r>
      <w:r w:rsidR="00291485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m sendo utilizado como alternativa no controle de doenças em plantas, principalmente pelo potencial antimicrobiano de extratos brutos e óleos essenciais de algumas espécies (ESTRADA et al., 2000). Desta forma, o uso destes extratos pode ser </w:t>
      </w:r>
      <w:r>
        <w:rPr>
          <w:rFonts w:ascii="Arial" w:eastAsia="Arial" w:hAnsi="Arial" w:cs="Arial"/>
          <w:sz w:val="24"/>
          <w:szCs w:val="24"/>
        </w:rPr>
        <w:t xml:space="preserve">uma alternativa no combate a contaminação </w:t>
      </w:r>
      <w:r>
        <w:rPr>
          <w:rFonts w:ascii="Arial" w:eastAsia="Arial" w:hAnsi="Arial" w:cs="Arial"/>
          <w:i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 xml:space="preserve">, utilizando-se no processo de desinfecção de sementes, como uma forma menos danosa ao embrião e ao ambiente.  </w:t>
      </w:r>
      <w:r w:rsidR="00291485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objetivo deste trabalho foi avaliar os efeitos de extratos vegetais no combate a</w:t>
      </w:r>
      <w:r>
        <w:rPr>
          <w:rFonts w:ascii="Arial" w:eastAsia="Arial" w:hAnsi="Arial" w:cs="Arial"/>
          <w:sz w:val="24"/>
          <w:szCs w:val="24"/>
        </w:rPr>
        <w:t xml:space="preserve"> contaminação da germinação </w:t>
      </w:r>
      <w:r>
        <w:rPr>
          <w:rFonts w:ascii="Arial" w:eastAsia="Arial" w:hAnsi="Arial" w:cs="Arial"/>
          <w:i/>
          <w:sz w:val="24"/>
          <w:szCs w:val="24"/>
        </w:rPr>
        <w:t xml:space="preserve">in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vitro</w:t>
      </w:r>
      <w:r>
        <w:rPr>
          <w:rFonts w:ascii="Arial" w:eastAsia="Arial" w:hAnsi="Arial" w:cs="Arial"/>
          <w:sz w:val="24"/>
          <w:szCs w:val="24"/>
        </w:rPr>
        <w:t xml:space="preserve">  sementes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tomate.  </w:t>
      </w:r>
    </w:p>
    <w:p w14:paraId="738BB607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51D3220E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2BCE4223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22CC0465" w14:textId="77777777" w:rsidR="00CF26F2" w:rsidRDefault="00CF26F2">
      <w:pPr>
        <w:spacing w:after="0" w:line="360" w:lineRule="auto"/>
        <w:ind w:firstLine="720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14:paraId="07D15BB4" w14:textId="49D8C913" w:rsidR="00CF26F2" w:rsidRDefault="003557C9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Preparo dos extratos: Os extratos utilizados foram obtidos a partir de: bulbos de alho, folhas de manjericão e extrato comercial de própolis. Para os extratos de alh</w:t>
      </w:r>
      <w:r>
        <w:rPr>
          <w:rFonts w:ascii="Arial" w:eastAsia="Arial" w:hAnsi="Arial" w:cs="Arial"/>
          <w:sz w:val="24"/>
          <w:szCs w:val="24"/>
        </w:rPr>
        <w:t xml:space="preserve">o e manjericão, foram obtidos 100 gramas de cada amostra que foram maceradas junto de 250 ml de álcool absoluto e no final do processo acrescentados 250 ml de água destilada. Os extratos ficaram em um recipiente fechado por sete dias e, após este período, </w:t>
      </w:r>
      <w:r>
        <w:rPr>
          <w:rFonts w:ascii="Arial" w:eastAsia="Arial" w:hAnsi="Arial" w:cs="Arial"/>
          <w:sz w:val="24"/>
          <w:szCs w:val="24"/>
        </w:rPr>
        <w:t>permaneceram mais sete dias em recipiente aberto a</w:t>
      </w:r>
      <w:r>
        <w:rPr>
          <w:rFonts w:ascii="Arial" w:eastAsia="Arial" w:hAnsi="Arial" w:cs="Arial"/>
          <w:sz w:val="24"/>
          <w:szCs w:val="24"/>
        </w:rPr>
        <w:t>fim de permitir a evaporação do álcool. Após este processo, o extrato foi filtrado e conservado em geladeira. Para o extrato de própolis foi feita sua diluição em água, em 50% de água e 50% de extrato come</w:t>
      </w:r>
      <w:r>
        <w:rPr>
          <w:rFonts w:ascii="Arial" w:eastAsia="Arial" w:hAnsi="Arial" w:cs="Arial"/>
          <w:sz w:val="24"/>
          <w:szCs w:val="24"/>
        </w:rPr>
        <w:t xml:space="preserve">rcial. Ao final do destes processos os extratos foram conservados na geladeira. </w:t>
      </w:r>
    </w:p>
    <w:p w14:paraId="05B7C709" w14:textId="1CA6BC77" w:rsidR="00CF26F2" w:rsidRDefault="003557C9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Desinfecção e inoculação das sementes: Em câmara de fluxo laminar, sementes de tomate foram esterilizadas superficialmente em etanol 70%, por 2 minutos, e posteriormente imers</w:t>
      </w:r>
      <w:r>
        <w:rPr>
          <w:rFonts w:ascii="Arial" w:eastAsia="Arial" w:hAnsi="Arial" w:cs="Arial"/>
          <w:sz w:val="24"/>
          <w:szCs w:val="24"/>
        </w:rPr>
        <w:t>as em dos seguintes tratamentos:  solução de água sanitária comercial a 20%</w:t>
      </w:r>
      <w:r>
        <w:rPr>
          <w:rFonts w:ascii="Arial" w:eastAsia="Arial" w:hAnsi="Arial" w:cs="Arial"/>
          <w:sz w:val="24"/>
          <w:szCs w:val="24"/>
        </w:rPr>
        <w:t xml:space="preserve">, extrato de manjericão, extrato de alho e extrato de própolis. Após este procedimento passaram por tríplice lavagem em água destilada e </w:t>
      </w: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autoclavada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 As sementes foram inoculadas </w:t>
      </w:r>
      <w:r>
        <w:rPr>
          <w:rFonts w:ascii="Arial" w:eastAsia="Arial" w:hAnsi="Arial" w:cs="Arial"/>
          <w:sz w:val="24"/>
          <w:szCs w:val="24"/>
        </w:rPr>
        <w:t xml:space="preserve">em tubos de ensaio contendo 7 ml de meio de cultura suprimento. Os tubos foram fechados com tampas plásticas e vedados com filme plástico. Foram feitas 10 repetições por tratamento e a contabilização de contaminação e germinação foram realizadas sete dias </w:t>
      </w:r>
      <w:r>
        <w:rPr>
          <w:rFonts w:ascii="Arial" w:eastAsia="Arial" w:hAnsi="Arial" w:cs="Arial"/>
          <w:sz w:val="24"/>
          <w:szCs w:val="24"/>
        </w:rPr>
        <w:t>após a inoculação.</w:t>
      </w:r>
    </w:p>
    <w:p w14:paraId="765B520C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286795E4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28EE054D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14:paraId="4E4E1AA9" w14:textId="77777777" w:rsidR="00CF26F2" w:rsidRDefault="003557C9">
      <w:pPr>
        <w:spacing w:after="0" w:line="360" w:lineRule="auto"/>
        <w:jc w:val="center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.</w:t>
      </w:r>
    </w:p>
    <w:p w14:paraId="2561AE5F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center" w:pos="1080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Este trabalho faz parte da disciplina Projetos Ambientais do curso técnico em Controle Ambiental e encontra-se em fase de execução e andamento. Os resultados apresentados a seguir ainda são preliminares.</w:t>
      </w:r>
    </w:p>
    <w:p w14:paraId="2F6B3859" w14:textId="4E5CFF16" w:rsidR="00CF26F2" w:rsidRDefault="003557C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center" w:pos="1080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semana da inoculação, observou-se que semen</w:t>
      </w:r>
      <w:r>
        <w:rPr>
          <w:rFonts w:ascii="Arial" w:eastAsia="Arial" w:hAnsi="Arial" w:cs="Arial"/>
          <w:sz w:val="24"/>
          <w:szCs w:val="24"/>
        </w:rPr>
        <w:t>tes de tomate submetidas a desinfecção com extratos</w:t>
      </w:r>
      <w:r w:rsidR="00291485">
        <w:rPr>
          <w:rFonts w:ascii="Arial" w:eastAsia="Arial" w:hAnsi="Arial" w:cs="Arial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 xml:space="preserve"> própolis, alho e manjericão apresentaram taxas de contaminação de 30%, 40% e 50%, respectivamente (Tabela 1). As sementes que passaram por extratos de alho e manjericão apresentaram uma alta taxa de germi</w:t>
      </w:r>
      <w:r>
        <w:rPr>
          <w:rFonts w:ascii="Arial" w:eastAsia="Arial" w:hAnsi="Arial" w:cs="Arial"/>
          <w:sz w:val="24"/>
          <w:szCs w:val="24"/>
        </w:rPr>
        <w:t>nação (Tabela 1), mostrando que o tratamento não prejudicou o embrião. Já no caso da própolis, apesar da baixa contaminação, a porcentagem de germinação foi de 20%.</w:t>
      </w:r>
    </w:p>
    <w:p w14:paraId="3F5D6CE6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center" w:pos="1080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Quando </w:t>
      </w:r>
      <w:proofErr w:type="gramStart"/>
      <w:r>
        <w:rPr>
          <w:rFonts w:ascii="Arial" w:eastAsia="Arial" w:hAnsi="Arial" w:cs="Arial"/>
          <w:sz w:val="24"/>
          <w:szCs w:val="24"/>
        </w:rPr>
        <w:t>comparam-se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os resultados obtidos de porcentagem de contaminação nas sementes submet</w:t>
      </w:r>
      <w:r>
        <w:rPr>
          <w:rFonts w:ascii="Arial" w:eastAsia="Arial" w:hAnsi="Arial" w:cs="Arial"/>
          <w:sz w:val="24"/>
          <w:szCs w:val="24"/>
        </w:rPr>
        <w:t>idas aos extratos vegetais com o tratamento padrão de hipoclorito, observa-se um potencial de desinfecção das sementes destes extratos. No caso do extrato de alho, DURAIRAJ et at. (2009), já haviam relatada seu potencial antimicrobiano, assim como para o e</w:t>
      </w:r>
      <w:r>
        <w:rPr>
          <w:rFonts w:ascii="Arial" w:eastAsia="Arial" w:hAnsi="Arial" w:cs="Arial"/>
          <w:sz w:val="24"/>
          <w:szCs w:val="24"/>
        </w:rPr>
        <w:t>xtrato de manjericão (PEREIRA, 2011). Já as sementes submetidas ao extrato de própolis, mesmo apresentando uma baixa taxa de contaminação apresentaram uma baixa taxa de germinação, que pode estar associada a concentração utilizada.</w:t>
      </w:r>
    </w:p>
    <w:p w14:paraId="7E2780BA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C826338" w14:textId="77777777" w:rsidR="00CF26F2" w:rsidRDefault="00CF26F2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1253ABA" w14:textId="77777777" w:rsidR="00CF26F2" w:rsidRDefault="00CF26F2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4AD42D" w14:textId="77777777" w:rsidR="00CF26F2" w:rsidRDefault="00CF26F2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DBA9DAF" w14:textId="77777777" w:rsidR="00CF26F2" w:rsidRDefault="00CF26F2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B402C86" w14:textId="77777777" w:rsidR="00CF26F2" w:rsidRDefault="00CF26F2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57F8E486" w14:textId="55EC9630" w:rsidR="00CF26F2" w:rsidRDefault="003557C9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Tabela 1. Porcenta</w:t>
      </w:r>
      <w:r>
        <w:rPr>
          <w:rFonts w:ascii="Arial" w:eastAsia="Arial" w:hAnsi="Arial" w:cs="Arial"/>
          <w:sz w:val="20"/>
          <w:szCs w:val="20"/>
        </w:rPr>
        <w:t>gem de contaminação e germinação</w:t>
      </w:r>
      <w:r w:rsidR="00291485">
        <w:rPr>
          <w:rFonts w:ascii="Arial" w:eastAsia="Arial" w:hAnsi="Arial" w:cs="Arial"/>
          <w:sz w:val="20"/>
          <w:szCs w:val="20"/>
        </w:rPr>
        <w:t xml:space="preserve"> </w:t>
      </w:r>
      <w:r w:rsidR="00291485" w:rsidRPr="00291485">
        <w:rPr>
          <w:rFonts w:ascii="Arial" w:eastAsia="Arial" w:hAnsi="Arial" w:cs="Arial"/>
          <w:i/>
          <w:iCs/>
          <w:sz w:val="20"/>
          <w:szCs w:val="20"/>
        </w:rPr>
        <w:t>in vitro</w:t>
      </w:r>
      <w:r>
        <w:rPr>
          <w:rFonts w:ascii="Arial" w:eastAsia="Arial" w:hAnsi="Arial" w:cs="Arial"/>
          <w:sz w:val="20"/>
          <w:szCs w:val="20"/>
        </w:rPr>
        <w:t xml:space="preserve"> de sementes de tomate submetidas a diferentes tratamentos de desinfecção (água sanitária, extrato de alho, extrato de manjericão e extrato de própolis).</w:t>
      </w:r>
    </w:p>
    <w:tbl>
      <w:tblPr>
        <w:tblStyle w:val="a"/>
        <w:tblW w:w="9015" w:type="dxa"/>
        <w:tblInd w:w="130" w:type="dxa"/>
        <w:tblBorders>
          <w:top w:val="single" w:sz="4" w:space="0" w:color="000000"/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1530"/>
        <w:gridCol w:w="1395"/>
        <w:gridCol w:w="1395"/>
        <w:gridCol w:w="1890"/>
      </w:tblGrid>
      <w:tr w:rsidR="00CF26F2" w14:paraId="1CBBEF50" w14:textId="77777777">
        <w:trPr>
          <w:trHeight w:val="420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C57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Extrato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C90C" w14:textId="7AA02B00" w:rsidR="00CF26F2" w:rsidRDefault="00291485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À</w:t>
            </w:r>
            <w:r w:rsidR="003557C9">
              <w:rPr>
                <w:rFonts w:ascii="Arial" w:eastAsia="Arial" w:hAnsi="Arial" w:cs="Arial"/>
                <w:b/>
                <w:sz w:val="20"/>
                <w:szCs w:val="20"/>
              </w:rPr>
              <w:t>gua</w:t>
            </w:r>
            <w:proofErr w:type="spellEnd"/>
            <w:r w:rsidR="003557C9">
              <w:rPr>
                <w:rFonts w:ascii="Arial" w:eastAsia="Arial" w:hAnsi="Arial" w:cs="Arial"/>
                <w:b/>
                <w:sz w:val="20"/>
                <w:szCs w:val="20"/>
              </w:rPr>
              <w:t xml:space="preserve"> sanitária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A7FC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Alho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11C4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Manjericão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4DEB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Própolis </w:t>
            </w:r>
          </w:p>
        </w:tc>
      </w:tr>
      <w:tr w:rsidR="00CF26F2" w14:paraId="0509107A" w14:textId="77777777">
        <w:trPr>
          <w:trHeight w:val="320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99B7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Contaminação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F086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2604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40%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90E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50%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115F" w14:textId="77777777" w:rsidR="00CF26F2" w:rsidRDefault="003557C9">
            <w:pPr>
              <w:widowControl w:val="0"/>
              <w:spacing w:after="0" w:line="240" w:lineRule="auto"/>
              <w:ind w:left="-1800" w:right="-123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30% </w:t>
            </w:r>
          </w:p>
        </w:tc>
      </w:tr>
      <w:tr w:rsidR="00CF26F2" w14:paraId="722C1328" w14:textId="77777777">
        <w:trPr>
          <w:trHeight w:val="420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DD2E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Germinação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04C8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70%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22AE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80%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45A0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60%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F1D9" w14:textId="77777777" w:rsidR="00CF26F2" w:rsidRDefault="003557C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20%</w:t>
            </w:r>
          </w:p>
        </w:tc>
      </w:tr>
    </w:tbl>
    <w:p w14:paraId="1FE7D327" w14:textId="77777777" w:rsidR="00CF26F2" w:rsidRDefault="003557C9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autoria própria (2019)</w:t>
      </w:r>
    </w:p>
    <w:p w14:paraId="1B9C4F1E" w14:textId="77777777" w:rsidR="00CF26F2" w:rsidRDefault="00CF26F2">
      <w:pPr>
        <w:spacing w:after="0" w:line="360" w:lineRule="auto"/>
        <w:ind w:right="1500"/>
        <w:jc w:val="center"/>
        <w:rPr>
          <w:rFonts w:ascii="Arial" w:eastAsia="Arial" w:hAnsi="Arial" w:cs="Arial"/>
          <w:sz w:val="24"/>
          <w:szCs w:val="24"/>
        </w:rPr>
      </w:pPr>
    </w:p>
    <w:p w14:paraId="56940478" w14:textId="77777777" w:rsidR="00CF26F2" w:rsidRDefault="00CF26F2">
      <w:pPr>
        <w:spacing w:after="0" w:line="360" w:lineRule="auto"/>
        <w:ind w:right="-30"/>
        <w:jc w:val="center"/>
        <w:rPr>
          <w:rFonts w:ascii="Arial" w:eastAsia="Arial" w:hAnsi="Arial" w:cs="Arial"/>
          <w:sz w:val="24"/>
          <w:szCs w:val="24"/>
        </w:rPr>
      </w:pPr>
    </w:p>
    <w:p w14:paraId="077C4FE1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47112DE0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7919BA9F" w14:textId="209EB471" w:rsidR="00CF26F2" w:rsidRDefault="003557C9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Apesar dos resultados ainda preliminares, os resultados obtidos já indicam um potencial de desinfecção dos extratos de alho, manjericão e própolis em sementes de tomate inoculadas </w:t>
      </w:r>
      <w:r>
        <w:rPr>
          <w:rFonts w:ascii="Arial" w:eastAsia="Arial" w:hAnsi="Arial" w:cs="Arial"/>
          <w:i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>. Desta forma, é necessária a continuação deste projeto para obter r</w:t>
      </w:r>
      <w:r>
        <w:rPr>
          <w:rFonts w:ascii="Arial" w:eastAsia="Arial" w:hAnsi="Arial" w:cs="Arial"/>
          <w:sz w:val="24"/>
          <w:szCs w:val="24"/>
        </w:rPr>
        <w:t xml:space="preserve">esultados que possam comprovar a eficácia destes extratos no combate a contaminação </w:t>
      </w:r>
      <w:r w:rsidR="00291485">
        <w:rPr>
          <w:rFonts w:ascii="Arial" w:eastAsia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cultivos </w:t>
      </w:r>
      <w:r>
        <w:rPr>
          <w:rFonts w:ascii="Arial" w:eastAsia="Arial" w:hAnsi="Arial" w:cs="Arial"/>
          <w:i/>
          <w:sz w:val="24"/>
          <w:szCs w:val="24"/>
        </w:rPr>
        <w:t>in vitro</w:t>
      </w:r>
      <w:r>
        <w:rPr>
          <w:rFonts w:ascii="Arial" w:eastAsia="Arial" w:hAnsi="Arial" w:cs="Arial"/>
          <w:sz w:val="24"/>
          <w:szCs w:val="24"/>
        </w:rPr>
        <w:t xml:space="preserve">. </w:t>
      </w:r>
      <w:bookmarkStart w:id="2" w:name="_GoBack"/>
      <w:bookmarkEnd w:id="2"/>
    </w:p>
    <w:p w14:paraId="6B195434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5C04534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14:paraId="7C2BAE88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32D3A506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C6E9657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BALDASSARI, R.B., GOES, A., TANNURI, F. 2003.</w:t>
      </w:r>
    </w:p>
    <w:p w14:paraId="398A8C87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Declínio dos citros: algo a ver com o sistema de produção de mudas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cítricas?.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Revista Brasileira de Fruticultura</w:t>
      </w:r>
      <w:r>
        <w:rPr>
          <w:rFonts w:ascii="Arial" w:eastAsia="Arial" w:hAnsi="Arial" w:cs="Arial"/>
          <w:sz w:val="24"/>
          <w:szCs w:val="24"/>
          <w:highlight w:val="white"/>
        </w:rPr>
        <w:t>, p. 357-360. Disponível em: &lt;http://www.scielo.br/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pdf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/%0D/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rbf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/v25n2/a47v25n2.pdf&gt;. Acesso em: 1 jun. 2019</w:t>
      </w:r>
    </w:p>
    <w:p w14:paraId="133DF9E0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4BA7D041" w14:textId="77777777" w:rsidR="00CF26F2" w:rsidRDefault="003557C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DURAIRAJ, S., SRINIVASAN, S., LAKSHM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ANAPERUMALSAMY, P.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2009.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In vitro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Antibacterial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Activity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Stability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Garlic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Extract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Different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pH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Temperature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Electronic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Journal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Biology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p. 1-6. Disponível em: &lt;http://citeseerx.ist.psu.edu/viewdoc/download?doi=10.1.1.620.9139&amp;rep=rep1&amp;type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=pdf&gt;. Acesso em: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6  jun.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2019. </w:t>
      </w:r>
    </w:p>
    <w:p w14:paraId="7FED2B32" w14:textId="77777777" w:rsidR="00CF26F2" w:rsidRDefault="00CF26F2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489F1859" w14:textId="77777777" w:rsidR="00CF26F2" w:rsidRDefault="003557C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ESTRADA, K.R.F.S., STANGARLIN, J.R., CRUZ, M.E.S. 2000. Uso de extratos vegetais no controle de fungos fitopatogênicos. </w:t>
      </w:r>
      <w:r>
        <w:rPr>
          <w:rFonts w:ascii="Arial" w:eastAsia="Arial" w:hAnsi="Arial" w:cs="Arial"/>
          <w:b/>
          <w:color w:val="222222"/>
          <w:sz w:val="24"/>
          <w:szCs w:val="24"/>
        </w:rPr>
        <w:t>Floresta</w:t>
      </w:r>
      <w:r>
        <w:rPr>
          <w:rFonts w:ascii="Arial" w:eastAsia="Arial" w:hAnsi="Arial" w:cs="Arial"/>
          <w:color w:val="222222"/>
          <w:sz w:val="24"/>
          <w:szCs w:val="24"/>
        </w:rPr>
        <w:t>, 30: 129-137.</w:t>
      </w:r>
    </w:p>
    <w:p w14:paraId="1A75D97D" w14:textId="77777777" w:rsidR="00CF26F2" w:rsidRDefault="00CF26F2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3" w:name="_1fob9te" w:colFirst="0" w:colLast="0"/>
      <w:bookmarkEnd w:id="3"/>
    </w:p>
    <w:p w14:paraId="36254B01" w14:textId="77777777" w:rsidR="00CF26F2" w:rsidRDefault="003557C9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shd w:val="clear" w:color="auto" w:fill="D0E0E3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MÉNDEZ, D.Z.D. 2016. Caracterização da patogenicidade de isolados de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Colletotrichum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fructicola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em frutos de macieira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Malus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domestica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Borkh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). Em diferentes estágios de desenvolvimento. Tese (Doutorado) - Curso de Ciências Biológicas, 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Universidade Federal d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e Santa Catarina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Florianópolis, p. 1-127.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lastRenderedPageBreak/>
        <w:t>Disponível em: &lt;https://repositorio.ufsc.br/xmlui/bitstream/handle/123456789/177858/347210.pdf?sequence=1&amp;isAllowed=y&gt;. Acesso em: 1 jun. 2019.</w:t>
      </w:r>
    </w:p>
    <w:p w14:paraId="4FBB40DA" w14:textId="77777777" w:rsidR="00CF26F2" w:rsidRDefault="00CF26F2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shd w:val="clear" w:color="auto" w:fill="D0E0E3"/>
        </w:rPr>
      </w:pPr>
    </w:p>
    <w:p w14:paraId="5DB3BCB7" w14:textId="77777777" w:rsidR="00CF26F2" w:rsidRDefault="003557C9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PEREIRA, R., MOREIRA, A.L.M. 2011. Manjericão: cultivo e utilização.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Embrapa Agroindústria Tropical-Documentos</w:t>
      </w:r>
      <w:r>
        <w:rPr>
          <w:rFonts w:ascii="Arial" w:eastAsia="Arial" w:hAnsi="Arial" w:cs="Arial"/>
          <w:sz w:val="24"/>
          <w:szCs w:val="24"/>
          <w:highlight w:val="white"/>
        </w:rPr>
        <w:t>, p.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10-31. Disponível em: &lt;https://www.infoteca.cnptia.embrapa.br/bitstream/doc/900892/1/DOC11004.pdf&gt;. Acesso em: 8 jul. 2019.</w:t>
      </w:r>
    </w:p>
    <w:p w14:paraId="535BAA4C" w14:textId="77777777" w:rsidR="00CF26F2" w:rsidRDefault="00CF26F2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p w14:paraId="7EA0FC13" w14:textId="77777777" w:rsidR="00CF26F2" w:rsidRDefault="003557C9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SOUSA, G.C. et al. 2007. Contaminação microbiana na propagação in vitro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Cattleya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walkeriana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Schomburgkia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crispa.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Revista Brasileira de Biociências</w:t>
      </w:r>
      <w:r>
        <w:rPr>
          <w:rFonts w:ascii="Arial" w:eastAsia="Arial" w:hAnsi="Arial" w:cs="Arial"/>
          <w:sz w:val="24"/>
          <w:szCs w:val="24"/>
          <w:highlight w:val="white"/>
        </w:rPr>
        <w:t>, p. 405-407. Disponível em: &lt;http://www.ufrgs.br/seerbio/ojs/index.php/rbb/article/viewFile/414/336&gt;. Ac</w:t>
      </w:r>
      <w:r>
        <w:rPr>
          <w:rFonts w:ascii="Arial" w:eastAsia="Arial" w:hAnsi="Arial" w:cs="Arial"/>
          <w:sz w:val="24"/>
          <w:szCs w:val="24"/>
          <w:highlight w:val="white"/>
        </w:rPr>
        <w:t>esso em: 4 jun. 2019.</w:t>
      </w:r>
    </w:p>
    <w:p w14:paraId="00F35646" w14:textId="77777777" w:rsidR="00CF26F2" w:rsidRDefault="00CF26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CF26F2">
      <w:headerReference w:type="default" r:id="rId6"/>
      <w:pgSz w:w="11906" w:h="16838"/>
      <w:pgMar w:top="1701" w:right="1134" w:bottom="1134" w:left="171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837E" w14:textId="77777777" w:rsidR="003557C9" w:rsidRDefault="003557C9">
      <w:pPr>
        <w:spacing w:after="0" w:line="240" w:lineRule="auto"/>
      </w:pPr>
      <w:r>
        <w:separator/>
      </w:r>
    </w:p>
  </w:endnote>
  <w:endnote w:type="continuationSeparator" w:id="0">
    <w:p w14:paraId="05C03D9C" w14:textId="77777777" w:rsidR="003557C9" w:rsidRDefault="00355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40D2B" w14:textId="77777777" w:rsidR="003557C9" w:rsidRDefault="003557C9">
      <w:pPr>
        <w:spacing w:after="0" w:line="240" w:lineRule="auto"/>
      </w:pPr>
      <w:r>
        <w:separator/>
      </w:r>
    </w:p>
  </w:footnote>
  <w:footnote w:type="continuationSeparator" w:id="0">
    <w:p w14:paraId="7F9E70CD" w14:textId="77777777" w:rsidR="003557C9" w:rsidRDefault="003557C9">
      <w:pPr>
        <w:spacing w:after="0" w:line="240" w:lineRule="auto"/>
      </w:pPr>
      <w:r>
        <w:continuationSeparator/>
      </w:r>
    </w:p>
  </w:footnote>
  <w:footnote w:id="1">
    <w:p w14:paraId="7830EFDB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Estudante de Curso Técnico em Controle Ambiental, Instituto Federal Catarinense-Campus Camboriú. E-mail: </w:t>
      </w:r>
      <w:hyperlink r:id="rId1">
        <w:r>
          <w:rPr>
            <w:rFonts w:ascii="Arial" w:eastAsia="Arial" w:hAnsi="Arial" w:cs="Arial"/>
            <w:sz w:val="18"/>
            <w:szCs w:val="18"/>
          </w:rPr>
          <w:t>fernandaaugustinho23@gmail.com</w:t>
        </w:r>
      </w:hyperlink>
      <w:r>
        <w:rPr>
          <w:rFonts w:ascii="Arial" w:eastAsia="Arial" w:hAnsi="Arial" w:cs="Arial"/>
          <w:sz w:val="18"/>
          <w:szCs w:val="18"/>
        </w:rPr>
        <w:t>.</w:t>
      </w:r>
    </w:p>
  </w:footnote>
  <w:footnote w:id="2">
    <w:p w14:paraId="086E8CF0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Estudante de Curso Técnico em Controle Ambiental, Instituto Federal Catarinense-Campus Camboriú. E-mail: </w:t>
      </w:r>
      <w:hyperlink r:id="rId2">
        <w:r>
          <w:rPr>
            <w:rFonts w:ascii="Arial" w:eastAsia="Arial" w:hAnsi="Arial" w:cs="Arial"/>
            <w:sz w:val="18"/>
            <w:szCs w:val="18"/>
          </w:rPr>
          <w:t>joaodallabonaa@gmail.co</w:t>
        </w:r>
      </w:hyperlink>
      <w:r>
        <w:rPr>
          <w:rFonts w:ascii="Arial" w:eastAsia="Arial" w:hAnsi="Arial" w:cs="Arial"/>
          <w:sz w:val="18"/>
          <w:szCs w:val="18"/>
        </w:rPr>
        <w:t>m.</w:t>
      </w:r>
    </w:p>
  </w:footnote>
  <w:footnote w:id="3">
    <w:p w14:paraId="142187B7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Estudante de Curso Técnico em Controle</w:t>
      </w:r>
      <w:r>
        <w:rPr>
          <w:rFonts w:ascii="Arial" w:eastAsia="Arial" w:hAnsi="Arial" w:cs="Arial"/>
          <w:sz w:val="18"/>
          <w:szCs w:val="18"/>
        </w:rPr>
        <w:t xml:space="preserve"> Ambiental, Instituto Federal Catarinense-Campus Camboriú. E-mail: mayravidiam@gmail.com.</w:t>
      </w:r>
    </w:p>
  </w:footnote>
  <w:footnote w:id="4">
    <w:p w14:paraId="6560379E" w14:textId="77777777" w:rsidR="00CF26F2" w:rsidRDefault="00355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Dou</w:t>
      </w:r>
      <w:r>
        <w:rPr>
          <w:rFonts w:ascii="Arial" w:eastAsia="Arial" w:hAnsi="Arial" w:cs="Arial"/>
          <w:sz w:val="18"/>
          <w:szCs w:val="18"/>
        </w:rPr>
        <w:t>tora em Ciências com ênfase em Recursos Genéticos vegetais, Professora do Instituto Federal Catarinense-Campus Camboriú: E-mail: thaysi.souza@ifc.edu.br.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C3E2A" w14:textId="77777777" w:rsidR="00CF26F2" w:rsidRDefault="003557C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532006D3" wp14:editId="0EB2B0AF">
          <wp:extent cx="4230308" cy="68265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0308" cy="6826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A29C360" w14:textId="77777777" w:rsidR="00CF26F2" w:rsidRDefault="00CF26F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6F2"/>
    <w:rsid w:val="00291485"/>
    <w:rsid w:val="003557C9"/>
    <w:rsid w:val="00CF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D6CA8"/>
  <w15:docId w15:val="{357D420B-4391-474B-8A6E-DD61E18F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joaodallabonaa@gmail.com" TargetMode="External"/><Relationship Id="rId1" Type="http://schemas.openxmlformats.org/officeDocument/2006/relationships/hyperlink" Target="mailto:fernandaaugustinho2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1219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Thaysi Ventura de Souza</dc:creator>
  <cp:lastModifiedBy>Thaysi Ventura de Souza</cp:lastModifiedBy>
  <cp:revision>2</cp:revision>
  <dcterms:created xsi:type="dcterms:W3CDTF">2019-07-31T11:14:00Z</dcterms:created>
  <dcterms:modified xsi:type="dcterms:W3CDTF">2019-07-31T11:14:00Z</dcterms:modified>
</cp:coreProperties>
</file>