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0" w:after="0"/>
        <w:jc w:val="center"/>
        <w:rPr/>
      </w:pPr>
      <w:r>
        <w:rPr>
          <w:rFonts w:eastAsia="Arial" w:cs="Arial" w:ascii="Arial" w:hAnsi="Arial"/>
          <w:b/>
          <w:color w:val="00000A"/>
          <w:sz w:val="24"/>
          <w:szCs w:val="24"/>
        </w:rPr>
        <w:t xml:space="preserve">MONITORAMENTO DA ÁGUA DE CHUVA E MATERIAL PARTICULADO (MP) ATMOSFÉRICO NO IFC – </w:t>
      </w:r>
      <w:r>
        <w:rPr>
          <w:rFonts w:eastAsia="Arial" w:cs="Arial" w:ascii="Arial" w:hAnsi="Arial"/>
          <w:b/>
          <w:i/>
          <w:color w:val="00000A"/>
          <w:sz w:val="24"/>
          <w:szCs w:val="24"/>
        </w:rPr>
        <w:t>CAMPUS</w:t>
      </w:r>
      <w:r>
        <w:rPr>
          <w:rFonts w:eastAsia="Arial" w:cs="Arial" w:ascii="Arial" w:hAnsi="Arial"/>
          <w:b/>
          <w:color w:val="00000A"/>
          <w:sz w:val="24"/>
          <w:szCs w:val="24"/>
        </w:rPr>
        <w:t xml:space="preserve"> CAMBORIÚ</w:t>
      </w:r>
    </w:p>
    <w:p>
      <w:pPr>
        <w:pStyle w:val="Normal"/>
        <w:bidi w:val="0"/>
        <w:spacing w:lineRule="auto" w:line="240" w:before="0" w:after="0"/>
        <w:jc w:val="center"/>
        <w:rPr>
          <w:rFonts w:ascii="Arial" w:hAnsi="Arial" w:eastAsia="Arial" w:cs="Arial"/>
          <w:color w:val="00000A"/>
          <w:sz w:val="24"/>
          <w:szCs w:val="24"/>
        </w:rPr>
      </w:pPr>
      <w:r>
        <w:rPr>
          <w:rFonts w:eastAsia="Arial" w:cs="Arial" w:ascii="Arial" w:hAnsi="Arial"/>
          <w:color w:val="00000A"/>
          <w:sz w:val="24"/>
          <w:szCs w:val="24"/>
        </w:rPr>
      </w:r>
    </w:p>
    <w:p>
      <w:pPr>
        <w:pStyle w:val="Normal"/>
        <w:bidi w:val="0"/>
        <w:spacing w:lineRule="auto" w:line="240" w:before="0" w:after="0"/>
        <w:jc w:val="center"/>
        <w:rPr>
          <w:rFonts w:ascii="Arial" w:hAnsi="Arial" w:eastAsia="Arial" w:cs="Arial"/>
          <w:b w:val="false"/>
          <w:b w:val="false"/>
          <w:i w:val="false"/>
          <w:i w:val="false"/>
          <w:caps w:val="false"/>
          <w:smallCaps w:val="false"/>
          <w:strike w:val="false"/>
          <w:dstrike w:val="false"/>
          <w:color w:val="3A3AEE"/>
          <w:position w:val="0"/>
          <w:sz w:val="22"/>
          <w:sz w:val="24"/>
          <w:szCs w:val="24"/>
          <w:highlight w:val="white"/>
          <w:u w:val="none"/>
          <w:vertAlign w:val="baseline"/>
        </w:rPr>
      </w:pPr>
      <w:r>
        <w:rPr>
          <w:rFonts w:eastAsia="Arial" w:cs="Arial" w:ascii="Arial" w:hAnsi="Arial"/>
          <w:i/>
          <w:sz w:val="24"/>
          <w:szCs w:val="24"/>
        </w:rPr>
        <w:t>Amanda Geraldo Andrighi</w:t>
      </w:r>
      <w:r>
        <w:rPr>
          <w:rStyle w:val="Ncoradanotaderodap"/>
          <w:rFonts w:eastAsia="Arial" w:cs="Arial" w:ascii="Arial" w:hAnsi="Arial"/>
          <w:i/>
          <w:sz w:val="24"/>
          <w:szCs w:val="24"/>
        </w:rPr>
        <w:footnoteReference w:id="2"/>
      </w:r>
      <w:r>
        <w:rPr>
          <w:rFonts w:eastAsia="Arial" w:cs="Arial" w:ascii="Arial" w:hAnsi="Arial"/>
          <w:b/>
          <w:i/>
          <w:sz w:val="24"/>
          <w:szCs w:val="24"/>
        </w:rPr>
        <w:t xml:space="preserve">; </w:t>
      </w:r>
      <w:r>
        <w:rPr>
          <w:rFonts w:eastAsia="Arial" w:cs="Arial" w:ascii="Arial" w:hAnsi="Arial"/>
          <w:i/>
          <w:sz w:val="24"/>
          <w:szCs w:val="24"/>
        </w:rPr>
        <w:t>Lucas Eduardo Wieth</w:t>
      </w:r>
      <w:r>
        <w:rPr>
          <w:rStyle w:val="Ncoradanotaderodap"/>
          <w:rFonts w:eastAsia="Arial" w:cs="Arial" w:ascii="Arial" w:hAnsi="Arial"/>
          <w:i/>
          <w:sz w:val="24"/>
          <w:szCs w:val="24"/>
        </w:rPr>
        <w:footnoteReference w:id="3"/>
      </w:r>
      <w:r>
        <w:rPr>
          <w:rFonts w:eastAsia="Arial" w:cs="Arial" w:ascii="Arial" w:hAnsi="Arial"/>
          <w:i/>
          <w:sz w:val="24"/>
          <w:szCs w:val="24"/>
        </w:rPr>
        <w:t>; Victor Hugo Andrade Schlebinger</w:t>
      </w:r>
      <w:r>
        <w:rPr>
          <w:rStyle w:val="Ncoradanotaderodap"/>
          <w:rFonts w:eastAsia="Arial" w:cs="Arial" w:ascii="Arial" w:hAnsi="Arial"/>
          <w:i/>
          <w:sz w:val="24"/>
          <w:szCs w:val="24"/>
        </w:rPr>
        <w:footnoteReference w:id="4"/>
      </w:r>
      <w:r>
        <w:rPr>
          <w:rFonts w:eastAsia="Arial" w:cs="Arial" w:ascii="Arial" w:hAnsi="Arial"/>
          <w:i/>
          <w:sz w:val="24"/>
          <w:szCs w:val="24"/>
        </w:rPr>
        <w:t>; Joeci Ricardo Godoi</w:t>
      </w:r>
      <w:r>
        <w:rPr>
          <w:rStyle w:val="Ncoradanotaderodap"/>
          <w:rFonts w:eastAsia="Arial" w:cs="Arial" w:ascii="Arial" w:hAnsi="Arial"/>
          <w:i/>
          <w:sz w:val="24"/>
          <w:szCs w:val="24"/>
        </w:rPr>
        <w:footnoteReference w:id="5"/>
      </w:r>
      <w:r>
        <w:rPr>
          <w:rFonts w:eastAsia="Arial" w:cs="Arial" w:ascii="Arial" w:hAnsi="Arial"/>
          <w:i/>
          <w:sz w:val="24"/>
          <w:szCs w:val="24"/>
        </w:rPr>
        <w:t>; Rodrigo Souza Banegas</w:t>
      </w:r>
      <w:r>
        <w:rPr>
          <w:rStyle w:val="Ncoradanotaderodap"/>
          <w:rFonts w:eastAsia="Arial" w:cs="Arial" w:ascii="Arial" w:hAnsi="Arial"/>
          <w:i/>
          <w:sz w:val="24"/>
          <w:szCs w:val="24"/>
        </w:rPr>
        <w:footnoteReference w:id="6"/>
      </w:r>
      <w:r>
        <w:rPr>
          <w:rFonts w:eastAsia="Arial" w:cs="Arial" w:ascii="Arial" w:hAnsi="Arial"/>
          <w:i/>
          <w:sz w:val="24"/>
          <w:szCs w:val="24"/>
          <w:vertAlign w:val="subscript"/>
        </w:rPr>
        <w:t xml:space="preserve">; </w:t>
      </w:r>
      <w:r>
        <w:rPr>
          <w:rFonts w:eastAsia="Arial" w:cs="Arial" w:ascii="Arial" w:hAnsi="Arial"/>
          <w:i/>
          <w:sz w:val="24"/>
          <w:szCs w:val="24"/>
        </w:rPr>
        <w:t>Letícia Flohr</w:t>
      </w:r>
      <w:r>
        <w:rPr>
          <w:rStyle w:val="Ncoradanotaderodap"/>
          <w:rFonts w:eastAsia="Arial" w:cs="Arial" w:ascii="Arial" w:hAnsi="Arial"/>
          <w:i/>
          <w:sz w:val="24"/>
          <w:szCs w:val="24"/>
        </w:rPr>
        <w:footnoteReference w:id="7"/>
      </w:r>
    </w:p>
    <w:p>
      <w:pPr>
        <w:pStyle w:val="Normal"/>
        <w:keepNext/>
        <w:keepLines w:val="false"/>
        <w:widowControl/>
        <w:shd w:val="clear" w:fill="auto"/>
        <w:bidi w:val="0"/>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position w:val="0"/>
          <w:sz w:val="24"/>
          <w:sz w:val="24"/>
          <w:szCs w:val="24"/>
          <w:u w:val="none"/>
          <w:shd w:fill="FFFFFF" w:val="clear"/>
          <w:vertAlign w:val="baseline"/>
        </w:rPr>
      </w:r>
    </w:p>
    <w:p>
      <w:pPr>
        <w:pStyle w:val="Normal"/>
        <w:keepNext/>
        <w:keepLines w:val="false"/>
        <w:widowControl/>
        <w:shd w:val="clear" w:fill="auto"/>
        <w:bidi w:val="0"/>
        <w:spacing w:lineRule="auto" w:line="240" w:before="0" w:after="0"/>
        <w:ind w:left="0" w:right="0" w:hanging="0"/>
        <w:jc w:val="center"/>
        <w:rPr>
          <w:rFonts w:ascii="Arial" w:hAnsi="Arial" w:eastAsia="Arial" w:cs="Arial"/>
          <w:sz w:val="24"/>
          <w:szCs w:val="24"/>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RESUMO</w:t>
      </w:r>
    </w:p>
    <w:p>
      <w:pPr>
        <w:pStyle w:val="Normal"/>
        <w:keepNext/>
        <w:keepLines w:val="false"/>
        <w:widowControl/>
        <w:shd w:val="clear" w:fill="auto"/>
        <w:bidi w:val="0"/>
        <w:spacing w:lineRule="auto" w:line="240" w:before="0" w:after="0"/>
        <w:ind w:left="0" w:right="0" w:hanging="0"/>
        <w:jc w:val="center"/>
        <w:rPr>
          <w:rFonts w:ascii="Arial" w:hAnsi="Arial" w:eastAsia="Arial" w:cs="Arial"/>
          <w:sz w:val="24"/>
          <w:szCs w:val="24"/>
        </w:rPr>
      </w:pPr>
      <w:r>
        <w:rPr>
          <w:rFonts w:eastAsia="Arial" w:cs="Arial" w:ascii="Arial" w:hAnsi="Arial"/>
          <w:sz w:val="24"/>
          <w:szCs w:val="24"/>
        </w:rPr>
      </w:r>
    </w:p>
    <w:p>
      <w:pPr>
        <w:pStyle w:val="Normal"/>
        <w:keepNext/>
        <w:keepLines w:val="false"/>
        <w:widowControl/>
        <w:shd w:val="clear" w:fill="auto"/>
        <w:bidi w:val="0"/>
        <w:spacing w:lineRule="auto" w:line="240" w:before="0" w:after="0"/>
        <w:ind w:left="0" w:right="0" w:hanging="0"/>
        <w:jc w:val="both"/>
        <w:rPr/>
      </w:pPr>
      <w:r>
        <w:rPr>
          <w:rFonts w:eastAsia="Arial" w:cs="Arial" w:ascii="Arial" w:hAnsi="Arial"/>
          <w:sz w:val="24"/>
          <w:szCs w:val="24"/>
        </w:rPr>
        <w:t>A água é primordial para os organismos vivos, com isso lhe é atribuído valor econômico, ambiental e social. O reúso da água da chuva é uma das formas de assegurar este recurso. O desenvolvimento em avanço da sociedade junto à intensificação da poluição atmosférica é uma ameaça iminente à qualidade das águas pluviais. Este trabalho tem como objetivo o monitoramento qualitativo da água da chuva e do ar no município de Camboriú (SC), com avaliação por meio de testes físico-químicos e fitotoxicológicos para a água precipitada, e através da análise da concentração de MP</w:t>
      </w:r>
      <w:r>
        <w:rPr>
          <w:rFonts w:eastAsia="Arial" w:cs="Arial" w:ascii="Arial" w:hAnsi="Arial"/>
          <w:sz w:val="24"/>
          <w:szCs w:val="24"/>
          <w:vertAlign w:val="subscript"/>
        </w:rPr>
        <w:t>10</w:t>
      </w:r>
      <w:r>
        <w:rPr>
          <w:rFonts w:eastAsia="Arial" w:cs="Arial" w:ascii="Arial" w:hAnsi="Arial"/>
          <w:sz w:val="24"/>
          <w:szCs w:val="24"/>
        </w:rPr>
        <w:t xml:space="preserve">. Os resultados parciais têm demonstrado uma boa qualidade da água pluvial e do ar no município, apesar de uma tendência a chuvas com pH &lt; 6,0. O monitoramento contínuo poderá estabelecer resultados mais precisos, e fornecer informações sobre a qualidade do ar na região e um possível reúso de águas pluviais no </w:t>
      </w:r>
      <w:r>
        <w:rPr>
          <w:rFonts w:eastAsia="Arial" w:cs="Arial" w:ascii="Arial" w:hAnsi="Arial"/>
          <w:i/>
          <w:sz w:val="24"/>
          <w:szCs w:val="24"/>
        </w:rPr>
        <w:t xml:space="preserve">Campus </w:t>
      </w:r>
      <w:r>
        <w:rPr>
          <w:rFonts w:eastAsia="Arial" w:cs="Arial" w:ascii="Arial" w:hAnsi="Arial"/>
          <w:sz w:val="24"/>
          <w:szCs w:val="24"/>
        </w:rPr>
        <w:t>Camboriú.</w:t>
      </w:r>
    </w:p>
    <w:p>
      <w:pPr>
        <w:pStyle w:val="Normal"/>
        <w:keepNext/>
        <w:keepLines w:val="false"/>
        <w:widowControl/>
        <w:shd w:val="clear" w:fill="auto"/>
        <w:bidi w:val="0"/>
        <w:spacing w:lineRule="auto" w:line="240" w:before="0" w:after="0"/>
        <w:ind w:left="0" w:right="0" w:hanging="0"/>
        <w:jc w:val="both"/>
        <w:rPr>
          <w:rFonts w:ascii="Arial" w:hAnsi="Arial" w:eastAsia="Arial" w:cs="Arial"/>
          <w:sz w:val="24"/>
          <w:szCs w:val="24"/>
        </w:rPr>
      </w:pPr>
      <w:r>
        <w:rPr>
          <w:rFonts w:eastAsia="Arial" w:cs="Arial" w:ascii="Arial" w:hAnsi="Arial"/>
          <w:sz w:val="24"/>
          <w:szCs w:val="24"/>
        </w:rPr>
      </w:r>
    </w:p>
    <w:p>
      <w:pPr>
        <w:pStyle w:val="Normal"/>
        <w:keepNext/>
        <w:keepLines w:val="false"/>
        <w:widowControl/>
        <w:shd w:val="clear" w:fill="auto"/>
        <w:bidi w:val="0"/>
        <w:spacing w:lineRule="auto" w:line="240" w:before="0" w:after="0"/>
        <w:ind w:left="0" w:right="0" w:hanging="0"/>
        <w:jc w:val="both"/>
        <w:rPr>
          <w:rFonts w:ascii="Arial" w:hAnsi="Arial" w:eastAsia="Arial" w:cs="Arial"/>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Palavras-chave</w:t>
      </w:r>
      <w:r>
        <w:rPr>
          <w:rFonts w:eastAsia="Arial" w:cs="Arial" w:ascii="Arial" w:hAnsi="Arial"/>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Arial" w:cs="Arial" w:ascii="Arial" w:hAnsi="Arial"/>
          <w:sz w:val="24"/>
          <w:szCs w:val="24"/>
        </w:rPr>
        <w:t>Chuva ácida. Poluição do ar. Monitoramento. Material particulado.</w:t>
      </w:r>
    </w:p>
    <w:p>
      <w:pPr>
        <w:pStyle w:val="Normal"/>
        <w:keepNext/>
        <w:keepLines w:val="false"/>
        <w:widowControl/>
        <w:shd w:val="clear" w:fill="auto"/>
        <w:bidi w:val="0"/>
        <w:spacing w:lineRule="auto" w:line="240" w:before="0" w:after="0"/>
        <w:ind w:left="0" w:right="0" w:hanging="0"/>
        <w:jc w:val="both"/>
        <w:rPr>
          <w:rFonts w:ascii="Arial" w:hAnsi="Arial" w:eastAsia="Arial" w:cs="Arial"/>
          <w:sz w:val="24"/>
          <w:szCs w:val="24"/>
        </w:rPr>
      </w:pPr>
      <w:r>
        <w:rPr>
          <w:rFonts w:eastAsia="Arial" w:cs="Arial" w:ascii="Arial" w:hAnsi="Arial"/>
          <w:sz w:val="24"/>
          <w:szCs w:val="24"/>
        </w:rPr>
      </w:r>
    </w:p>
    <w:p>
      <w:pPr>
        <w:pStyle w:val="Normal"/>
        <w:keepNext/>
        <w:keepLines w:val="false"/>
        <w:widowControl/>
        <w:shd w:val="clear" w:fill="auto"/>
        <w:bidi w:val="0"/>
        <w:spacing w:lineRule="auto" w:line="240" w:before="0" w:after="0"/>
        <w:ind w:left="0" w:right="0" w:hanging="0"/>
        <w:jc w:val="both"/>
        <w:rPr>
          <w:rFonts w:ascii="Arial" w:hAnsi="Arial" w:eastAsia="Arial" w:cs="Arial"/>
          <w:sz w:val="24"/>
          <w:szCs w:val="24"/>
        </w:rPr>
      </w:pPr>
      <w:r>
        <w:rPr>
          <w:rFonts w:eastAsia="Arial" w:cs="Arial" w:ascii="Arial" w:hAnsi="Arial"/>
          <w:sz w:val="24"/>
          <w:szCs w:val="24"/>
        </w:rPr>
      </w:r>
    </w:p>
    <w:p>
      <w:pPr>
        <w:pStyle w:val="Normal"/>
        <w:keepNext/>
        <w:keepLines w:val="false"/>
        <w:widowControl/>
        <w:shd w:val="clear" w:fill="auto"/>
        <w:bidi w:val="0"/>
        <w:spacing w:lineRule="auto" w:line="240" w:before="0" w:after="0"/>
        <w:ind w:left="0" w:right="0" w:hanging="0"/>
        <w:jc w:val="center"/>
        <w:rPr>
          <w:rFonts w:ascii="Arial" w:hAnsi="Arial" w:eastAsia="Arial" w:cs="Arial"/>
          <w:sz w:val="24"/>
          <w:szCs w:val="24"/>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INTRODUÇÃO</w:t>
      </w:r>
    </w:p>
    <w:p>
      <w:pPr>
        <w:pStyle w:val="Normal"/>
        <w:keepNext/>
        <w:keepLines w:val="false"/>
        <w:widowControl/>
        <w:shd w:val="clear" w:fill="auto"/>
        <w:bidi w:val="0"/>
        <w:spacing w:lineRule="auto" w:line="240" w:before="0" w:after="0"/>
        <w:ind w:left="0" w:right="0" w:hanging="0"/>
        <w:jc w:val="center"/>
        <w:rPr>
          <w:rFonts w:ascii="Arial" w:hAnsi="Arial" w:eastAsia="Arial" w:cs="Arial"/>
          <w:sz w:val="24"/>
          <w:szCs w:val="24"/>
        </w:rPr>
      </w:pPr>
      <w:r>
        <w:rPr>
          <w:rFonts w:eastAsia="Arial" w:cs="Arial" w:ascii="Arial" w:hAnsi="Arial"/>
          <w:sz w:val="24"/>
          <w:szCs w:val="24"/>
        </w:rPr>
      </w:r>
    </w:p>
    <w:p>
      <w:pPr>
        <w:pStyle w:val="Normal"/>
        <w:tabs>
          <w:tab w:val="left" w:pos="1119" w:leader="none"/>
        </w:tabs>
        <w:bidi w:val="0"/>
        <w:spacing w:lineRule="auto" w:line="360" w:before="0" w:after="0"/>
        <w:ind w:firstLine="1133"/>
        <w:jc w:val="both"/>
        <w:rPr>
          <w:rFonts w:ascii="Arial" w:hAnsi="Arial" w:eastAsia="Arial" w:cs="Arial"/>
          <w:sz w:val="24"/>
          <w:szCs w:val="24"/>
        </w:rPr>
      </w:pPr>
      <w:r>
        <w:rPr>
          <w:rFonts w:eastAsia="Arial" w:cs="Arial" w:ascii="Arial" w:hAnsi="Arial"/>
          <w:sz w:val="24"/>
          <w:szCs w:val="24"/>
        </w:rPr>
        <w:t>A água é um recurso natural limitado, essencial à vida e de interesse coletivo, que está assegurado pela Constituição Federal vigente nos dias atuais, mais especificamente na Política Nacional de Recursos Hídricos – Lei nº 9.433 (BRASIL, 1997). Em consequência do aumento da poluição, esse recurso está ficando cada vez mais escasso, sendo que o uso global da água aumentou seis vezes no último século – o dobro do índice de crescimento populacional (MANSUR, 2018). Isso mostra a necessidade de economia da água, além da urgência da utilização de outras fontes deste bem para o consumo.</w:t>
      </w:r>
    </w:p>
    <w:p>
      <w:pPr>
        <w:pStyle w:val="Normal"/>
        <w:tabs>
          <w:tab w:val="left" w:pos="1119" w:leader="none"/>
        </w:tabs>
        <w:bidi w:val="0"/>
        <w:spacing w:lineRule="auto" w:line="360" w:before="0" w:after="0"/>
        <w:ind w:firstLine="1133"/>
        <w:jc w:val="both"/>
        <w:rPr/>
      </w:pPr>
      <w:r>
        <w:rPr>
          <w:rFonts w:eastAsia="Arial" w:cs="Arial" w:ascii="Arial" w:hAnsi="Arial"/>
          <w:sz w:val="24"/>
          <w:szCs w:val="24"/>
        </w:rPr>
        <w:t xml:space="preserve">De maneira correlacionada, com o avanço da industrialização e a difusão do uso de automóveis, sobretudo no século XX, o lançamento de poluentes emitidos na atmosfera foi intensificado (BRAGA et al., 2007), e, através do carregamento dessas partículas pela precipitação, amplificaram-se as chances de ocorrência do fenômeno “chuva ácida”, que afeta diretamente a qualidade da água pluvial. A chuva ácida é estipulada quando o índice de pH da água precipitada for menor que 5,6, sendo este nível atingido, principalmente, pela riqueza de óxidos ácidos (de carbono, enxofre e nitrogênio) na atmosfera que, dissolvidos na água, formam ácidos e diminuem o valor de pH (CAMPOS et al., 2006). Baixos valores de pH podem influenciar na produção agrícola e também nos materiais expostos a esta água (BRENA, 2009). Desta forma, estudos sobre qualidade de água da chuva são muito importantes para gestão ambiental em zonas rurais ou urbanas, particularmente nas suas possibilidades de reúso, além de evidenciarem a poluição atmosférica. </w:t>
      </w:r>
    </w:p>
    <w:p>
      <w:pPr>
        <w:pStyle w:val="Normal"/>
        <w:tabs>
          <w:tab w:val="left" w:pos="1119" w:leader="none"/>
        </w:tabs>
        <w:bidi w:val="0"/>
        <w:spacing w:lineRule="auto" w:line="360" w:before="0" w:after="0"/>
        <w:ind w:firstLine="1133"/>
        <w:jc w:val="both"/>
        <w:rPr>
          <w:rFonts w:ascii="Arial" w:hAnsi="Arial" w:eastAsia="Arial" w:cs="Arial"/>
          <w:sz w:val="24"/>
          <w:szCs w:val="24"/>
        </w:rPr>
      </w:pPr>
      <w:r>
        <w:rPr>
          <w:rFonts w:eastAsia="Arial" w:cs="Arial" w:ascii="Arial" w:hAnsi="Arial"/>
          <w:sz w:val="24"/>
          <w:szCs w:val="24"/>
        </w:rPr>
        <w:t>Poluição do ar é a presença ou lançamento de matéria ou energia na atmosfera, de forma que possa torná-lo impróprio para os seres vivos e ao meio ambiente. Os poluentes têm efeitos adversos, como a deterioração da saúde humana, animal e das plantas. Como a atmosfera não é capaz de dispersar os poluentes imediatamente, esses demoram tempo para se distribuir uniformemente na atmosfera (PHILIPPI JUNIOR, 2005; GALVÃO FILHO, 1989).</w:t>
      </w:r>
    </w:p>
    <w:p>
      <w:pPr>
        <w:pStyle w:val="Normal"/>
        <w:bidi w:val="0"/>
        <w:spacing w:lineRule="auto" w:line="360" w:before="0" w:after="0"/>
        <w:ind w:firstLine="1134"/>
        <w:jc w:val="both"/>
        <w:rPr/>
      </w:pPr>
      <w:r>
        <w:rPr>
          <w:rFonts w:eastAsia="Arial" w:cs="Arial" w:ascii="Arial" w:hAnsi="Arial"/>
          <w:sz w:val="24"/>
          <w:szCs w:val="24"/>
        </w:rPr>
        <w:t>Entre os contaminantes do ar, o Material Particulado (MP) suspenso é constantemente emitido por diversas fontes e pode causar sérios danos à saúde do meio ambiente. A exposição de espécies vivas à atmosferas contaminadas por MP pode atuar tanto na alteração das condições normais do indivíduo como no aumento dos problemas já existentes. Esses efeitos podem ser tanto globais como podem ocorrer em níveis locais, uma vez que o mesmo ar é respirado por diversas pessoas (CETESB, 2004; 2008; HOINASKI, 2010).</w:t>
      </w:r>
    </w:p>
    <w:p>
      <w:pPr>
        <w:pStyle w:val="Normal"/>
        <w:tabs>
          <w:tab w:val="left" w:pos="1119" w:leader="none"/>
        </w:tabs>
        <w:bidi w:val="0"/>
        <w:spacing w:lineRule="auto" w:line="360" w:before="0" w:after="0"/>
        <w:jc w:val="both"/>
        <w:rPr>
          <w:rFonts w:ascii="Arial" w:hAnsi="Arial" w:eastAsia="Arial" w:cs="Arial"/>
          <w:sz w:val="24"/>
          <w:szCs w:val="24"/>
        </w:rPr>
      </w:pPr>
      <w:r>
        <w:rPr>
          <w:rFonts w:eastAsia="Arial" w:cs="Arial" w:ascii="Arial" w:hAnsi="Arial"/>
          <w:sz w:val="24"/>
          <w:szCs w:val="24"/>
        </w:rPr>
        <w:tab/>
        <w:t>Como complemento para avaliações qualitativas das águas pluviais, também podem ser analisados os valores de condutividade elétrica (CE) e os efeitos sobre organismos vivos. A alta CE está atrelada à presença de íons na água, possivelmente causada pela ionização dos ácidos e a absorção dos poluentes atmosféricos pela chuva (MARQUES et al., 2010). Os efeitos em organismos vivos podem ser verificados através de testes de fitotoxicidade, mediante observação da germinação de sementes. O baixo teor de germinação pode indicar, biologicamente, um desequilíbrio na acidez da água, pois o valor de pH ideal aos seres vivos está geralmente entre 6,5 e 7,5 (Werker; Hall, 1999 apud Brito-Pelegrini et al., 2007).</w:t>
      </w:r>
    </w:p>
    <w:p>
      <w:pPr>
        <w:pStyle w:val="Normal"/>
        <w:tabs>
          <w:tab w:val="left" w:pos="1119" w:leader="none"/>
        </w:tabs>
        <w:bidi w:val="0"/>
        <w:spacing w:lineRule="auto" w:line="360" w:before="0" w:after="0"/>
        <w:ind w:firstLine="1133"/>
        <w:jc w:val="both"/>
        <w:rPr/>
      </w:pPr>
      <w:r>
        <w:rPr>
          <w:rFonts w:eastAsia="Arial" w:cs="Arial" w:ascii="Arial" w:hAnsi="Arial"/>
          <w:sz w:val="24"/>
          <w:szCs w:val="24"/>
          <w:highlight w:val="white"/>
        </w:rPr>
        <w:t>Assim, e</w:t>
      </w:r>
      <w:r>
        <w:rPr>
          <w:rFonts w:eastAsia="Arial" w:cs="Arial" w:ascii="Arial" w:hAnsi="Arial"/>
          <w:sz w:val="24"/>
          <w:szCs w:val="24"/>
        </w:rPr>
        <w:t>ste projeto tem como objetivo monitorar a concentração de MP</w:t>
      </w:r>
      <w:r>
        <w:rPr>
          <w:rFonts w:eastAsia="Arial" w:cs="Arial" w:ascii="Arial" w:hAnsi="Arial"/>
          <w:sz w:val="24"/>
          <w:szCs w:val="24"/>
          <w:vertAlign w:val="subscript"/>
        </w:rPr>
        <w:t>10</w:t>
      </w:r>
      <w:r>
        <w:rPr>
          <w:rFonts w:eastAsia="Arial" w:cs="Arial" w:ascii="Arial" w:hAnsi="Arial"/>
          <w:sz w:val="24"/>
          <w:szCs w:val="24"/>
        </w:rPr>
        <w:t xml:space="preserve"> e a qualidade da água da chuva no IFC – </w:t>
      </w:r>
      <w:r>
        <w:rPr>
          <w:rFonts w:eastAsia="Arial" w:cs="Arial" w:ascii="Arial" w:hAnsi="Arial"/>
          <w:i/>
          <w:sz w:val="24"/>
          <w:szCs w:val="24"/>
        </w:rPr>
        <w:t>Campus</w:t>
      </w:r>
      <w:r>
        <w:rPr>
          <w:rFonts w:eastAsia="Arial" w:cs="Arial" w:ascii="Arial" w:hAnsi="Arial"/>
          <w:sz w:val="24"/>
          <w:szCs w:val="24"/>
        </w:rPr>
        <w:t xml:space="preserve"> Camboriú através da análise da  de valores de pH, condutividade elétrica e testes fitotoxicológicos das amostras coletadas. A partir dos resultados, serão verificadas as possibilidades de reutilização das águas pluviais para fins não nobres na própria instituição.</w:t>
      </w:r>
    </w:p>
    <w:p>
      <w:pPr>
        <w:pStyle w:val="Normal"/>
        <w:tabs>
          <w:tab w:val="left" w:pos="1119" w:leader="none"/>
        </w:tabs>
        <w:bidi w:val="0"/>
        <w:spacing w:lineRule="auto" w:line="240" w:before="0" w:after="0"/>
        <w:ind w:firstLine="1133"/>
        <w:jc w:val="both"/>
        <w:rPr>
          <w:rFonts w:ascii="Arial" w:hAnsi="Arial" w:eastAsia="Arial" w:cs="Arial"/>
          <w:sz w:val="24"/>
          <w:szCs w:val="24"/>
        </w:rPr>
      </w:pPr>
      <w:r>
        <w:rPr>
          <w:rFonts w:eastAsia="Arial" w:cs="Arial" w:ascii="Arial" w:hAnsi="Arial"/>
          <w:sz w:val="24"/>
          <w:szCs w:val="24"/>
        </w:rPr>
      </w:r>
    </w:p>
    <w:p>
      <w:pPr>
        <w:pStyle w:val="Normal"/>
        <w:tabs>
          <w:tab w:val="left" w:pos="1119" w:leader="none"/>
        </w:tabs>
        <w:bidi w:val="0"/>
        <w:spacing w:lineRule="auto" w:line="240" w:before="0" w:after="0"/>
        <w:ind w:firstLine="1133"/>
        <w:jc w:val="both"/>
        <w:rPr>
          <w:rFonts w:ascii="Arial" w:hAnsi="Arial" w:eastAsia="Arial" w:cs="Arial"/>
          <w:sz w:val="24"/>
          <w:szCs w:val="24"/>
        </w:rPr>
      </w:pPr>
      <w:r>
        <w:rPr>
          <w:rFonts w:eastAsia="Arial" w:cs="Arial" w:ascii="Arial" w:hAnsi="Arial"/>
          <w:sz w:val="24"/>
          <w:szCs w:val="24"/>
        </w:rPr>
      </w:r>
    </w:p>
    <w:p>
      <w:pPr>
        <w:pStyle w:val="Normal"/>
        <w:bidi w:val="0"/>
        <w:spacing w:lineRule="auto" w:line="240" w:before="0" w:after="0"/>
        <w:jc w:val="center"/>
        <w:rPr>
          <w:rFonts w:ascii="Arial" w:hAnsi="Arial" w:eastAsia="Arial" w:cs="Arial"/>
          <w:b/>
          <w:b/>
          <w:sz w:val="24"/>
          <w:szCs w:val="24"/>
        </w:rPr>
      </w:pPr>
      <w:r>
        <w:rPr>
          <w:rFonts w:eastAsia="Arial" w:cs="Arial" w:ascii="Arial" w:hAnsi="Arial"/>
          <w:b/>
          <w:sz w:val="24"/>
          <w:szCs w:val="24"/>
        </w:rPr>
        <w:t>PROCEDIMENTOS METODOLÓGICOS</w:t>
      </w:r>
    </w:p>
    <w:p>
      <w:pPr>
        <w:pStyle w:val="Normal"/>
        <w:bidi w:val="0"/>
        <w:spacing w:lineRule="auto" w:line="240" w:before="0" w:after="0"/>
        <w:jc w:val="both"/>
        <w:rPr>
          <w:rFonts w:ascii="Arial" w:hAnsi="Arial" w:eastAsia="Arial" w:cs="Arial"/>
          <w:sz w:val="24"/>
          <w:szCs w:val="24"/>
        </w:rPr>
      </w:pPr>
      <w:r>
        <w:rPr>
          <w:rFonts w:eastAsia="Arial" w:cs="Arial" w:ascii="Arial" w:hAnsi="Arial"/>
          <w:sz w:val="24"/>
          <w:szCs w:val="24"/>
        </w:rPr>
      </w:r>
    </w:p>
    <w:p>
      <w:pPr>
        <w:pStyle w:val="Normal"/>
        <w:tabs>
          <w:tab w:val="left" w:pos="1119" w:leader="none"/>
        </w:tabs>
        <w:bidi w:val="0"/>
        <w:spacing w:lineRule="auto" w:line="360" w:before="0" w:after="0"/>
        <w:jc w:val="both"/>
        <w:rPr/>
      </w:pPr>
      <w:r>
        <w:rPr>
          <w:rFonts w:eastAsia="Arial" w:cs="Arial" w:ascii="Arial" w:hAnsi="Arial"/>
          <w:sz w:val="24"/>
          <w:szCs w:val="24"/>
        </w:rPr>
        <w:tab/>
        <w:t>As amostras das precipitações pluviais foram coletadas nas dependências do Instituto Federal Catarinense – Campus Camboriú (27°00'51.7"S; 48°39'53.9"W), através da elaboração de coletores a partir de dois galões de plástico, de modo a interceptar e armazenar a água da chuva. Após a coleta, as águas pluviais foram analisadas por meio de parâmetros físico-químicos de pH e condutividade elétrica. Para a medição dos valores de pH das amostras, foi utilizado um pHmetro digital tipo caneta (ITPH2100). Os dados de CE foram estimados com o auxílio de um condutivímetro digital (AJmicronal AJX - 515). Ambos os aparelhos foram higienizados e calibrados para obtenção de melhores resultados. A realização dos testes fitotoxicológicos acontecerá mediante ensaios de germinação de sementes, utilizando da</w:t>
      </w:r>
      <w:r>
        <w:rPr>
          <w:rFonts w:eastAsia="Arial" w:cs="Arial" w:ascii="Arial" w:hAnsi="Arial"/>
          <w:i/>
          <w:sz w:val="24"/>
          <w:szCs w:val="24"/>
        </w:rPr>
        <w:t xml:space="preserve"> Eruca Sativa</w:t>
      </w:r>
      <w:r>
        <w:rPr>
          <w:rFonts w:eastAsia="Arial" w:cs="Arial" w:ascii="Arial" w:hAnsi="Arial"/>
          <w:sz w:val="24"/>
          <w:szCs w:val="24"/>
        </w:rPr>
        <w:t xml:space="preserve"> (rúcula), com uso da metodologia adaptada de Brito-Pelegrini et al. (2007), que consiste no acondicionamento de dez sementes em placas de Petri, revestidas com papel filtro embebido em 3,0 mL das amostras de águas pluviais. Os ensaios serão realizados em duplicata, em conjunto a dois testes de controle - A e B - negativos, embebidos em 3,0 mL de água destilada. As placas serão expostas à temperatura ambiente e luz natural por um período de 7 dias, e após isso, haverá a contagem das germinações com base nos controles.</w:t>
      </w:r>
    </w:p>
    <w:p>
      <w:pPr>
        <w:pStyle w:val="Normal"/>
        <w:bidi w:val="0"/>
        <w:spacing w:lineRule="auto" w:line="360" w:before="0" w:after="0"/>
        <w:ind w:firstLine="1133"/>
        <w:jc w:val="both"/>
        <w:rPr/>
      </w:pPr>
      <w:r>
        <w:rPr>
          <w:rFonts w:eastAsia="Arial" w:cs="Arial" w:ascii="Arial" w:hAnsi="Arial"/>
          <w:sz w:val="24"/>
          <w:szCs w:val="24"/>
        </w:rPr>
        <w:t xml:space="preserve">Para realizar a coleta de material particulado será utilizado o equipamento Amostrador de Grandes Volumes (AGV) da marca Energética, instalado no Instituto Federal Catarinense – </w:t>
      </w:r>
      <w:r>
        <w:rPr>
          <w:rFonts w:eastAsia="Arial" w:cs="Arial" w:ascii="Arial" w:hAnsi="Arial"/>
          <w:i/>
          <w:sz w:val="24"/>
          <w:szCs w:val="24"/>
        </w:rPr>
        <w:t>Campus</w:t>
      </w:r>
      <w:r>
        <w:rPr>
          <w:rFonts w:eastAsia="Arial" w:cs="Arial" w:ascii="Arial" w:hAnsi="Arial"/>
          <w:sz w:val="24"/>
          <w:szCs w:val="24"/>
        </w:rPr>
        <w:t xml:space="preserve"> Camboriú. O período de funcionamento do equipamento para a coleta de amostras será de 24 h. Os filtros do AGV utilizados serão inicialmente colocados por um período de 4 h na mufla em 400 ºC e depois 24 h num dessecador para controlar a umidade e então é possível obter o peso (massa) inicial do filtro, sendo repetida então a permanência de 24 h do filtro no dessecador após o período de coleta para obter a massa final. Para calcular a concentração são necessários outros dados, como a variação do CVV (Coeficiente de variação volumétrica) que é medido por meio de um manômetro acoplado ao equipamento; o tempo de amostragem, que pode ser visualizado no horâmetro do AGV; e a temperatura e pressão atmosférica do dia de amostragem, que são obtidos no site do CPTEC – Centro de Previsão do Tempo e Estudos Climáticos (</w:t>
      </w:r>
      <w:hyperlink r:id="rId2">
        <w:r>
          <w:rPr>
            <w:rStyle w:val="LinkdaInternet"/>
            <w:rFonts w:eastAsia="Arial" w:cs="Arial" w:ascii="Arial" w:hAnsi="Arial"/>
            <w:sz w:val="24"/>
            <w:szCs w:val="24"/>
            <w:u w:val="single"/>
          </w:rPr>
          <w:t>http://www.cptec.inpe.br</w:t>
        </w:r>
      </w:hyperlink>
      <w:r>
        <w:rPr>
          <w:rFonts w:eastAsia="Arial" w:cs="Arial" w:ascii="Arial" w:hAnsi="Arial"/>
          <w:sz w:val="24"/>
          <w:szCs w:val="24"/>
        </w:rPr>
        <w:t>). Os resultados indicados serão médias mensais, com o respectivo desvio padrão.</w:t>
      </w:r>
    </w:p>
    <w:p>
      <w:pPr>
        <w:pStyle w:val="Normal"/>
        <w:bidi w:val="0"/>
        <w:spacing w:lineRule="auto" w:line="360" w:before="0" w:after="0"/>
        <w:ind w:firstLine="1133"/>
        <w:jc w:val="both"/>
        <w:rPr>
          <w:rFonts w:ascii="Arial" w:hAnsi="Arial" w:eastAsia="Arial" w:cs="Arial"/>
          <w:sz w:val="24"/>
          <w:szCs w:val="24"/>
        </w:rPr>
      </w:pPr>
      <w:r>
        <w:rPr>
          <w:rFonts w:eastAsia="Arial" w:cs="Arial" w:ascii="Arial" w:hAnsi="Arial"/>
          <w:color w:val="000000"/>
          <w:sz w:val="24"/>
          <w:szCs w:val="24"/>
        </w:rPr>
        <w:t>Para avaliar a relação existente entre MP</w:t>
      </w:r>
      <w:r>
        <w:rPr>
          <w:rFonts w:eastAsia="Arial" w:cs="Arial" w:ascii="Arial" w:hAnsi="Arial"/>
          <w:color w:val="000000"/>
          <w:sz w:val="24"/>
          <w:szCs w:val="24"/>
          <w:vertAlign w:val="subscript"/>
        </w:rPr>
        <w:t xml:space="preserve">10 </w:t>
      </w:r>
      <w:r>
        <w:rPr>
          <w:rFonts w:eastAsia="Arial" w:cs="Arial" w:ascii="Arial" w:hAnsi="Arial"/>
          <w:color w:val="000000"/>
          <w:sz w:val="24"/>
          <w:szCs w:val="24"/>
        </w:rPr>
        <w:t xml:space="preserve">e as variáveis físico-químicas pH e CE e os resultados de testes de fitotoxicidade (e entre os parâmetros entre si) será utilizado o coeficiente de correlação de Pearson, por se tratar de variáveis do tipo quantitativas. Será utilizada a ferramenta do </w:t>
      </w:r>
      <w:r>
        <w:rPr>
          <w:rFonts w:eastAsia="Arial" w:cs="Arial" w:ascii="Arial" w:hAnsi="Arial"/>
          <w:i/>
          <w:color w:val="000000"/>
          <w:sz w:val="24"/>
          <w:szCs w:val="24"/>
        </w:rPr>
        <w:t xml:space="preserve">software </w:t>
      </w:r>
      <w:r>
        <w:rPr>
          <w:rFonts w:eastAsia="Arial" w:cs="Arial" w:ascii="Arial" w:hAnsi="Arial"/>
          <w:color w:val="000000"/>
          <w:sz w:val="24"/>
          <w:szCs w:val="24"/>
        </w:rPr>
        <w:t>LibreOffice Calc.</w:t>
      </w:r>
    </w:p>
    <w:p>
      <w:pPr>
        <w:pStyle w:val="Normal"/>
        <w:tabs>
          <w:tab w:val="left" w:pos="1119" w:leader="none"/>
        </w:tabs>
        <w:bidi w:val="0"/>
        <w:spacing w:lineRule="auto" w:line="240" w:before="0" w:after="0"/>
        <w:ind w:firstLine="1133"/>
        <w:jc w:val="both"/>
        <w:rPr>
          <w:rFonts w:ascii="Arial" w:hAnsi="Arial" w:eastAsia="Arial" w:cs="Arial"/>
          <w:color w:val="FFFFFF"/>
          <w:sz w:val="24"/>
          <w:szCs w:val="24"/>
        </w:rPr>
      </w:pPr>
      <w:r>
        <w:rPr>
          <w:rFonts w:eastAsia="Arial" w:cs="Arial" w:ascii="Arial" w:hAnsi="Arial"/>
          <w:color w:val="FFFFFF"/>
          <w:sz w:val="24"/>
          <w:szCs w:val="24"/>
        </w:rPr>
      </w:r>
    </w:p>
    <w:p>
      <w:pPr>
        <w:pStyle w:val="Normal"/>
        <w:tabs>
          <w:tab w:val="left" w:pos="1119" w:leader="none"/>
        </w:tabs>
        <w:bidi w:val="0"/>
        <w:spacing w:lineRule="auto" w:line="240" w:before="0" w:after="0"/>
        <w:ind w:firstLine="1133"/>
        <w:jc w:val="both"/>
        <w:rPr>
          <w:rFonts w:ascii="Arial" w:hAnsi="Arial" w:eastAsia="Arial" w:cs="Arial"/>
          <w:color w:val="FFFFFF"/>
          <w:sz w:val="24"/>
          <w:szCs w:val="24"/>
        </w:rPr>
      </w:pPr>
      <w:r>
        <w:rPr>
          <w:rFonts w:eastAsia="Arial" w:cs="Arial" w:ascii="Arial" w:hAnsi="Arial"/>
          <w:color w:val="FFFFFF"/>
          <w:sz w:val="24"/>
          <w:szCs w:val="24"/>
        </w:rPr>
      </w:r>
    </w:p>
    <w:p>
      <w:pPr>
        <w:pStyle w:val="Normal"/>
        <w:bidi w:val="0"/>
        <w:spacing w:lineRule="auto" w:line="240" w:before="0" w:after="0"/>
        <w:jc w:val="center"/>
        <w:rPr>
          <w:rFonts w:ascii="Arial" w:hAnsi="Arial" w:eastAsia="Arial" w:cs="Arial"/>
          <w:b/>
          <w:b/>
          <w:sz w:val="24"/>
          <w:szCs w:val="24"/>
        </w:rPr>
      </w:pPr>
      <w:r>
        <w:rPr>
          <w:rFonts w:eastAsia="Arial" w:cs="Arial" w:ascii="Arial" w:hAnsi="Arial"/>
          <w:b/>
          <w:sz w:val="24"/>
          <w:szCs w:val="24"/>
        </w:rPr>
        <w:t>RESULTADOS ESPERADOS OU PARCIAIS</w:t>
      </w:r>
    </w:p>
    <w:p>
      <w:pPr>
        <w:pStyle w:val="Normal"/>
        <w:tabs>
          <w:tab w:val="left" w:pos="1119" w:leader="none"/>
        </w:tabs>
        <w:bidi w:val="0"/>
        <w:spacing w:lineRule="auto" w:line="240" w:before="0" w:after="0"/>
        <w:jc w:val="both"/>
        <w:rPr>
          <w:rFonts w:ascii="Arial" w:hAnsi="Arial" w:eastAsia="Arial" w:cs="Arial"/>
          <w:b/>
          <w:b/>
          <w:sz w:val="24"/>
          <w:szCs w:val="24"/>
        </w:rPr>
      </w:pPr>
      <w:r>
        <w:rPr>
          <w:rFonts w:eastAsia="Arial" w:cs="Arial" w:ascii="Arial" w:hAnsi="Arial"/>
          <w:b/>
          <w:sz w:val="24"/>
          <w:szCs w:val="24"/>
        </w:rPr>
      </w:r>
    </w:p>
    <w:p>
      <w:pPr>
        <w:pStyle w:val="Normal"/>
        <w:bidi w:val="0"/>
        <w:spacing w:lineRule="auto" w:line="360" w:before="0" w:after="0"/>
        <w:ind w:firstLine="1134"/>
        <w:jc w:val="both"/>
        <w:rPr/>
      </w:pPr>
      <w:r>
        <w:rPr>
          <w:rFonts w:eastAsia="Arial" w:cs="Arial" w:ascii="Arial" w:hAnsi="Arial"/>
          <w:sz w:val="24"/>
          <w:szCs w:val="24"/>
        </w:rPr>
        <w:t>As coletas de material particulado MP</w:t>
      </w:r>
      <w:r>
        <w:rPr>
          <w:rFonts w:eastAsia="Arial" w:cs="Arial" w:ascii="Arial" w:hAnsi="Arial"/>
          <w:sz w:val="24"/>
          <w:szCs w:val="24"/>
          <w:vertAlign w:val="subscript"/>
        </w:rPr>
        <w:t>10</w:t>
      </w:r>
      <w:r>
        <w:rPr>
          <w:rFonts w:eastAsia="Arial" w:cs="Arial" w:ascii="Arial" w:hAnsi="Arial"/>
          <w:sz w:val="24"/>
          <w:szCs w:val="24"/>
        </w:rPr>
        <w:t xml:space="preserve"> ocorreram entre os meses de março e junho de 2019, e foi observado que em nenhuma amostra a concentração atingiu ou ultrapassou o limite diário máximo estabelecido pela Organização Mundial de Saúde – OMS (WHO, 2006), que é de 50 μg/m³ (Tabela 1). Até agora, a média mensal das concentrações alcança o valor de 28,66 μg/m</w:t>
      </w:r>
      <w:r>
        <w:rPr>
          <w:rFonts w:eastAsia="Arial" w:cs="Arial" w:ascii="Arial" w:hAnsi="Arial"/>
          <w:sz w:val="24"/>
          <w:szCs w:val="24"/>
          <w:vertAlign w:val="superscript"/>
        </w:rPr>
        <w:t>3</w:t>
      </w:r>
      <w:r>
        <w:rPr>
          <w:rFonts w:eastAsia="Arial" w:cs="Arial" w:ascii="Arial" w:hAnsi="Arial"/>
          <w:sz w:val="24"/>
          <w:szCs w:val="24"/>
        </w:rPr>
        <w:t>, o que já ultrapassaria o limite anual estabelecido pela mesma resolução, que é de 20 μg/m</w:t>
      </w:r>
      <w:r>
        <w:rPr>
          <w:rFonts w:eastAsia="Arial" w:cs="Arial" w:ascii="Arial" w:hAnsi="Arial"/>
          <w:sz w:val="24"/>
          <w:szCs w:val="24"/>
          <w:vertAlign w:val="superscript"/>
        </w:rPr>
        <w:t>3</w:t>
      </w:r>
      <w:r>
        <w:rPr>
          <w:rFonts w:eastAsia="Arial" w:cs="Arial" w:ascii="Arial" w:hAnsi="Arial"/>
          <w:sz w:val="24"/>
          <w:szCs w:val="24"/>
        </w:rPr>
        <w:t>.</w:t>
      </w:r>
    </w:p>
    <w:p>
      <w:pPr>
        <w:pStyle w:val="Normal"/>
        <w:bidi w:val="0"/>
        <w:spacing w:lineRule="auto" w:line="360" w:before="0" w:after="0"/>
        <w:ind w:firstLine="1134"/>
        <w:jc w:val="both"/>
        <w:rPr/>
      </w:pPr>
      <w:r>
        <w:rPr>
          <w:rFonts w:eastAsia="Arial" w:cs="Arial" w:ascii="Arial" w:hAnsi="Arial"/>
          <w:sz w:val="24"/>
          <w:szCs w:val="24"/>
        </w:rPr>
        <w:t>Os resultados parciais de pH e CE das águas pluviais coletadas podem ser visualizados na Tabela 1. Os testes de fitotoxicidade ainda não foram realizados.</w:t>
      </w:r>
    </w:p>
    <w:p>
      <w:pPr>
        <w:pStyle w:val="Normal"/>
        <w:bidi w:val="0"/>
        <w:spacing w:lineRule="auto" w:line="360" w:before="0" w:after="0"/>
        <w:ind w:firstLine="1134"/>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0" w:after="0"/>
        <w:jc w:val="both"/>
        <w:rPr/>
      </w:pPr>
      <w:r>
        <w:rPr>
          <w:rFonts w:eastAsia="Arial" w:cs="Arial" w:ascii="Arial" w:hAnsi="Arial"/>
          <w:sz w:val="20"/>
          <w:szCs w:val="20"/>
        </w:rPr>
        <w:t>Tabela 1: Resultados de MP</w:t>
      </w:r>
      <w:r>
        <w:rPr>
          <w:rFonts w:eastAsia="Arial" w:cs="Arial" w:ascii="Arial" w:hAnsi="Arial"/>
          <w:sz w:val="20"/>
          <w:szCs w:val="20"/>
          <w:vertAlign w:val="subscript"/>
        </w:rPr>
        <w:t>10</w:t>
      </w:r>
      <w:r>
        <w:rPr>
          <w:rFonts w:eastAsia="Arial" w:cs="Arial" w:ascii="Arial" w:hAnsi="Arial"/>
          <w:sz w:val="20"/>
          <w:szCs w:val="20"/>
        </w:rPr>
        <w:t>, pH e CE analisados entre os meses de março e junho de 2019 na cidade de Camboriú/SC. Valores médios e desvio padrão.</w:t>
      </w:r>
    </w:p>
    <w:tbl>
      <w:tblPr>
        <w:tblW w:w="9071" w:type="dxa"/>
        <w:jc w:val="left"/>
        <w:tblInd w:w="55" w:type="dxa"/>
        <w:tblBorders>
          <w:top w:val="single" w:sz="2" w:space="0" w:color="000001"/>
          <w:bottom w:val="single" w:sz="2" w:space="0" w:color="000001"/>
          <w:insideH w:val="single" w:sz="2" w:space="0" w:color="000001"/>
        </w:tblBorders>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2" w:space="0" w:color="000001"/>
              <w:bottom w:val="single" w:sz="2" w:space="0" w:color="000001"/>
              <w:insideH w:val="single" w:sz="2" w:space="0" w:color="000001"/>
            </w:tcBorders>
            <w:shd w:fill="auto" w:val="clear"/>
          </w:tcPr>
          <w:p>
            <w:pPr>
              <w:pStyle w:val="Contedodatabela"/>
              <w:spacing w:before="0" w:after="200"/>
              <w:jc w:val="center"/>
              <w:rPr>
                <w:rFonts w:ascii="Arial" w:hAnsi="Arial"/>
                <w:sz w:val="20"/>
                <w:szCs w:val="20"/>
              </w:rPr>
            </w:pPr>
            <w:r>
              <w:rPr>
                <w:rFonts w:ascii="Arial" w:hAnsi="Arial"/>
                <w:sz w:val="20"/>
                <w:szCs w:val="20"/>
              </w:rPr>
            </w:r>
          </w:p>
        </w:tc>
        <w:tc>
          <w:tcPr>
            <w:tcW w:w="1814" w:type="dxa"/>
            <w:tcBorders>
              <w:top w:val="single" w:sz="2" w:space="0" w:color="000001"/>
              <w:bottom w:val="single" w:sz="2" w:space="0" w:color="000001"/>
              <w:insideH w:val="single" w:sz="2" w:space="0" w:color="000001"/>
            </w:tcBorders>
            <w:shd w:fill="auto" w:val="clear"/>
          </w:tcPr>
          <w:p>
            <w:pPr>
              <w:pStyle w:val="Contedodatabela"/>
              <w:spacing w:before="0" w:after="200"/>
              <w:jc w:val="center"/>
              <w:rPr>
                <w:rFonts w:ascii="Arial" w:hAnsi="Arial"/>
                <w:b/>
                <w:b/>
                <w:bCs/>
                <w:sz w:val="20"/>
                <w:szCs w:val="20"/>
              </w:rPr>
            </w:pPr>
            <w:r>
              <w:rPr>
                <w:rFonts w:ascii="Arial" w:hAnsi="Arial"/>
                <w:b/>
                <w:bCs/>
                <w:sz w:val="20"/>
                <w:szCs w:val="20"/>
              </w:rPr>
              <w:t>Março</w:t>
            </w:r>
          </w:p>
        </w:tc>
        <w:tc>
          <w:tcPr>
            <w:tcW w:w="1814" w:type="dxa"/>
            <w:tcBorders>
              <w:top w:val="single" w:sz="2" w:space="0" w:color="000001"/>
              <w:bottom w:val="single" w:sz="2" w:space="0" w:color="000001"/>
              <w:insideH w:val="single" w:sz="2" w:space="0" w:color="000001"/>
            </w:tcBorders>
            <w:shd w:fill="auto" w:val="clear"/>
          </w:tcPr>
          <w:p>
            <w:pPr>
              <w:pStyle w:val="Contedodatabela"/>
              <w:spacing w:before="0" w:after="200"/>
              <w:jc w:val="center"/>
              <w:rPr>
                <w:rFonts w:ascii="Arial" w:hAnsi="Arial"/>
                <w:b/>
                <w:b/>
                <w:bCs/>
                <w:sz w:val="20"/>
                <w:szCs w:val="20"/>
              </w:rPr>
            </w:pPr>
            <w:r>
              <w:rPr>
                <w:rFonts w:ascii="Arial" w:hAnsi="Arial"/>
                <w:b/>
                <w:bCs/>
                <w:sz w:val="20"/>
                <w:szCs w:val="20"/>
              </w:rPr>
              <w:t>Abril</w:t>
            </w:r>
          </w:p>
        </w:tc>
        <w:tc>
          <w:tcPr>
            <w:tcW w:w="1814" w:type="dxa"/>
            <w:tcBorders>
              <w:top w:val="single" w:sz="2" w:space="0" w:color="000001"/>
              <w:bottom w:val="single" w:sz="2" w:space="0" w:color="000001"/>
              <w:insideH w:val="single" w:sz="2" w:space="0" w:color="000001"/>
            </w:tcBorders>
            <w:shd w:fill="auto" w:val="clear"/>
          </w:tcPr>
          <w:p>
            <w:pPr>
              <w:pStyle w:val="Contedodatabela"/>
              <w:spacing w:before="0" w:after="200"/>
              <w:jc w:val="center"/>
              <w:rPr>
                <w:rFonts w:ascii="Arial" w:hAnsi="Arial"/>
                <w:b/>
                <w:b/>
                <w:bCs/>
                <w:sz w:val="20"/>
                <w:szCs w:val="20"/>
              </w:rPr>
            </w:pPr>
            <w:r>
              <w:rPr>
                <w:rFonts w:ascii="Arial" w:hAnsi="Arial"/>
                <w:b/>
                <w:bCs/>
                <w:sz w:val="20"/>
                <w:szCs w:val="20"/>
              </w:rPr>
              <w:t>Maio</w:t>
            </w:r>
          </w:p>
        </w:tc>
        <w:tc>
          <w:tcPr>
            <w:tcW w:w="1815" w:type="dxa"/>
            <w:tcBorders>
              <w:top w:val="single" w:sz="2" w:space="0" w:color="000001"/>
              <w:bottom w:val="single" w:sz="2" w:space="0" w:color="000001"/>
              <w:insideH w:val="single" w:sz="2" w:space="0" w:color="000001"/>
            </w:tcBorders>
            <w:shd w:fill="auto" w:val="clear"/>
          </w:tcPr>
          <w:p>
            <w:pPr>
              <w:pStyle w:val="Contedodatabela"/>
              <w:spacing w:before="0" w:after="200"/>
              <w:jc w:val="center"/>
              <w:rPr>
                <w:rFonts w:ascii="Arial" w:hAnsi="Arial"/>
                <w:b/>
                <w:b/>
                <w:bCs/>
                <w:sz w:val="20"/>
                <w:szCs w:val="20"/>
              </w:rPr>
            </w:pPr>
            <w:r>
              <w:rPr>
                <w:rFonts w:ascii="Arial" w:hAnsi="Arial"/>
                <w:b/>
                <w:bCs/>
                <w:sz w:val="20"/>
                <w:szCs w:val="20"/>
              </w:rPr>
              <w:t>Junho</w:t>
            </w:r>
          </w:p>
        </w:tc>
      </w:tr>
      <w:tr>
        <w:trPr/>
        <w:tc>
          <w:tcPr>
            <w:tcW w:w="1814" w:type="dxa"/>
            <w:tcBorders>
              <w:top w:val="single" w:sz="2" w:space="0" w:color="000001"/>
              <w:bottom w:val="single" w:sz="2" w:space="0" w:color="000001"/>
              <w:insideH w:val="single" w:sz="2" w:space="0" w:color="000001"/>
            </w:tcBorders>
            <w:shd w:fill="auto" w:val="clear"/>
            <w:vAlign w:val="center"/>
          </w:tcPr>
          <w:p>
            <w:pPr>
              <w:pStyle w:val="Normal"/>
              <w:widowControl w:val="false"/>
              <w:bidi w:val="0"/>
              <w:spacing w:lineRule="auto" w:line="240" w:before="0" w:after="0"/>
              <w:jc w:val="left"/>
              <w:rPr>
                <w:rFonts w:ascii="Arial" w:hAnsi="Arial"/>
                <w:b/>
                <w:b/>
                <w:bCs/>
                <w:sz w:val="20"/>
                <w:szCs w:val="20"/>
              </w:rPr>
            </w:pPr>
            <w:r>
              <w:rPr>
                <w:rFonts w:eastAsia="Arial" w:cs="Arial" w:ascii="Arial" w:hAnsi="Arial"/>
                <w:b/>
                <w:bCs/>
                <w:sz w:val="20"/>
                <w:szCs w:val="20"/>
              </w:rPr>
              <w:t>MP</w:t>
            </w:r>
            <w:r>
              <w:rPr>
                <w:rFonts w:eastAsia="Arial" w:cs="Arial" w:ascii="Arial" w:hAnsi="Arial"/>
                <w:b/>
                <w:bCs/>
                <w:sz w:val="20"/>
                <w:szCs w:val="20"/>
                <w:vertAlign w:val="subscript"/>
              </w:rPr>
              <w:t>10</w:t>
            </w:r>
            <w:r>
              <w:rPr>
                <w:rFonts w:eastAsia="Arial" w:cs="Arial" w:ascii="Arial" w:hAnsi="Arial"/>
                <w:b/>
                <w:bCs/>
                <w:sz w:val="20"/>
                <w:szCs w:val="20"/>
              </w:rPr>
              <w:t xml:space="preserve"> (𝜇g/m</w:t>
            </w:r>
            <w:r>
              <w:rPr>
                <w:rFonts w:eastAsia="Arial" w:cs="Arial" w:ascii="Arial" w:hAnsi="Arial"/>
                <w:b/>
                <w:bCs/>
                <w:sz w:val="20"/>
                <w:szCs w:val="20"/>
                <w:vertAlign w:val="superscript"/>
              </w:rPr>
              <w:t>3</w:t>
            </w:r>
            <w:r>
              <w:rPr>
                <w:rFonts w:eastAsia="Arial" w:cs="Arial" w:ascii="Arial" w:hAnsi="Arial"/>
                <w:b/>
                <w:bCs/>
                <w:sz w:val="20"/>
                <w:szCs w:val="20"/>
              </w:rPr>
              <w:t>)</w:t>
            </w:r>
          </w:p>
        </w:tc>
        <w:tc>
          <w:tcPr>
            <w:tcW w:w="1814" w:type="dxa"/>
            <w:tcBorders>
              <w:top w:val="single" w:sz="2" w:space="0" w:color="000001"/>
              <w:bottom w:val="single" w:sz="2" w:space="0" w:color="000001"/>
              <w:insideH w:val="single" w:sz="2" w:space="0" w:color="000001"/>
            </w:tcBorders>
            <w:shd w:fill="auto" w:val="clear"/>
            <w:vAlign w:val="center"/>
          </w:tcPr>
          <w:p>
            <w:pPr>
              <w:pStyle w:val="Normal"/>
              <w:widowControl w:val="false"/>
              <w:bidi w:val="0"/>
              <w:spacing w:lineRule="auto" w:line="240" w:before="0" w:after="0"/>
              <w:jc w:val="center"/>
              <w:rPr>
                <w:rFonts w:ascii="Arial" w:hAnsi="Arial"/>
                <w:sz w:val="20"/>
                <w:szCs w:val="20"/>
              </w:rPr>
            </w:pPr>
            <w:r>
              <w:rPr>
                <w:rFonts w:eastAsia="Arial" w:cs="Arial" w:ascii="Arial" w:hAnsi="Arial"/>
                <w:sz w:val="20"/>
                <w:szCs w:val="20"/>
              </w:rPr>
              <w:t>28,55 ± 0,68</w:t>
            </w:r>
          </w:p>
        </w:tc>
        <w:tc>
          <w:tcPr>
            <w:tcW w:w="1814" w:type="dxa"/>
            <w:tcBorders>
              <w:top w:val="single" w:sz="2" w:space="0" w:color="000001"/>
              <w:bottom w:val="single" w:sz="2" w:space="0" w:color="000001"/>
              <w:insideH w:val="single" w:sz="2" w:space="0" w:color="000001"/>
            </w:tcBorders>
            <w:shd w:fill="auto" w:val="clear"/>
            <w:vAlign w:val="center"/>
          </w:tcPr>
          <w:p>
            <w:pPr>
              <w:pStyle w:val="Normal"/>
              <w:widowControl w:val="false"/>
              <w:bidi w:val="0"/>
              <w:spacing w:lineRule="auto" w:line="240" w:before="0" w:after="0"/>
              <w:jc w:val="center"/>
              <w:rPr>
                <w:rFonts w:ascii="Arial" w:hAnsi="Arial"/>
                <w:sz w:val="20"/>
                <w:szCs w:val="20"/>
              </w:rPr>
            </w:pPr>
            <w:r>
              <w:rPr>
                <w:rFonts w:eastAsia="Arial" w:cs="Arial" w:ascii="Arial" w:hAnsi="Arial"/>
                <w:sz w:val="20"/>
                <w:szCs w:val="20"/>
              </w:rPr>
              <w:t>28,95 ± 0,07</w:t>
            </w:r>
          </w:p>
        </w:tc>
        <w:tc>
          <w:tcPr>
            <w:tcW w:w="1814" w:type="dxa"/>
            <w:tcBorders>
              <w:top w:val="single" w:sz="2" w:space="0" w:color="000001"/>
              <w:bottom w:val="single" w:sz="2" w:space="0" w:color="000001"/>
              <w:insideH w:val="single" w:sz="2" w:space="0" w:color="000001"/>
            </w:tcBorders>
            <w:shd w:fill="auto" w:val="clear"/>
            <w:vAlign w:val="center"/>
          </w:tcPr>
          <w:p>
            <w:pPr>
              <w:pStyle w:val="Normal"/>
              <w:widowControl w:val="false"/>
              <w:bidi w:val="0"/>
              <w:spacing w:lineRule="auto" w:line="240" w:before="0" w:after="0"/>
              <w:jc w:val="center"/>
              <w:rPr>
                <w:rFonts w:ascii="Arial" w:hAnsi="Arial"/>
                <w:sz w:val="20"/>
                <w:szCs w:val="20"/>
              </w:rPr>
            </w:pPr>
            <w:r>
              <w:rPr>
                <w:rFonts w:eastAsia="Arial" w:cs="Arial" w:ascii="Arial" w:hAnsi="Arial"/>
                <w:sz w:val="20"/>
                <w:szCs w:val="20"/>
              </w:rPr>
              <w:t>28,79 ± 0,32</w:t>
            </w:r>
          </w:p>
        </w:tc>
        <w:tc>
          <w:tcPr>
            <w:tcW w:w="1815" w:type="dxa"/>
            <w:tcBorders>
              <w:top w:val="single" w:sz="2" w:space="0" w:color="000001"/>
              <w:bottom w:val="single" w:sz="2" w:space="0" w:color="000001"/>
              <w:insideH w:val="single" w:sz="2" w:space="0" w:color="000001"/>
            </w:tcBorders>
            <w:shd w:fill="auto" w:val="clear"/>
            <w:vAlign w:val="center"/>
          </w:tcPr>
          <w:p>
            <w:pPr>
              <w:pStyle w:val="Normal"/>
              <w:widowControl w:val="false"/>
              <w:bidi w:val="0"/>
              <w:spacing w:lineRule="auto" w:line="240" w:before="0" w:after="0"/>
              <w:jc w:val="center"/>
              <w:rPr>
                <w:rFonts w:ascii="Arial" w:hAnsi="Arial"/>
                <w:sz w:val="20"/>
                <w:szCs w:val="20"/>
              </w:rPr>
            </w:pPr>
            <w:r>
              <w:rPr>
                <w:rFonts w:eastAsia="Arial" w:cs="Arial" w:ascii="Arial" w:hAnsi="Arial"/>
                <w:sz w:val="20"/>
                <w:szCs w:val="20"/>
              </w:rPr>
              <w:t>28,34 ± 0,43</w:t>
            </w:r>
          </w:p>
        </w:tc>
      </w:tr>
      <w:tr>
        <w:trPr/>
        <w:tc>
          <w:tcPr>
            <w:tcW w:w="1814" w:type="dxa"/>
            <w:tcBorders>
              <w:top w:val="single" w:sz="2" w:space="0" w:color="000001"/>
              <w:bottom w:val="single" w:sz="2" w:space="0" w:color="000001"/>
              <w:insideH w:val="single" w:sz="2" w:space="0" w:color="000001"/>
            </w:tcBorders>
            <w:shd w:fill="auto" w:val="clear"/>
            <w:vAlign w:val="center"/>
          </w:tcPr>
          <w:p>
            <w:pPr>
              <w:pStyle w:val="Contedodatabela"/>
              <w:spacing w:before="0" w:after="200"/>
              <w:jc w:val="left"/>
              <w:rPr>
                <w:rFonts w:ascii="Arial" w:hAnsi="Arial"/>
                <w:b/>
                <w:b/>
                <w:bCs/>
                <w:sz w:val="20"/>
                <w:szCs w:val="20"/>
              </w:rPr>
            </w:pPr>
            <w:r>
              <w:rPr>
                <w:rFonts w:ascii="Arial" w:hAnsi="Arial"/>
                <w:b/>
                <w:bCs/>
                <w:sz w:val="20"/>
                <w:szCs w:val="20"/>
              </w:rPr>
              <w:t>pH</w:t>
            </w:r>
          </w:p>
        </w:tc>
        <w:tc>
          <w:tcPr>
            <w:tcW w:w="1814" w:type="dxa"/>
            <w:tcBorders>
              <w:top w:val="single" w:sz="2" w:space="0" w:color="000001"/>
              <w:bottom w:val="single" w:sz="2" w:space="0" w:color="000001"/>
              <w:insideH w:val="single" w:sz="2" w:space="0" w:color="000001"/>
            </w:tcBorders>
            <w:shd w:fill="auto" w:val="clear"/>
            <w:vAlign w:val="center"/>
          </w:tcPr>
          <w:p>
            <w:pPr>
              <w:pStyle w:val="Normal"/>
              <w:widowControl w:val="false"/>
              <w:bidi w:val="0"/>
              <w:spacing w:lineRule="auto" w:line="240" w:before="0" w:after="0"/>
              <w:jc w:val="center"/>
              <w:rPr>
                <w:rFonts w:ascii="Arial" w:hAnsi="Arial"/>
                <w:sz w:val="20"/>
                <w:szCs w:val="20"/>
              </w:rPr>
            </w:pPr>
            <w:r>
              <w:rPr>
                <w:rFonts w:eastAsia="Arial" w:cs="Arial" w:ascii="Arial" w:hAnsi="Arial"/>
                <w:sz w:val="20"/>
                <w:szCs w:val="20"/>
              </w:rPr>
              <w:t>6,40 ± 0,27</w:t>
            </w:r>
          </w:p>
        </w:tc>
        <w:tc>
          <w:tcPr>
            <w:tcW w:w="1814" w:type="dxa"/>
            <w:tcBorders>
              <w:top w:val="single" w:sz="2" w:space="0" w:color="000001"/>
              <w:bottom w:val="single" w:sz="2" w:space="0" w:color="000001"/>
              <w:insideH w:val="single" w:sz="2" w:space="0" w:color="000001"/>
            </w:tcBorders>
            <w:shd w:fill="auto" w:val="clear"/>
            <w:vAlign w:val="center"/>
          </w:tcPr>
          <w:p>
            <w:pPr>
              <w:pStyle w:val="Normal"/>
              <w:widowControl w:val="false"/>
              <w:bidi w:val="0"/>
              <w:spacing w:lineRule="auto" w:line="240" w:before="0" w:after="0"/>
              <w:jc w:val="center"/>
              <w:rPr>
                <w:rFonts w:ascii="Arial" w:hAnsi="Arial"/>
                <w:sz w:val="20"/>
                <w:szCs w:val="20"/>
              </w:rPr>
            </w:pPr>
            <w:r>
              <w:rPr>
                <w:rFonts w:eastAsia="Arial" w:cs="Arial" w:ascii="Arial" w:hAnsi="Arial"/>
                <w:sz w:val="20"/>
                <w:szCs w:val="20"/>
              </w:rPr>
              <w:t>5,75 ± 0,35</w:t>
            </w:r>
          </w:p>
        </w:tc>
        <w:tc>
          <w:tcPr>
            <w:tcW w:w="1814" w:type="dxa"/>
            <w:tcBorders>
              <w:top w:val="single" w:sz="2" w:space="0" w:color="000001"/>
              <w:bottom w:val="single" w:sz="2" w:space="0" w:color="000001"/>
              <w:insideH w:val="single" w:sz="2" w:space="0" w:color="000001"/>
            </w:tcBorders>
            <w:shd w:fill="auto" w:val="clear"/>
            <w:vAlign w:val="center"/>
          </w:tcPr>
          <w:p>
            <w:pPr>
              <w:pStyle w:val="Normal"/>
              <w:widowControl w:val="false"/>
              <w:bidi w:val="0"/>
              <w:spacing w:lineRule="auto" w:line="240" w:before="0" w:after="0"/>
              <w:jc w:val="center"/>
              <w:rPr>
                <w:rFonts w:ascii="Arial" w:hAnsi="Arial"/>
                <w:sz w:val="20"/>
                <w:szCs w:val="20"/>
              </w:rPr>
            </w:pPr>
            <w:r>
              <w:rPr>
                <w:rFonts w:eastAsia="Arial" w:cs="Arial" w:ascii="Arial" w:hAnsi="Arial"/>
                <w:sz w:val="20"/>
                <w:szCs w:val="20"/>
              </w:rPr>
              <w:t>5,70 ± 0,59</w:t>
            </w:r>
          </w:p>
        </w:tc>
        <w:tc>
          <w:tcPr>
            <w:tcW w:w="1815" w:type="dxa"/>
            <w:tcBorders>
              <w:top w:val="single" w:sz="2" w:space="0" w:color="000001"/>
              <w:bottom w:val="single" w:sz="2" w:space="0" w:color="000001"/>
              <w:insideH w:val="single" w:sz="2" w:space="0" w:color="000001"/>
            </w:tcBorders>
            <w:shd w:fill="auto" w:val="clear"/>
            <w:vAlign w:val="center"/>
          </w:tcPr>
          <w:p>
            <w:pPr>
              <w:pStyle w:val="Normal"/>
              <w:widowControl w:val="false"/>
              <w:bidi w:val="0"/>
              <w:spacing w:lineRule="auto" w:line="240" w:before="0" w:after="0"/>
              <w:jc w:val="center"/>
              <w:rPr>
                <w:rFonts w:ascii="Arial" w:hAnsi="Arial"/>
                <w:sz w:val="20"/>
                <w:szCs w:val="20"/>
              </w:rPr>
            </w:pPr>
            <w:r>
              <w:rPr>
                <w:rFonts w:eastAsia="Arial" w:cs="Arial" w:ascii="Arial" w:hAnsi="Arial"/>
                <w:sz w:val="20"/>
                <w:szCs w:val="20"/>
              </w:rPr>
              <w:t>5,90 ± 0,28</w:t>
            </w:r>
          </w:p>
        </w:tc>
      </w:tr>
      <w:tr>
        <w:trPr/>
        <w:tc>
          <w:tcPr>
            <w:tcW w:w="1814" w:type="dxa"/>
            <w:tcBorders>
              <w:top w:val="single" w:sz="2" w:space="0" w:color="000001"/>
              <w:bottom w:val="single" w:sz="2" w:space="0" w:color="000001"/>
              <w:insideH w:val="single" w:sz="2" w:space="0" w:color="000001"/>
            </w:tcBorders>
            <w:shd w:fill="auto" w:val="clear"/>
            <w:vAlign w:val="center"/>
          </w:tcPr>
          <w:p>
            <w:pPr>
              <w:pStyle w:val="Normal"/>
              <w:widowControl w:val="false"/>
              <w:bidi w:val="0"/>
              <w:spacing w:lineRule="auto" w:line="240" w:before="0" w:after="0"/>
              <w:jc w:val="left"/>
              <w:rPr>
                <w:rFonts w:ascii="Arial" w:hAnsi="Arial"/>
                <w:b/>
                <w:b/>
                <w:bCs/>
                <w:sz w:val="20"/>
                <w:szCs w:val="20"/>
              </w:rPr>
            </w:pPr>
            <w:r>
              <w:rPr>
                <w:rFonts w:eastAsia="Arial" w:cs="Arial" w:ascii="Arial" w:hAnsi="Arial"/>
                <w:b/>
                <w:bCs/>
                <w:sz w:val="20"/>
                <w:szCs w:val="20"/>
              </w:rPr>
              <w:t>CE (𝜇S/cm)</w:t>
            </w:r>
          </w:p>
        </w:tc>
        <w:tc>
          <w:tcPr>
            <w:tcW w:w="1814" w:type="dxa"/>
            <w:tcBorders>
              <w:top w:val="single" w:sz="2" w:space="0" w:color="000001"/>
              <w:bottom w:val="single" w:sz="2" w:space="0" w:color="000001"/>
              <w:insideH w:val="single" w:sz="2" w:space="0" w:color="000001"/>
            </w:tcBorders>
            <w:shd w:fill="auto" w:val="clear"/>
            <w:vAlign w:val="center"/>
          </w:tcPr>
          <w:p>
            <w:pPr>
              <w:pStyle w:val="Normal"/>
              <w:widowControl w:val="false"/>
              <w:bidi w:val="0"/>
              <w:spacing w:lineRule="auto" w:line="240" w:before="0" w:after="0"/>
              <w:jc w:val="center"/>
              <w:rPr>
                <w:rFonts w:ascii="Arial" w:hAnsi="Arial"/>
                <w:sz w:val="20"/>
                <w:szCs w:val="20"/>
              </w:rPr>
            </w:pPr>
            <w:r>
              <w:rPr>
                <w:rFonts w:eastAsia="Arial" w:cs="Arial" w:ascii="Arial" w:hAnsi="Arial"/>
                <w:sz w:val="20"/>
                <w:szCs w:val="20"/>
              </w:rPr>
              <w:t>1,20 ± 0,12</w:t>
            </w:r>
          </w:p>
        </w:tc>
        <w:tc>
          <w:tcPr>
            <w:tcW w:w="1814" w:type="dxa"/>
            <w:tcBorders>
              <w:top w:val="single" w:sz="2" w:space="0" w:color="000001"/>
              <w:bottom w:val="single" w:sz="2" w:space="0" w:color="000001"/>
              <w:insideH w:val="single" w:sz="2" w:space="0" w:color="000001"/>
            </w:tcBorders>
            <w:shd w:fill="auto" w:val="clear"/>
            <w:vAlign w:val="center"/>
          </w:tcPr>
          <w:p>
            <w:pPr>
              <w:pStyle w:val="Normal"/>
              <w:widowControl w:val="false"/>
              <w:bidi w:val="0"/>
              <w:spacing w:lineRule="auto" w:line="240" w:before="0" w:after="0"/>
              <w:jc w:val="center"/>
              <w:rPr>
                <w:rFonts w:ascii="Arial" w:hAnsi="Arial"/>
                <w:sz w:val="20"/>
                <w:szCs w:val="20"/>
              </w:rPr>
            </w:pPr>
            <w:r>
              <w:rPr>
                <w:rFonts w:eastAsia="Arial" w:cs="Arial" w:ascii="Arial" w:hAnsi="Arial"/>
                <w:sz w:val="20"/>
                <w:szCs w:val="20"/>
              </w:rPr>
              <w:t>1,62 ± 0,18</w:t>
            </w:r>
          </w:p>
        </w:tc>
        <w:tc>
          <w:tcPr>
            <w:tcW w:w="1814" w:type="dxa"/>
            <w:tcBorders>
              <w:top w:val="single" w:sz="2" w:space="0" w:color="000001"/>
              <w:bottom w:val="single" w:sz="2" w:space="0" w:color="000001"/>
              <w:insideH w:val="single" w:sz="2" w:space="0" w:color="000001"/>
            </w:tcBorders>
            <w:shd w:fill="auto" w:val="clear"/>
            <w:vAlign w:val="center"/>
          </w:tcPr>
          <w:p>
            <w:pPr>
              <w:pStyle w:val="Normal"/>
              <w:widowControl w:val="false"/>
              <w:bidi w:val="0"/>
              <w:spacing w:lineRule="auto" w:line="240" w:before="0" w:after="0"/>
              <w:jc w:val="center"/>
              <w:rPr>
                <w:rFonts w:ascii="Arial" w:hAnsi="Arial"/>
                <w:sz w:val="20"/>
                <w:szCs w:val="20"/>
              </w:rPr>
            </w:pPr>
            <w:r>
              <w:rPr>
                <w:rFonts w:eastAsia="Arial" w:cs="Arial" w:ascii="Arial" w:hAnsi="Arial"/>
                <w:sz w:val="20"/>
                <w:szCs w:val="20"/>
              </w:rPr>
              <w:t>1,27 ± 0,17</w:t>
            </w:r>
          </w:p>
        </w:tc>
        <w:tc>
          <w:tcPr>
            <w:tcW w:w="1815" w:type="dxa"/>
            <w:tcBorders>
              <w:top w:val="single" w:sz="2" w:space="0" w:color="000001"/>
              <w:bottom w:val="single" w:sz="2" w:space="0" w:color="000001"/>
              <w:insideH w:val="single" w:sz="2" w:space="0" w:color="000001"/>
            </w:tcBorders>
            <w:shd w:fill="auto" w:val="clear"/>
            <w:vAlign w:val="center"/>
          </w:tcPr>
          <w:p>
            <w:pPr>
              <w:pStyle w:val="Normal"/>
              <w:widowControl w:val="false"/>
              <w:bidi w:val="0"/>
              <w:spacing w:lineRule="auto" w:line="240" w:before="0" w:after="0"/>
              <w:jc w:val="center"/>
              <w:rPr>
                <w:rFonts w:ascii="Arial" w:hAnsi="Arial"/>
                <w:sz w:val="20"/>
                <w:szCs w:val="20"/>
              </w:rPr>
            </w:pPr>
            <w:r>
              <w:rPr>
                <w:rFonts w:eastAsia="Arial" w:cs="Arial" w:ascii="Arial" w:hAnsi="Arial"/>
                <w:sz w:val="20"/>
                <w:szCs w:val="20"/>
              </w:rPr>
              <w:t>1,31* ± 0,00</w:t>
            </w:r>
          </w:p>
        </w:tc>
      </w:tr>
    </w:tbl>
    <w:p>
      <w:pPr>
        <w:pStyle w:val="Normal"/>
        <w:bidi w:val="0"/>
        <w:spacing w:lineRule="auto" w:line="360" w:before="0" w:after="0"/>
        <w:jc w:val="both"/>
        <w:rPr>
          <w:rFonts w:ascii="Arial" w:hAnsi="Arial" w:eastAsia="Arial" w:cs="Arial"/>
          <w:sz w:val="16"/>
          <w:szCs w:val="16"/>
        </w:rPr>
      </w:pPr>
      <w:r>
        <w:rPr>
          <w:rFonts w:eastAsia="Arial" w:cs="Arial" w:ascii="Arial" w:hAnsi="Arial"/>
          <w:sz w:val="20"/>
          <w:szCs w:val="20"/>
        </w:rPr>
        <w:t xml:space="preserve"> </w:t>
      </w:r>
      <w:r>
        <w:rPr>
          <w:rFonts w:eastAsia="Arial" w:cs="Arial" w:ascii="Arial" w:hAnsi="Arial"/>
          <w:b/>
          <w:sz w:val="16"/>
          <w:szCs w:val="16"/>
        </w:rPr>
        <w:t>*</w:t>
      </w:r>
      <w:r>
        <w:rPr>
          <w:rFonts w:eastAsia="Arial" w:cs="Arial" w:ascii="Arial" w:hAnsi="Arial"/>
          <w:sz w:val="16"/>
          <w:szCs w:val="16"/>
        </w:rPr>
        <w:t>apenas uma análise da amostra.</w:t>
      </w:r>
    </w:p>
    <w:p>
      <w:pPr>
        <w:pStyle w:val="Normal"/>
        <w:bidi w:val="0"/>
        <w:spacing w:lineRule="auto" w:line="240" w:before="0" w:after="0"/>
        <w:jc w:val="center"/>
        <w:rPr>
          <w:rFonts w:ascii="Arial" w:hAnsi="Arial" w:eastAsia="Arial" w:cs="Arial"/>
          <w:sz w:val="16"/>
          <w:szCs w:val="16"/>
        </w:rPr>
      </w:pPr>
      <w:r>
        <w:rPr>
          <w:rFonts w:eastAsia="Arial" w:cs="Arial" w:ascii="Arial" w:hAnsi="Arial"/>
          <w:sz w:val="16"/>
          <w:szCs w:val="16"/>
        </w:rPr>
        <w:t>Fonte: autoria própria</w:t>
      </w:r>
    </w:p>
    <w:p>
      <w:pPr>
        <w:pStyle w:val="Normal"/>
        <w:bidi w:val="0"/>
        <w:spacing w:lineRule="auto" w:line="360" w:before="0" w:after="0"/>
        <w:ind w:firstLine="1134"/>
        <w:jc w:val="center"/>
        <w:rPr>
          <w:rFonts w:ascii="Arial" w:hAnsi="Arial" w:eastAsia="Arial" w:cs="Arial"/>
          <w:sz w:val="16"/>
          <w:szCs w:val="16"/>
        </w:rPr>
      </w:pPr>
      <w:r>
        <w:rPr>
          <w:rFonts w:eastAsia="Arial" w:cs="Arial" w:ascii="Arial" w:hAnsi="Arial"/>
          <w:sz w:val="16"/>
          <w:szCs w:val="16"/>
        </w:rPr>
      </w:r>
    </w:p>
    <w:p>
      <w:pPr>
        <w:pStyle w:val="Normal"/>
        <w:bidi w:val="0"/>
        <w:spacing w:lineRule="auto" w:line="360" w:before="0" w:after="0"/>
        <w:ind w:firstLine="1133"/>
        <w:jc w:val="both"/>
        <w:rPr>
          <w:rFonts w:ascii="Arial" w:hAnsi="Arial" w:eastAsia="Arial" w:cs="Arial"/>
          <w:sz w:val="24"/>
          <w:szCs w:val="24"/>
        </w:rPr>
      </w:pPr>
      <w:r>
        <w:rPr>
          <w:rFonts w:eastAsia="Arial" w:cs="Arial" w:ascii="Arial" w:hAnsi="Arial"/>
          <w:sz w:val="24"/>
          <w:szCs w:val="24"/>
        </w:rPr>
        <w:t>Os valores encontrados nas análises de pH indicam que apenas no mês de março o valor encontrado pode ser considerado normal. De acordo com a Portaria de Consolidação n</w:t>
      </w:r>
      <w:r>
        <w:rPr>
          <w:rFonts w:eastAsia="Arial" w:cs="Arial" w:ascii="Arial" w:hAnsi="Arial"/>
          <w:sz w:val="24"/>
          <w:szCs w:val="24"/>
          <w:vertAlign w:val="superscript"/>
        </w:rPr>
        <w:t xml:space="preserve">o </w:t>
      </w:r>
      <w:r>
        <w:rPr>
          <w:rFonts w:eastAsia="Arial" w:cs="Arial" w:ascii="Arial" w:hAnsi="Arial"/>
          <w:sz w:val="24"/>
          <w:szCs w:val="24"/>
        </w:rPr>
        <w:t>05/2017 (BRASIL, 2017), o pH para águas de abastecimento deve estar entre 6,0 e 9,0. Já para os meses de abril, maio e junho a média encontrada não atenderia a legislação em relação a água para consumo.</w:t>
      </w:r>
    </w:p>
    <w:p>
      <w:pPr>
        <w:pStyle w:val="Normal"/>
        <w:bidi w:val="0"/>
        <w:spacing w:lineRule="auto" w:line="360" w:before="0" w:after="0"/>
        <w:ind w:firstLine="1133"/>
        <w:jc w:val="both"/>
        <w:rPr>
          <w:rFonts w:ascii="Arial" w:hAnsi="Arial" w:eastAsia="Arial" w:cs="Arial"/>
          <w:sz w:val="24"/>
          <w:szCs w:val="24"/>
        </w:rPr>
      </w:pPr>
      <w:r>
        <w:rPr>
          <w:rFonts w:eastAsia="Arial" w:cs="Arial" w:ascii="Arial" w:hAnsi="Arial"/>
          <w:sz w:val="24"/>
          <w:szCs w:val="24"/>
        </w:rPr>
        <w:t>Em relação aos valores de CE encontrados pode-se dizer que os valores são considerados normais já que as águas naturais apresentam teores de condutividade na faixa de 10 a 100 μS/cm (BRASIL, 2014).</w:t>
      </w:r>
    </w:p>
    <w:p>
      <w:pPr>
        <w:pStyle w:val="Normal"/>
        <w:bidi w:val="0"/>
        <w:spacing w:lineRule="auto" w:line="240" w:before="0" w:after="0"/>
        <w:ind w:firstLine="1133"/>
        <w:jc w:val="both"/>
        <w:rPr>
          <w:rFonts w:ascii="Arial" w:hAnsi="Arial" w:eastAsia="Arial" w:cs="Arial"/>
          <w:sz w:val="24"/>
          <w:szCs w:val="24"/>
        </w:rPr>
      </w:pPr>
      <w:r>
        <w:rPr>
          <w:rFonts w:eastAsia="Arial" w:cs="Arial" w:ascii="Arial" w:hAnsi="Arial"/>
          <w:sz w:val="24"/>
          <w:szCs w:val="24"/>
        </w:rPr>
      </w:r>
    </w:p>
    <w:p>
      <w:pPr>
        <w:pStyle w:val="Normal"/>
        <w:bidi w:val="0"/>
        <w:spacing w:lineRule="auto" w:line="240" w:before="0" w:after="0"/>
        <w:ind w:firstLine="1133"/>
        <w:jc w:val="both"/>
        <w:rPr>
          <w:rFonts w:ascii="Arial" w:hAnsi="Arial" w:eastAsia="Arial" w:cs="Arial"/>
          <w:sz w:val="24"/>
          <w:szCs w:val="24"/>
        </w:rPr>
      </w:pPr>
      <w:r>
        <w:rPr>
          <w:rFonts w:eastAsia="Arial" w:cs="Arial" w:ascii="Arial" w:hAnsi="Arial"/>
          <w:sz w:val="24"/>
          <w:szCs w:val="24"/>
        </w:rPr>
      </w:r>
    </w:p>
    <w:p>
      <w:pPr>
        <w:pStyle w:val="Normal"/>
        <w:bidi w:val="0"/>
        <w:spacing w:lineRule="auto" w:line="240" w:before="0" w:after="0"/>
        <w:jc w:val="center"/>
        <w:rPr>
          <w:rFonts w:ascii="Arial" w:hAnsi="Arial" w:eastAsia="Arial" w:cs="Arial"/>
          <w:b/>
          <w:b/>
          <w:sz w:val="24"/>
          <w:szCs w:val="24"/>
        </w:rPr>
      </w:pPr>
      <w:r>
        <w:rPr>
          <w:rFonts w:eastAsia="Arial" w:cs="Arial" w:ascii="Arial" w:hAnsi="Arial"/>
          <w:b/>
          <w:sz w:val="24"/>
          <w:szCs w:val="24"/>
        </w:rPr>
        <w:t>CONSIDERAÇÕES FINAIS</w:t>
      </w:r>
    </w:p>
    <w:p>
      <w:pPr>
        <w:pStyle w:val="Normal"/>
        <w:bidi w:val="0"/>
        <w:spacing w:lineRule="auto" w:line="240" w:before="0" w:after="0"/>
        <w:ind w:firstLine="72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0" w:after="0"/>
        <w:ind w:firstLine="1133"/>
        <w:jc w:val="both"/>
        <w:rPr>
          <w:rFonts w:ascii="Arial" w:hAnsi="Arial" w:eastAsia="Arial" w:cs="Arial"/>
          <w:sz w:val="24"/>
          <w:szCs w:val="24"/>
        </w:rPr>
      </w:pPr>
      <w:r>
        <w:rPr>
          <w:rFonts w:eastAsia="Arial" w:cs="Arial" w:ascii="Arial" w:hAnsi="Arial"/>
          <w:sz w:val="24"/>
          <w:szCs w:val="24"/>
        </w:rPr>
        <w:t>Através da comparação dos resultados observados com os limites diários estabelecidos pela OMS, pode-se concluir que o ar na região encontra-se em uma boa qualidade. Entretanto, existe uma prévia de média anual ultrapassando os limites estabelecidos pelo mesmo órgão.</w:t>
      </w:r>
    </w:p>
    <w:p>
      <w:pPr>
        <w:pStyle w:val="Normal"/>
        <w:bidi w:val="0"/>
        <w:spacing w:lineRule="auto" w:line="360" w:before="0" w:after="0"/>
        <w:ind w:firstLine="1133"/>
        <w:jc w:val="both"/>
        <w:rPr>
          <w:rFonts w:ascii="Arial" w:hAnsi="Arial" w:eastAsia="Arial" w:cs="Arial"/>
          <w:sz w:val="24"/>
          <w:szCs w:val="24"/>
        </w:rPr>
      </w:pPr>
      <w:r>
        <w:rPr>
          <w:rFonts w:eastAsia="Arial" w:cs="Arial" w:ascii="Arial" w:hAnsi="Arial"/>
          <w:sz w:val="24"/>
          <w:szCs w:val="24"/>
        </w:rPr>
        <w:t>Em relação aos dados qualitativos das águas pluviais, nota-se um possível problema em relação à acidez, que será melhor examinado pelos testes fitotoxicológicos na continuidade deste trabalho.</w:t>
      </w:r>
    </w:p>
    <w:p>
      <w:pPr>
        <w:pStyle w:val="Normal"/>
        <w:bidi w:val="0"/>
        <w:spacing w:lineRule="auto" w:line="360" w:before="0" w:after="0"/>
        <w:ind w:firstLine="1133"/>
        <w:jc w:val="both"/>
        <w:rPr/>
      </w:pPr>
      <w:r>
        <w:rPr>
          <w:rFonts w:eastAsia="Arial" w:cs="Arial" w:ascii="Arial" w:hAnsi="Arial"/>
          <w:sz w:val="24"/>
          <w:szCs w:val="24"/>
        </w:rPr>
        <w:t>Assim, há uma previsão de que o monitoramento de MP</w:t>
      </w:r>
      <w:r>
        <w:rPr>
          <w:rFonts w:eastAsia="Arial" w:cs="Arial" w:ascii="Arial" w:hAnsi="Arial"/>
          <w:sz w:val="24"/>
          <w:szCs w:val="24"/>
          <w:vertAlign w:val="subscript"/>
        </w:rPr>
        <w:t>10</w:t>
      </w:r>
      <w:r>
        <w:rPr>
          <w:rFonts w:eastAsia="Arial" w:cs="Arial" w:ascii="Arial" w:hAnsi="Arial"/>
          <w:sz w:val="24"/>
          <w:szCs w:val="24"/>
        </w:rPr>
        <w:t xml:space="preserve">, pH, CE e testes com germinações de sementes continue ocorrendo nos próximos meses, e os resultados serão importantes para verificar possibilidades de reúso da água da chuva no IFC – </w:t>
      </w:r>
      <w:r>
        <w:rPr>
          <w:rFonts w:eastAsia="Arial" w:cs="Arial" w:ascii="Arial" w:hAnsi="Arial"/>
          <w:i/>
          <w:sz w:val="24"/>
          <w:szCs w:val="24"/>
        </w:rPr>
        <w:t xml:space="preserve">Campus </w:t>
      </w:r>
      <w:r>
        <w:rPr>
          <w:rFonts w:eastAsia="Arial" w:cs="Arial" w:ascii="Arial" w:hAnsi="Arial"/>
          <w:sz w:val="24"/>
          <w:szCs w:val="24"/>
        </w:rPr>
        <w:t xml:space="preserve">Camboriú, bem como na conscientização da população em relação aos problemas causados pela poluição do ar. </w:t>
      </w:r>
    </w:p>
    <w:p>
      <w:pPr>
        <w:pStyle w:val="Normal"/>
        <w:bidi w:val="0"/>
        <w:spacing w:lineRule="auto" w:line="360" w:before="0" w:after="0"/>
        <w:ind w:firstLine="1133"/>
        <w:jc w:val="both"/>
        <w:rPr>
          <w:rFonts w:ascii="Arial" w:hAnsi="Arial" w:eastAsia="Arial" w:cs="Arial"/>
          <w:b/>
          <w:b/>
          <w:sz w:val="24"/>
          <w:szCs w:val="24"/>
        </w:rPr>
      </w:pPr>
      <w:r>
        <w:rPr>
          <w:rFonts w:eastAsia="Arial" w:cs="Arial" w:ascii="Arial" w:hAnsi="Arial"/>
          <w:b/>
          <w:sz w:val="24"/>
          <w:szCs w:val="24"/>
        </w:rPr>
      </w:r>
    </w:p>
    <w:p>
      <w:pPr>
        <w:pStyle w:val="Normal"/>
        <w:keepNext/>
        <w:keepLines w:val="false"/>
        <w:widowControl/>
        <w:shd w:val="clear" w:fill="auto"/>
        <w:bidi w:val="0"/>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4"/>
          <w:szCs w:val="24"/>
          <w:highlight w:val="white"/>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REFERÊNCIAS</w:t>
      </w:r>
    </w:p>
    <w:p>
      <w:pPr>
        <w:pStyle w:val="Normal"/>
        <w:bidi w:val="0"/>
        <w:spacing w:lineRule="auto" w:line="240" w:before="0" w:after="0"/>
        <w:jc w:val="both"/>
        <w:rPr>
          <w:rFonts w:ascii="Arial" w:hAnsi="Arial" w:eastAsia="Arial" w:cs="Arial"/>
          <w:sz w:val="24"/>
          <w:szCs w:val="24"/>
        </w:rPr>
      </w:pPr>
      <w:r>
        <w:rPr>
          <w:rFonts w:eastAsia="Arial" w:cs="Arial" w:ascii="Arial" w:hAnsi="Arial"/>
          <w:sz w:val="24"/>
          <w:szCs w:val="24"/>
        </w:rPr>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t>BRAGA, A. L. F. et al. Associação entre poluição atmosférica e doenças</w:t>
      </w:r>
    </w:p>
    <w:p>
      <w:pPr>
        <w:pStyle w:val="Normal"/>
        <w:bidi w:val="0"/>
        <w:spacing w:lineRule="auto" w:line="240" w:before="0" w:after="0"/>
        <w:jc w:val="left"/>
        <w:rPr>
          <w:sz w:val="24"/>
          <w:szCs w:val="24"/>
        </w:rPr>
      </w:pPr>
      <w:r>
        <w:rPr>
          <w:rFonts w:eastAsia="Arial" w:cs="Arial" w:ascii="Arial" w:hAnsi="Arial"/>
          <w:sz w:val="24"/>
          <w:szCs w:val="24"/>
        </w:rPr>
        <w:t xml:space="preserve">respiratórias e cardiovasculares na cidade de Itabira, Minas Gerais, Brasil. </w:t>
      </w:r>
      <w:r>
        <w:rPr>
          <w:rFonts w:eastAsia="Arial" w:cs="Arial" w:ascii="Arial" w:hAnsi="Arial"/>
          <w:b/>
          <w:sz w:val="24"/>
          <w:szCs w:val="24"/>
        </w:rPr>
        <w:t>Cad. Saúde Pública</w:t>
      </w:r>
      <w:r>
        <w:rPr>
          <w:rFonts w:eastAsia="Arial" w:cs="Arial" w:ascii="Arial" w:hAnsi="Arial"/>
          <w:sz w:val="24"/>
          <w:szCs w:val="24"/>
        </w:rPr>
        <w:t xml:space="preserve">, v. 23, 570 p, Rio de Janeiro, 2007. </w:t>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t>BRASIL. Lei nº 9.433, de 8 de janeiro de 1997. Disponível em: &lt;www.planalto.gov.br/ccivil_03/leis/l9433.htm&gt;. Acesso em: 24 maio 2019.</w:t>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bidi w:val="0"/>
        <w:spacing w:lineRule="auto" w:line="240" w:before="0" w:after="0"/>
        <w:ind w:left="0" w:right="0" w:hanging="0"/>
        <w:jc w:val="left"/>
        <w:rPr>
          <w:rFonts w:ascii="Arial" w:hAnsi="Arial" w:cs="Arial"/>
          <w:b w:val="false"/>
          <w:b w:val="false"/>
          <w:i w:val="false"/>
          <w:i w:val="false"/>
          <w:caps w:val="false"/>
          <w:smallCaps w:val="false"/>
          <w:color w:val="00000A"/>
          <w:spacing w:val="0"/>
          <w:sz w:val="24"/>
          <w:szCs w:val="24"/>
          <w:highlight w:val="white"/>
          <w:lang w:val="pt-BR"/>
        </w:rPr>
      </w:pPr>
      <w:r>
        <w:rPr>
          <w:rFonts w:eastAsia="Arial" w:cs="Arial" w:ascii="Arial" w:hAnsi="Arial"/>
          <w:b w:val="false"/>
          <w:i w:val="false"/>
          <w:caps w:val="false"/>
          <w:smallCaps w:val="false"/>
          <w:color w:val="00000A"/>
          <w:spacing w:val="0"/>
          <w:sz w:val="24"/>
          <w:szCs w:val="24"/>
          <w:highlight w:val="white"/>
          <w:lang w:val="pt-BR"/>
        </w:rPr>
        <w:t xml:space="preserve">BRASIL. Ministério da Saúde. </w:t>
      </w:r>
      <w:r>
        <w:rPr>
          <w:rFonts w:eastAsia="Arial" w:cs="Arial" w:ascii="Arial" w:hAnsi="Arial"/>
          <w:b/>
          <w:bCs/>
          <w:i w:val="false"/>
          <w:caps w:val="false"/>
          <w:smallCaps w:val="false"/>
          <w:color w:val="00000A"/>
          <w:spacing w:val="0"/>
          <w:sz w:val="24"/>
          <w:szCs w:val="24"/>
          <w:highlight w:val="white"/>
          <w:lang w:val="pt-BR"/>
        </w:rPr>
        <w:t>Fundação Nacional de Saúde. Manual de controle da qualidade da água para técnicos que trabalham em ETAS</w:t>
      </w:r>
      <w:r>
        <w:rPr>
          <w:rFonts w:eastAsia="Arial" w:cs="Arial" w:ascii="Arial" w:hAnsi="Arial"/>
          <w:b w:val="false"/>
          <w:i w:val="false"/>
          <w:caps w:val="false"/>
          <w:smallCaps w:val="false"/>
          <w:color w:val="00000A"/>
          <w:spacing w:val="0"/>
          <w:sz w:val="24"/>
          <w:szCs w:val="24"/>
          <w:highlight w:val="white"/>
          <w:lang w:val="pt-BR"/>
        </w:rPr>
        <w:t>. Ministério da Saúde, Fundação Nacional de Saúde. – Brasília: Funasa, 2014.112 p.</w:t>
      </w:r>
    </w:p>
    <w:p>
      <w:pPr>
        <w:pStyle w:val="Normal"/>
        <w:bidi w:val="0"/>
        <w:spacing w:lineRule="auto" w:line="240" w:before="0" w:after="0"/>
        <w:jc w:val="left"/>
        <w:rPr>
          <w:rFonts w:ascii="Arial" w:hAnsi="Arial" w:eastAsia="Arial" w:cs="Arial"/>
        </w:rPr>
      </w:pPr>
      <w:r>
        <w:rPr>
          <w:rFonts w:eastAsia="Arial" w:cs="Arial" w:ascii="Arial" w:hAnsi="Arial"/>
        </w:rPr>
      </w:r>
    </w:p>
    <w:p>
      <w:pPr>
        <w:pStyle w:val="Normal"/>
        <w:bidi w:val="0"/>
        <w:spacing w:lineRule="auto" w:line="240" w:before="0" w:after="0"/>
        <w:jc w:val="left"/>
        <w:rPr>
          <w:rFonts w:ascii="Arial" w:hAnsi="Arial" w:eastAsia="Arial" w:cs="Arial"/>
          <w:b/>
          <w:b/>
          <w:sz w:val="24"/>
          <w:szCs w:val="24"/>
        </w:rPr>
      </w:pPr>
      <w:r>
        <w:rPr>
          <w:rFonts w:eastAsia="Arial" w:cs="Arial" w:ascii="Arial" w:hAnsi="Arial"/>
          <w:sz w:val="24"/>
          <w:szCs w:val="24"/>
        </w:rPr>
        <w:t>BRASIL. Ministério da Saúde.</w:t>
      </w:r>
      <w:r>
        <w:rPr>
          <w:rFonts w:eastAsia="Arial" w:cs="Arial" w:ascii="Arial" w:hAnsi="Arial"/>
          <w:b/>
          <w:sz w:val="24"/>
          <w:szCs w:val="24"/>
        </w:rPr>
        <w:t xml:space="preserve"> Portaria de Consolidação nº 05 de 28 de</w:t>
      </w:r>
    </w:p>
    <w:p>
      <w:pPr>
        <w:pStyle w:val="Normal"/>
        <w:bidi w:val="0"/>
        <w:spacing w:lineRule="auto" w:line="240" w:before="0" w:after="0"/>
        <w:jc w:val="left"/>
        <w:rPr>
          <w:rFonts w:ascii="Arial" w:hAnsi="Arial" w:eastAsia="Arial" w:cs="Arial"/>
          <w:sz w:val="24"/>
          <w:szCs w:val="24"/>
        </w:rPr>
      </w:pPr>
      <w:r>
        <w:rPr>
          <w:rFonts w:eastAsia="Arial" w:cs="Arial" w:ascii="Arial" w:hAnsi="Arial"/>
          <w:b/>
          <w:sz w:val="24"/>
          <w:szCs w:val="24"/>
        </w:rPr>
        <w:t>setembro de 2017</w:t>
      </w:r>
      <w:r>
        <w:rPr>
          <w:rFonts w:eastAsia="Arial" w:cs="Arial" w:ascii="Arial" w:hAnsi="Arial"/>
          <w:sz w:val="24"/>
          <w:szCs w:val="24"/>
        </w:rPr>
        <w:t>.Consolidação das normas sobre as ações e os serviços de</w:t>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t>saúde do Sistema Único de Saúde. Diário Oficial da República Federativa do</w:t>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t>Brasil, Poder executivo, DF, 03 outubro 2017.</w:t>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bidi w:val="0"/>
        <w:spacing w:lineRule="auto" w:line="240" w:before="0" w:after="0"/>
        <w:jc w:val="left"/>
        <w:rPr>
          <w:sz w:val="24"/>
          <w:szCs w:val="24"/>
        </w:rPr>
      </w:pPr>
      <w:r>
        <w:rPr>
          <w:rFonts w:eastAsia="Arial" w:cs="Arial" w:ascii="Arial" w:hAnsi="Arial"/>
          <w:sz w:val="24"/>
          <w:szCs w:val="24"/>
        </w:rPr>
        <w:t xml:space="preserve">BRENA, N. A. </w:t>
      </w:r>
      <w:r>
        <w:rPr>
          <w:rFonts w:eastAsia="Arial" w:cs="Arial" w:ascii="Arial" w:hAnsi="Arial"/>
          <w:b/>
          <w:sz w:val="24"/>
          <w:szCs w:val="24"/>
        </w:rPr>
        <w:t>A chuva ácida e seus efeitos sobre as florestas</w:t>
      </w:r>
      <w:r>
        <w:rPr>
          <w:rFonts w:eastAsia="Arial" w:cs="Arial" w:ascii="Arial" w:hAnsi="Arial"/>
          <w:sz w:val="24"/>
          <w:szCs w:val="24"/>
        </w:rPr>
        <w:t xml:space="preserve">. 2ed. São Paulo: Brena, 2009, p. 14. </w:t>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bidi w:val="0"/>
        <w:spacing w:lineRule="auto" w:line="240" w:before="0" w:after="0"/>
        <w:jc w:val="left"/>
        <w:rPr>
          <w:sz w:val="24"/>
          <w:szCs w:val="24"/>
        </w:rPr>
      </w:pPr>
      <w:r>
        <w:rPr>
          <w:rFonts w:eastAsia="Arial" w:cs="Arial" w:ascii="Arial" w:hAnsi="Arial"/>
          <w:sz w:val="24"/>
          <w:szCs w:val="24"/>
        </w:rPr>
        <w:t xml:space="preserve">BRITO-PELEGRINI, N. N. de et al. Ensaios biológicos com sementes para avaliar a redução da toxicidade do chorume tratado por processo fotoquímico. </w:t>
      </w:r>
      <w:r>
        <w:rPr>
          <w:rFonts w:eastAsia="Arial" w:cs="Arial" w:ascii="Arial" w:hAnsi="Arial"/>
          <w:b/>
          <w:sz w:val="24"/>
          <w:szCs w:val="24"/>
        </w:rPr>
        <w:t>Minerva</w:t>
      </w:r>
      <w:r>
        <w:rPr>
          <w:rFonts w:eastAsia="Arial" w:cs="Arial" w:ascii="Arial" w:hAnsi="Arial"/>
          <w:sz w:val="24"/>
          <w:szCs w:val="24"/>
        </w:rPr>
        <w:t xml:space="preserve">, p. 219-228, 2007. </w:t>
      </w:r>
    </w:p>
    <w:p>
      <w:pPr>
        <w:pStyle w:val="Normal"/>
        <w:bidi w:val="0"/>
        <w:spacing w:lineRule="auto" w:line="240" w:before="0" w:after="0"/>
        <w:jc w:val="left"/>
        <w:rPr>
          <w:rFonts w:ascii="Arial" w:hAnsi="Arial" w:eastAsia="Arial" w:cs="Arial"/>
        </w:rPr>
      </w:pPr>
      <w:r>
        <w:rPr>
          <w:rFonts w:eastAsia="Arial" w:cs="Arial" w:ascii="Arial" w:hAnsi="Arial"/>
        </w:rPr>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t xml:space="preserve">CAMPOS, M. L. A. M. et al. </w:t>
      </w:r>
      <w:r>
        <w:rPr>
          <w:rFonts w:eastAsia="Arial" w:cs="Arial" w:ascii="Arial" w:hAnsi="Arial"/>
          <w:b/>
          <w:sz w:val="24"/>
          <w:szCs w:val="24"/>
        </w:rPr>
        <w:t>Poluição atmosférica e chuva ácida</w:t>
      </w:r>
      <w:r>
        <w:rPr>
          <w:rFonts w:eastAsia="Arial" w:cs="Arial" w:ascii="Arial" w:hAnsi="Arial"/>
          <w:sz w:val="24"/>
          <w:szCs w:val="24"/>
        </w:rPr>
        <w:t>. 2006. Disponível em: &lt;www.usp.br/qambiental/chuva_acidafront.html&gt;. Acesso em: 14 jun. 2019.</w:t>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bidi w:val="0"/>
        <w:spacing w:lineRule="auto" w:line="240" w:before="0" w:after="0"/>
        <w:jc w:val="left"/>
        <w:rPr>
          <w:sz w:val="24"/>
          <w:szCs w:val="24"/>
        </w:rPr>
      </w:pPr>
      <w:r>
        <w:rPr>
          <w:rFonts w:cs="Arial" w:ascii="Arial" w:hAnsi="Arial"/>
          <w:sz w:val="24"/>
          <w:szCs w:val="24"/>
        </w:rPr>
        <w:t xml:space="preserve">CETESB- COMPANHIA DE TECNOLOGIA DE SANEAMENTO AMBIENTAL. </w:t>
      </w:r>
      <w:r>
        <w:rPr>
          <w:rFonts w:cs="Arial" w:ascii="Arial" w:hAnsi="Arial"/>
          <w:b/>
          <w:bCs/>
          <w:sz w:val="24"/>
          <w:szCs w:val="24"/>
        </w:rPr>
        <w:t>Relatório da qualidade do ar de São Paulo</w:t>
      </w:r>
      <w:r>
        <w:rPr>
          <w:rFonts w:cs="Arial" w:ascii="Arial" w:hAnsi="Arial"/>
          <w:sz w:val="24"/>
          <w:szCs w:val="24"/>
        </w:rPr>
        <w:t xml:space="preserve">. 2004, 142 p. </w:t>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t xml:space="preserve">CETESB - COMPANHIA DE TECNOLOGIA DE SANEAMENTO AMBIENTAL. São Paulo. Secretaria de Estado do Meio Ambiente. </w:t>
      </w:r>
      <w:r>
        <w:rPr>
          <w:rFonts w:eastAsia="Arial" w:cs="Arial" w:ascii="Arial" w:hAnsi="Arial"/>
          <w:b/>
          <w:bCs/>
          <w:sz w:val="24"/>
          <w:szCs w:val="24"/>
        </w:rPr>
        <w:t>Relatório material particulado inalável fino (MP 2,5) e grosso (MP2,5 – 10) na atmosfera da região metropolitana de São Paulo(2000 – 2006)</w:t>
      </w:r>
      <w:r>
        <w:rPr>
          <w:rFonts w:eastAsia="Arial" w:cs="Arial" w:ascii="Arial" w:hAnsi="Arial"/>
          <w:sz w:val="24"/>
          <w:szCs w:val="24"/>
        </w:rPr>
        <w:t xml:space="preserve">. 2008, 29p. </w:t>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bidi w:val="0"/>
        <w:spacing w:lineRule="auto" w:line="240" w:before="0" w:after="0"/>
        <w:jc w:val="left"/>
        <w:rPr>
          <w:sz w:val="24"/>
          <w:szCs w:val="24"/>
        </w:rPr>
      </w:pPr>
      <w:r>
        <w:rPr>
          <w:rFonts w:eastAsia="Arial" w:cs="Arial" w:ascii="Arial" w:hAnsi="Arial"/>
          <w:sz w:val="24"/>
          <w:szCs w:val="24"/>
        </w:rPr>
        <w:t xml:space="preserve">GALVÃO FILHO, J. B. </w:t>
      </w:r>
      <w:r>
        <w:rPr>
          <w:rFonts w:eastAsia="Arial" w:cs="Arial" w:ascii="Arial" w:hAnsi="Arial"/>
          <w:b/>
          <w:sz w:val="24"/>
          <w:szCs w:val="24"/>
        </w:rPr>
        <w:t>Poluição do ar: Aspectos técnicos e econômicos do meio ambiente</w:t>
      </w:r>
      <w:r>
        <w:rPr>
          <w:rFonts w:eastAsia="Arial" w:cs="Arial" w:ascii="Arial" w:hAnsi="Arial"/>
          <w:sz w:val="24"/>
          <w:szCs w:val="24"/>
        </w:rPr>
        <w:t>. 1989. Disponível em: &lt;www.luzimarteixeira.com.br/wp-content/uploads/2011/03/poluicao-do-ar-aspectos-tec-e-meio-ambiente.pdf&gt;. Acesso em: 24 abr. 2019.</w:t>
      </w:r>
    </w:p>
    <w:p>
      <w:pPr>
        <w:pStyle w:val="Normal"/>
        <w:bidi w:val="0"/>
        <w:spacing w:lineRule="auto" w:line="240" w:before="0" w:after="0"/>
        <w:jc w:val="left"/>
        <w:rPr>
          <w:rFonts w:ascii="Arial" w:hAnsi="Arial" w:eastAsia="Arial" w:cs="Arial"/>
        </w:rPr>
      </w:pPr>
      <w:r>
        <w:rPr>
          <w:rFonts w:eastAsia="Arial" w:cs="Arial" w:ascii="Arial" w:hAnsi="Arial"/>
        </w:rPr>
      </w:r>
    </w:p>
    <w:p>
      <w:pPr>
        <w:pStyle w:val="Normal"/>
        <w:bidi w:val="0"/>
        <w:spacing w:lineRule="auto" w:line="240" w:before="0" w:after="0"/>
        <w:jc w:val="left"/>
        <w:rPr>
          <w:sz w:val="24"/>
          <w:szCs w:val="24"/>
        </w:rPr>
      </w:pPr>
      <w:r>
        <w:rPr>
          <w:rFonts w:cs="Arial" w:ascii="Arial" w:hAnsi="Arial"/>
          <w:sz w:val="24"/>
          <w:szCs w:val="24"/>
        </w:rPr>
        <w:t>HOINASKI, L.</w:t>
      </w:r>
      <w:r>
        <w:rPr>
          <w:rFonts w:cs="Arial" w:ascii="Arial" w:hAnsi="Arial"/>
          <w:b/>
          <w:bCs/>
          <w:sz w:val="24"/>
          <w:szCs w:val="24"/>
        </w:rPr>
        <w:t xml:space="preserve"> Avaliação de métodos de identificação de fontes emissoras de material particulado inalável (PM10)</w:t>
      </w:r>
      <w:r>
        <w:rPr>
          <w:rFonts w:cs="Arial" w:ascii="Arial" w:hAnsi="Arial"/>
          <w:sz w:val="24"/>
          <w:szCs w:val="24"/>
        </w:rPr>
        <w:t>. 2010. 116 (Dissertação de Mestrado). Programa de Pós- Graduação em Engenharia Ambiental, Universidade Federal de Santa Catarina, Florianópolis.</w:t>
      </w:r>
    </w:p>
    <w:p>
      <w:pPr>
        <w:pStyle w:val="Normal"/>
        <w:bidi w:val="0"/>
        <w:spacing w:lineRule="auto" w:line="240" w:before="0" w:after="0"/>
        <w:jc w:val="left"/>
        <w:rPr>
          <w:rFonts w:ascii="Arial" w:hAnsi="Arial" w:eastAsia="Arial" w:cs="Arial"/>
        </w:rPr>
      </w:pPr>
      <w:r>
        <w:rPr>
          <w:rFonts w:eastAsia="Arial" w:cs="Arial" w:ascii="Arial" w:hAnsi="Arial"/>
        </w:rPr>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t xml:space="preserve">MANSUR, E. Uso da água cresce duas vezes mais rápido do que população mundial. </w:t>
      </w:r>
      <w:r>
        <w:rPr>
          <w:rFonts w:eastAsia="Arial" w:cs="Arial" w:ascii="Arial" w:hAnsi="Arial"/>
          <w:b/>
          <w:sz w:val="24"/>
          <w:szCs w:val="24"/>
        </w:rPr>
        <w:t>ONU News</w:t>
      </w:r>
      <w:r>
        <w:rPr>
          <w:rFonts w:eastAsia="Arial" w:cs="Arial" w:ascii="Arial" w:hAnsi="Arial"/>
          <w:sz w:val="24"/>
          <w:szCs w:val="24"/>
        </w:rPr>
        <w:t>, 20 mar. 2018. Disponível em: &lt;news.un.org/pt/story/2018/03/1615142&gt;. Acesso em: 28 jun. 2019.</w:t>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t xml:space="preserve">MARQUES, R. et al. Composição química de águas de chuva em áreas tropicais continentais, Cuiabá-MT: aplicação do sistema clima urbano (S.C.U.). </w:t>
      </w:r>
      <w:r>
        <w:rPr>
          <w:rFonts w:eastAsia="Arial" w:cs="Arial" w:ascii="Arial" w:hAnsi="Arial"/>
          <w:b/>
          <w:sz w:val="24"/>
          <w:szCs w:val="24"/>
        </w:rPr>
        <w:t>Rev. dep. Geografia</w:t>
      </w:r>
      <w:r>
        <w:rPr>
          <w:rFonts w:eastAsia="Arial" w:cs="Arial" w:ascii="Arial" w:hAnsi="Arial"/>
          <w:sz w:val="24"/>
          <w:szCs w:val="24"/>
        </w:rPr>
        <w:t>, v. 20, p. 63-75, 2010. Disponível em: &lt;www.revistas.usp.br/rdg/article/view/47242/50978&gt;. Acesso em: 21 jun. 2019.</w:t>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t xml:space="preserve">PHILIPPI JUNIOR, A. </w:t>
      </w:r>
      <w:r>
        <w:rPr>
          <w:rFonts w:eastAsia="Arial" w:cs="Arial" w:ascii="Arial" w:hAnsi="Arial"/>
          <w:b/>
          <w:sz w:val="24"/>
          <w:szCs w:val="24"/>
        </w:rPr>
        <w:t>Saneamento, saúde e ambiente: Fundamentos para um desenvolvimento sustentável</w:t>
      </w:r>
      <w:r>
        <w:rPr>
          <w:rFonts w:eastAsia="Arial" w:cs="Arial" w:ascii="Arial" w:hAnsi="Arial"/>
          <w:sz w:val="24"/>
          <w:szCs w:val="24"/>
        </w:rPr>
        <w:t>. 4 ed. São Paulo: Editora Manole Ltda, 2005. 842 p.</w:t>
      </w:r>
    </w:p>
    <w:p>
      <w:pPr>
        <w:pStyle w:val="Normal"/>
        <w:bidi w:val="0"/>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bidi w:val="0"/>
        <w:spacing w:lineRule="auto" w:line="240" w:before="0" w:after="0"/>
        <w:jc w:val="left"/>
        <w:rPr/>
      </w:pPr>
      <w:r>
        <w:rPr>
          <w:rFonts w:eastAsia="Arial" w:cs="Arial" w:ascii="Arial" w:hAnsi="Arial"/>
          <w:sz w:val="24"/>
          <w:szCs w:val="24"/>
        </w:rPr>
        <w:t xml:space="preserve">WORLD HEALTH ORGANIZATION. WHO. </w:t>
      </w:r>
      <w:r>
        <w:rPr>
          <w:rFonts w:eastAsia="Arial" w:cs="Arial" w:ascii="Arial" w:hAnsi="Arial"/>
          <w:b/>
          <w:sz w:val="24"/>
          <w:szCs w:val="24"/>
        </w:rPr>
        <w:t>Air quality guidelines for particulate matter, ozone, nitrogen dioxide and sulfur dioxide: global update 2005: summary of risk assessment</w:t>
      </w:r>
      <w:r>
        <w:rPr>
          <w:rFonts w:eastAsia="Arial" w:cs="Arial" w:ascii="Arial" w:hAnsi="Arial"/>
          <w:sz w:val="24"/>
          <w:szCs w:val="24"/>
        </w:rPr>
        <w:t>. Geneva: World Health Organization, p. 1-22, 2006.</w:t>
      </w:r>
    </w:p>
    <w:sectPr>
      <w:headerReference w:type="default" r:id="rId3"/>
      <w:footnotePr>
        <w:numFmt w:val="decimal"/>
      </w:footnotePr>
      <w:type w:val="nextPage"/>
      <w:pgSz w:w="11906" w:h="16838"/>
      <w:pgMar w:left="1701" w:right="1134" w:header="709" w:top="1701" w:footer="0" w:bottom="1134"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before="0" w:after="0"/>
        <w:rPr/>
      </w:pPr>
      <w:r>
        <w:rPr>
          <w:vertAlign w:val="superscript"/>
        </w:rPr>
        <w:footnoteRef/>
        <w:tab/>
      </w:r>
      <w:r>
        <w:rPr>
          <w:rFonts w:eastAsia="Arial" w:cs="Arial" w:ascii="Arial" w:hAnsi="Arial"/>
          <w:sz w:val="18"/>
          <w:szCs w:val="18"/>
        </w:rPr>
        <w:t xml:space="preserve"> </w:t>
      </w:r>
      <w:r>
        <w:rPr>
          <w:rFonts w:eastAsia="Arial" w:cs="Arial" w:ascii="Arial" w:hAnsi="Arial"/>
          <w:sz w:val="18"/>
          <w:szCs w:val="18"/>
        </w:rPr>
        <w:t xml:space="preserve">Estudante do Curso Técnico em Controle Ambiental Integrado ao Ensino Médio; Instituto Federal Catarinense – Campus Camboriú; </w:t>
      </w:r>
      <w:hyperlink r:id="rId1">
        <w:r>
          <w:rPr>
            <w:rStyle w:val="LinkdaInternet"/>
            <w:rFonts w:eastAsia="Arial" w:cs="Arial" w:ascii="Arial" w:hAnsi="Arial"/>
            <w:sz w:val="18"/>
            <w:szCs w:val="18"/>
          </w:rPr>
          <w:t>andrighi1@gmail.com</w:t>
        </w:r>
      </w:hyperlink>
    </w:p>
  </w:footnote>
  <w:footnote w:id="3">
    <w:p>
      <w:pPr>
        <w:pStyle w:val="Normal"/>
        <w:spacing w:lineRule="auto" w:line="240" w:before="0" w:after="0"/>
        <w:rPr/>
      </w:pPr>
      <w:r>
        <w:rPr>
          <w:vertAlign w:val="superscript"/>
        </w:rPr>
        <w:footnoteRef/>
        <w:tab/>
      </w:r>
      <w:r>
        <w:rPr>
          <w:rFonts w:eastAsia="Arial" w:cs="Arial" w:ascii="Arial" w:hAnsi="Arial"/>
          <w:sz w:val="18"/>
          <w:szCs w:val="18"/>
        </w:rPr>
        <w:t xml:space="preserve"> </w:t>
      </w:r>
      <w:r>
        <w:rPr>
          <w:rFonts w:eastAsia="Arial" w:cs="Arial" w:ascii="Arial" w:hAnsi="Arial"/>
          <w:sz w:val="18"/>
          <w:szCs w:val="18"/>
        </w:rPr>
        <w:t xml:space="preserve">Estudante do Curso Técnico em Controle Ambiental Integrado ao Ensino Médio; Instituto Federal Catarinense – Campus Camboriú; </w:t>
      </w:r>
      <w:hyperlink r:id="rId2">
        <w:r>
          <w:rPr>
            <w:rStyle w:val="LinkdaInternet"/>
            <w:rFonts w:eastAsia="Arial" w:cs="Arial" w:ascii="Arial" w:hAnsi="Arial"/>
            <w:sz w:val="18"/>
            <w:szCs w:val="18"/>
          </w:rPr>
          <w:t>lucasewieth@gmail.com</w:t>
        </w:r>
      </w:hyperlink>
    </w:p>
  </w:footnote>
  <w:footnote w:id="4">
    <w:p>
      <w:pPr>
        <w:pStyle w:val="Normal"/>
        <w:spacing w:lineRule="auto" w:line="240" w:before="0" w:after="0"/>
        <w:rPr/>
      </w:pPr>
      <w:r>
        <w:rPr>
          <w:vertAlign w:val="superscript"/>
        </w:rPr>
        <w:footnoteRef/>
        <w:tab/>
      </w:r>
      <w:r>
        <w:rPr>
          <w:rFonts w:eastAsia="Arial" w:cs="Arial" w:ascii="Arial" w:hAnsi="Arial"/>
          <w:sz w:val="18"/>
          <w:szCs w:val="18"/>
        </w:rPr>
        <w:t xml:space="preserve"> </w:t>
      </w:r>
      <w:r>
        <w:rPr>
          <w:rFonts w:eastAsia="Arial" w:cs="Arial" w:ascii="Arial" w:hAnsi="Arial"/>
          <w:sz w:val="18"/>
          <w:szCs w:val="18"/>
        </w:rPr>
        <w:t xml:space="preserve">Estudante do Curso Técnico em Controle Ambiental Integrado ao Ensino Médio; Instituto Federal Catarinense – Campus Camboriú; </w:t>
      </w:r>
      <w:hyperlink r:id="rId3">
        <w:bookmarkStart w:id="0" w:name="__DdeLink__6662_1781274353"/>
        <w:bookmarkEnd w:id="0"/>
        <w:r>
          <w:rPr>
            <w:rStyle w:val="LinkdaInternet"/>
            <w:rFonts w:eastAsia="Arial" w:cs="Arial" w:ascii="Arial" w:hAnsi="Arial"/>
            <w:sz w:val="18"/>
            <w:szCs w:val="18"/>
          </w:rPr>
          <w:t>victorschlebinger@gmail.com</w:t>
        </w:r>
      </w:hyperlink>
    </w:p>
  </w:footnote>
  <w:footnote w:id="5">
    <w:p>
      <w:pPr>
        <w:pStyle w:val="Normal"/>
        <w:spacing w:lineRule="auto" w:line="240" w:before="0" w:after="0"/>
        <w:rPr/>
      </w:pPr>
      <w:r>
        <w:rPr>
          <w:vertAlign w:val="superscript"/>
        </w:rPr>
        <w:footnoteRef/>
        <w:tab/>
      </w:r>
      <w:r>
        <w:rPr>
          <w:rFonts w:eastAsia="Arial" w:cs="Arial" w:ascii="Arial" w:hAnsi="Arial"/>
          <w:sz w:val="18"/>
          <w:szCs w:val="18"/>
        </w:rPr>
        <w:t xml:space="preserve"> </w:t>
      </w:r>
      <w:r>
        <w:rPr>
          <w:rFonts w:eastAsia="Arial" w:cs="Arial" w:ascii="Arial" w:hAnsi="Arial"/>
          <w:sz w:val="18"/>
          <w:szCs w:val="18"/>
        </w:rPr>
        <w:t>Especialista em Educação Ambiental; Instituto Federal Catarinense</w:t>
      </w:r>
      <w:r>
        <w:rPr>
          <w:rFonts w:eastAsia="Arial" w:cs="Arial" w:ascii="Arial" w:hAnsi="Arial"/>
          <w:sz w:val="18"/>
          <w:szCs w:val="18"/>
        </w:rPr>
        <w:t xml:space="preserve"> – </w:t>
      </w:r>
      <w:r>
        <w:rPr>
          <w:rFonts w:eastAsia="Arial" w:cs="Arial" w:ascii="Arial" w:hAnsi="Arial"/>
          <w:sz w:val="18"/>
          <w:szCs w:val="18"/>
        </w:rPr>
        <w:t>Campus Camboriú;</w:t>
      </w:r>
      <w:hyperlink r:id="rId4">
        <w:r>
          <w:rPr>
            <w:rStyle w:val="LinkdaInternet"/>
            <w:rFonts w:eastAsia="Arial" w:cs="Arial" w:ascii="Arial" w:hAnsi="Arial"/>
            <w:sz w:val="18"/>
            <w:szCs w:val="18"/>
          </w:rPr>
          <w:t>joeci.godoi@ifc.edu.br</w:t>
        </w:r>
      </w:hyperlink>
    </w:p>
  </w:footnote>
  <w:footnote w:id="6">
    <w:p>
      <w:pPr>
        <w:pStyle w:val="Normal"/>
        <w:spacing w:lineRule="auto" w:line="240" w:before="0" w:after="0"/>
        <w:rPr/>
      </w:pPr>
      <w:r>
        <w:rPr>
          <w:vertAlign w:val="superscript"/>
        </w:rPr>
        <w:footnoteRef/>
        <w:tab/>
      </w:r>
      <w:r>
        <w:rPr>
          <w:rFonts w:eastAsia="Arial" w:cs="Arial" w:ascii="Arial" w:hAnsi="Arial"/>
          <w:sz w:val="18"/>
          <w:szCs w:val="18"/>
        </w:rPr>
        <w:t xml:space="preserve"> </w:t>
      </w:r>
      <w:r>
        <w:rPr>
          <w:rFonts w:eastAsia="Arial" w:cs="Arial" w:ascii="Arial" w:hAnsi="Arial"/>
          <w:sz w:val="18"/>
          <w:szCs w:val="18"/>
        </w:rPr>
        <w:t xml:space="preserve">Doutor em Química; Instituto Federal Catarinense – Campus Camboriú; </w:t>
      </w:r>
      <w:hyperlink r:id="rId5">
        <w:r>
          <w:rPr>
            <w:rStyle w:val="LinkdaInternet"/>
            <w:rFonts w:eastAsia="Arial" w:cs="Arial" w:ascii="Arial" w:hAnsi="Arial"/>
            <w:sz w:val="18"/>
            <w:szCs w:val="18"/>
          </w:rPr>
          <w:t>rodrigo.banegas@ifc.edu.br</w:t>
        </w:r>
      </w:hyperlink>
    </w:p>
  </w:footnote>
  <w:footnote w:id="7">
    <w:p>
      <w:pPr>
        <w:pStyle w:val="Normal"/>
        <w:spacing w:lineRule="auto" w:line="240" w:before="0" w:after="0"/>
        <w:rPr/>
      </w:pPr>
      <w:r>
        <w:rPr>
          <w:vertAlign w:val="superscript"/>
        </w:rPr>
        <w:footnoteRef/>
        <w:tab/>
      </w:r>
      <w:r>
        <w:rPr>
          <w:rFonts w:eastAsia="Arial" w:cs="Arial" w:ascii="Arial" w:hAnsi="Arial"/>
          <w:sz w:val="18"/>
          <w:szCs w:val="18"/>
        </w:rPr>
        <w:t xml:space="preserve"> </w:t>
      </w:r>
      <w:r>
        <w:rPr>
          <w:rFonts w:eastAsia="Arial" w:cs="Arial" w:ascii="Arial" w:hAnsi="Arial"/>
          <w:sz w:val="18"/>
          <w:szCs w:val="18"/>
        </w:rPr>
        <w:t xml:space="preserve">Doutora em Engenharia Ambiental; Instituto Federal Catarinense – Campus Camboriú; </w:t>
      </w:r>
      <w:hyperlink r:id="rId6">
        <w:r>
          <w:rPr>
            <w:rStyle w:val="LinkdaInternet"/>
            <w:rFonts w:eastAsia="Arial" w:cs="Arial" w:ascii="Arial" w:hAnsi="Arial"/>
            <w:sz w:val="18"/>
            <w:szCs w:val="18"/>
          </w:rPr>
          <w:t>leticia.flohr@ifc.edu.br</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0"/>
        <w:szCs w:val="20"/>
        <w:highlight w:val="white"/>
        <w:u w:val="none"/>
        <w:vertAlign w:val="baseline"/>
      </w:rPr>
    </w:pPr>
    <w:r>
      <w:rPr/>
      <w:drawing>
        <wp:inline distT="0" distB="0" distL="0" distR="0">
          <wp:extent cx="4230370" cy="6826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4230370" cy="682625"/>
                  </a:xfrm>
                  <a:prstGeom prst="rect">
                    <a:avLst/>
                  </a:prstGeom>
                </pic:spPr>
              </pic:pic>
            </a:graphicData>
          </a:graphic>
        </wp:inline>
      </w:drawing>
    </w:r>
  </w:p>
  <w:p>
    <w:pPr>
      <w:pStyle w:val="Normal"/>
      <w:keepNext/>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FFFFFF" w:val="clear"/>
        <w:vertAlign w:val="baseline"/>
      </w:rPr>
    </w:r>
  </w:p>
</w:hdr>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pt-BR" w:eastAsia="zh-CN" w:bidi="hi-IN"/>
      </w:rPr>
    </w:rPrDefault>
    <w:pPrDefault>
      <w:pPr/>
    </w:pPrDefault>
  </w:docDefaults>
  <w:style w:type="paragraph" w:styleId="Normal" w:default="1">
    <w:name w:val="Normal"/>
    <w:qFormat/>
    <w:rsid w:val="00ab5e67"/>
    <w:pPr>
      <w:widowControl/>
      <w:bidi w:val="0"/>
      <w:spacing w:lineRule="auto" w:line="276" w:before="0" w:after="200"/>
      <w:jc w:val="left"/>
    </w:pPr>
    <w:rPr>
      <w:rFonts w:ascii="Calibri" w:hAnsi="Calibri" w:eastAsia="Calibri" w:cs="Calibri"/>
      <w:color w:val="00000A"/>
      <w:sz w:val="22"/>
      <w:szCs w:val="22"/>
      <w:lang w:val="pt-BR" w:eastAsia="zh-CN" w:bidi="hi-IN"/>
    </w:rPr>
  </w:style>
  <w:style w:type="paragraph" w:styleId="Ttulo1">
    <w:name w:val="Heading 1"/>
    <w:basedOn w:val="Ttulo"/>
    <w:qFormat/>
    <w:rsid w:val="007f2964"/>
    <w:pPr>
      <w:keepNext/>
      <w:keepLines/>
      <w:widowControl w:val="false"/>
      <w:bidi w:val="0"/>
      <w:spacing w:before="480" w:after="120"/>
      <w:jc w:val="left"/>
      <w:outlineLvl w:val="0"/>
    </w:pPr>
    <w:rPr>
      <w:rFonts w:ascii="Calibri" w:hAnsi="Calibri" w:eastAsia="Calibri" w:cs="Calibri"/>
      <w:b/>
      <w:color w:val="00000A"/>
      <w:sz w:val="48"/>
      <w:szCs w:val="48"/>
      <w:lang w:val="pt-BR" w:eastAsia="zh-CN" w:bidi="hi-IN"/>
    </w:rPr>
  </w:style>
  <w:style w:type="paragraph" w:styleId="Ttulo2">
    <w:name w:val="Heading 2"/>
    <w:basedOn w:val="Ttulo"/>
    <w:qFormat/>
    <w:rsid w:val="007f2964"/>
    <w:pPr>
      <w:keepNext/>
      <w:keepLines/>
      <w:widowControl w:val="false"/>
      <w:bidi w:val="0"/>
      <w:spacing w:before="360" w:after="80"/>
      <w:jc w:val="left"/>
      <w:outlineLvl w:val="1"/>
    </w:pPr>
    <w:rPr>
      <w:rFonts w:ascii="Calibri" w:hAnsi="Calibri" w:eastAsia="Calibri" w:cs="Calibri"/>
      <w:b/>
      <w:color w:val="00000A"/>
      <w:sz w:val="36"/>
      <w:szCs w:val="36"/>
      <w:lang w:val="pt-BR" w:eastAsia="zh-CN" w:bidi="hi-IN"/>
    </w:rPr>
  </w:style>
  <w:style w:type="paragraph" w:styleId="Ttulo3">
    <w:name w:val="Heading 3"/>
    <w:basedOn w:val="Ttulo"/>
    <w:qFormat/>
    <w:rsid w:val="007f2964"/>
    <w:pPr>
      <w:keepNext/>
      <w:keepLines/>
      <w:widowControl w:val="false"/>
      <w:bidi w:val="0"/>
      <w:spacing w:before="280" w:after="80"/>
      <w:jc w:val="left"/>
      <w:outlineLvl w:val="2"/>
    </w:pPr>
    <w:rPr>
      <w:rFonts w:ascii="Calibri" w:hAnsi="Calibri" w:eastAsia="Calibri" w:cs="Calibri"/>
      <w:b/>
      <w:color w:val="00000A"/>
      <w:sz w:val="28"/>
      <w:szCs w:val="28"/>
      <w:lang w:val="pt-BR" w:eastAsia="zh-CN" w:bidi="hi-IN"/>
    </w:rPr>
  </w:style>
  <w:style w:type="paragraph" w:styleId="Ttulo4">
    <w:name w:val="Heading 4"/>
    <w:basedOn w:val="Ttulo"/>
    <w:qFormat/>
    <w:rsid w:val="007f2964"/>
    <w:pPr>
      <w:keepNext/>
      <w:keepLines/>
      <w:widowControl w:val="false"/>
      <w:bidi w:val="0"/>
      <w:spacing w:before="240" w:after="40"/>
      <w:jc w:val="left"/>
      <w:outlineLvl w:val="3"/>
    </w:pPr>
    <w:rPr>
      <w:rFonts w:ascii="Calibri" w:hAnsi="Calibri" w:eastAsia="Calibri" w:cs="Calibri"/>
      <w:b/>
      <w:color w:val="00000A"/>
      <w:sz w:val="24"/>
      <w:szCs w:val="24"/>
      <w:lang w:val="pt-BR" w:eastAsia="zh-CN" w:bidi="hi-IN"/>
    </w:rPr>
  </w:style>
  <w:style w:type="paragraph" w:styleId="Ttulo5">
    <w:name w:val="Heading 5"/>
    <w:basedOn w:val="Ttulo"/>
    <w:qFormat/>
    <w:rsid w:val="007f2964"/>
    <w:pPr>
      <w:keepNext/>
      <w:keepLines/>
      <w:widowControl w:val="false"/>
      <w:bidi w:val="0"/>
      <w:spacing w:before="220" w:after="40"/>
      <w:jc w:val="left"/>
      <w:outlineLvl w:val="4"/>
    </w:pPr>
    <w:rPr>
      <w:rFonts w:ascii="Calibri" w:hAnsi="Calibri" w:eastAsia="Calibri" w:cs="Calibri"/>
      <w:b/>
      <w:color w:val="00000A"/>
      <w:sz w:val="22"/>
      <w:szCs w:val="22"/>
      <w:lang w:val="pt-BR" w:eastAsia="zh-CN" w:bidi="hi-IN"/>
    </w:rPr>
  </w:style>
  <w:style w:type="paragraph" w:styleId="Ttulo6">
    <w:name w:val="Heading 6"/>
    <w:basedOn w:val="Ttulo"/>
    <w:qFormat/>
    <w:rsid w:val="007f2964"/>
    <w:pPr>
      <w:keepNext/>
      <w:keepLines/>
      <w:widowControl w:val="false"/>
      <w:bidi w:val="0"/>
      <w:spacing w:before="200" w:after="40"/>
      <w:jc w:val="left"/>
      <w:outlineLvl w:val="5"/>
    </w:pPr>
    <w:rPr>
      <w:rFonts w:ascii="Calibri" w:hAnsi="Calibri" w:eastAsia="Calibri" w:cs="Calibri"/>
      <w:b/>
      <w:color w:val="00000A"/>
      <w:sz w:val="20"/>
      <w:szCs w:val="20"/>
      <w:lang w:val="pt-BR" w:eastAsia="zh-CN" w:bidi="hi-IN"/>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d4118a"/>
    <w:rPr>
      <w:rFonts w:ascii="Tahoma" w:hAnsi="Tahoma" w:cs="Tahoma"/>
      <w:sz w:val="16"/>
      <w:szCs w:val="16"/>
    </w:rPr>
  </w:style>
  <w:style w:type="character" w:styleId="CabealhoChar" w:customStyle="1">
    <w:name w:val="Cabeçalho Char"/>
    <w:basedOn w:val="DefaultParagraphFont"/>
    <w:link w:val="Cabealho"/>
    <w:uiPriority w:val="99"/>
    <w:semiHidden/>
    <w:qFormat/>
    <w:rsid w:val="00de1b9b"/>
    <w:rPr/>
  </w:style>
  <w:style w:type="character" w:styleId="RodapChar" w:customStyle="1">
    <w:name w:val="Rodapé Char"/>
    <w:basedOn w:val="DefaultParagraphFont"/>
    <w:link w:val="Rodap"/>
    <w:uiPriority w:val="99"/>
    <w:semiHidden/>
    <w:qFormat/>
    <w:rsid w:val="00de1b9b"/>
    <w:rPr/>
  </w:style>
  <w:style w:type="character" w:styleId="LinkdaInternet">
    <w:name w:val="Link da Internet"/>
    <w:rPr>
      <w:color w:val="00008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customStyle="1">
    <w:name w:val="LO-normal"/>
    <w:qFormat/>
    <w:rsid w:val="007f2964"/>
    <w:pPr>
      <w:widowControl/>
      <w:bidi w:val="0"/>
      <w:jc w:val="left"/>
    </w:pPr>
    <w:rPr>
      <w:rFonts w:ascii="Calibri" w:hAnsi="Calibri" w:eastAsia="Calibri" w:cs="Calibri"/>
      <w:color w:val="00000A"/>
      <w:sz w:val="22"/>
      <w:szCs w:val="22"/>
      <w:lang w:val="pt-BR" w:eastAsia="zh-CN" w:bidi="hi-IN"/>
    </w:rPr>
  </w:style>
  <w:style w:type="paragraph" w:styleId="Ttulododocumento">
    <w:name w:val="Title"/>
    <w:basedOn w:val="LOnormal"/>
    <w:qFormat/>
    <w:rsid w:val="007f2964"/>
    <w:pPr>
      <w:keepNext/>
      <w:keepLines/>
      <w:spacing w:before="480" w:after="120"/>
    </w:pPr>
    <w:rPr>
      <w:b/>
      <w:sz w:val="72"/>
      <w:szCs w:val="72"/>
    </w:rPr>
  </w:style>
  <w:style w:type="paragraph" w:styleId="Subttulo">
    <w:name w:val="Subtitle"/>
    <w:basedOn w:val="LOnormal"/>
    <w:qFormat/>
    <w:rsid w:val="007f2964"/>
    <w:pPr/>
    <w:rPr/>
  </w:style>
  <w:style w:type="paragraph" w:styleId="BalloonText">
    <w:name w:val="Balloon Text"/>
    <w:basedOn w:val="LOnormal"/>
    <w:link w:val="TextodebaloChar"/>
    <w:uiPriority w:val="99"/>
    <w:semiHidden/>
    <w:unhideWhenUsed/>
    <w:qFormat/>
    <w:rsid w:val="00d4118a"/>
    <w:pPr>
      <w:spacing w:lineRule="auto" w:line="240" w:before="0" w:after="0"/>
    </w:pPr>
    <w:rPr>
      <w:rFonts w:ascii="Tahoma" w:hAnsi="Tahoma" w:cs="Tahoma"/>
      <w:sz w:val="16"/>
      <w:szCs w:val="16"/>
    </w:rPr>
  </w:style>
  <w:style w:type="paragraph" w:styleId="Cabealho">
    <w:name w:val="Header"/>
    <w:basedOn w:val="LOnormal"/>
    <w:link w:val="CabealhoChar"/>
    <w:uiPriority w:val="99"/>
    <w:semiHidden/>
    <w:unhideWhenUsed/>
    <w:rsid w:val="00de1b9b"/>
    <w:pPr>
      <w:tabs>
        <w:tab w:val="center" w:pos="4252" w:leader="none"/>
        <w:tab w:val="right" w:pos="8504" w:leader="none"/>
      </w:tabs>
      <w:spacing w:lineRule="auto" w:line="240" w:before="0" w:after="0"/>
    </w:pPr>
    <w:rPr/>
  </w:style>
  <w:style w:type="paragraph" w:styleId="Rodap">
    <w:name w:val="Footer"/>
    <w:basedOn w:val="LOnormal"/>
    <w:link w:val="RodapChar"/>
    <w:uiPriority w:val="99"/>
    <w:semiHidden/>
    <w:unhideWhenUsed/>
    <w:rsid w:val="00de1b9b"/>
    <w:pPr>
      <w:tabs>
        <w:tab w:val="center" w:pos="4252" w:leader="none"/>
        <w:tab w:val="right" w:pos="8504" w:leader="none"/>
      </w:tabs>
      <w:spacing w:lineRule="auto" w:line="240" w:before="0" w:after="0"/>
    </w:pPr>
    <w:rPr/>
  </w:style>
  <w:style w:type="paragraph" w:styleId="Notaderodap">
    <w:name w:val="Footnote Text"/>
    <w:basedOn w:val="Normal"/>
    <w:pPr/>
    <w:rPr/>
  </w:style>
  <w:style w:type="paragraph" w:styleId="Contedodatabela">
    <w:name w:val="Conteúdo da tabela"/>
    <w:basedOn w:val="Normal"/>
    <w:qFormat/>
    <w:pPr/>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7f2964"/>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ptec.inpe.br/" TargetMode="External"/><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mailto:andrighi1@gmail.com" TargetMode="External"/><Relationship Id="rId2" Type="http://schemas.openxmlformats.org/officeDocument/2006/relationships/hyperlink" Target="mailto:lucasewieth@gmail.com" TargetMode="External"/><Relationship Id="rId3" Type="http://schemas.openxmlformats.org/officeDocument/2006/relationships/hyperlink" Target="mailto:victorschlebinger@gmail.com" TargetMode="External"/><Relationship Id="rId4" Type="http://schemas.openxmlformats.org/officeDocument/2006/relationships/hyperlink" Target="mailto:joeci.godoi@ifc.edu.br" TargetMode="External"/><Relationship Id="rId5" Type="http://schemas.openxmlformats.org/officeDocument/2006/relationships/hyperlink" Target="mailto:rodrigo.banegas@ifc.edu.br" TargetMode="External"/><Relationship Id="rId6" Type="http://schemas.openxmlformats.org/officeDocument/2006/relationships/hyperlink" Target="mailto:leticia.flohr@ifc.edu.br"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GeXIdEIu+iHcJQHEbHQ0xtRYFg==">AMUW2mVTnly+E7fTQwuWPmP+74nMJWeIix6k/lkj6bgGRqqcwwb+Z+kxY6IE+Zjr1GXdYAjWSMWm9Y3e5Ms68aZuVJI6t8O5nB7xKsSRdU/guin0Ap22wmo=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61</TotalTime>
  <Application>LibreOffice/5.2.2.2$Windows_x86 LibreOffice_project/8f96e87c890bf8fa77463cd4b640a2312823f3ad</Application>
  <Pages>6</Pages>
  <Words>2117</Words>
  <Characters>11708</Characters>
  <CharactersWithSpaces>13780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2019-05-28T17:56:00Z</dcterms:created>
  <dc:creator>Sanir da Conceicao,,,,Professora</dc:creator>
  <dc:description/>
  <dc:language>pt-BR</dc:language>
  <cp:lastModifiedBy/>
  <dcterms:modified xsi:type="dcterms:W3CDTF">2019-07-31T12:39:12Z</dcterms:modified>
  <cp:revision>4</cp:revision>
  <dc:subject/>
  <dc:title/>
</cp:coreProperties>
</file>