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6900" w14:textId="26658D35" w:rsidR="00222EC5" w:rsidRPr="0043075C" w:rsidRDefault="000E5BEC" w:rsidP="0043075C">
      <w:pPr>
        <w:pStyle w:val="Corpodetexto"/>
        <w:spacing w:before="0"/>
        <w:ind w:left="709"/>
        <w:rPr>
          <w:sz w:val="20"/>
        </w:rPr>
      </w:pPr>
      <w:r>
        <w:rPr>
          <w:noProof/>
          <w:lang w:eastAsia="pt-BR"/>
        </w:rPr>
        <w:drawing>
          <wp:inline distT="0" distB="0" distL="0" distR="0" wp14:anchorId="36F2A173" wp14:editId="11613E77">
            <wp:extent cx="615950" cy="5969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a:stretch>
                      <a:fillRect/>
                    </a:stretch>
                  </pic:blipFill>
                  <pic:spPr>
                    <a:xfrm>
                      <a:off x="0" y="0"/>
                      <a:ext cx="616373" cy="597407"/>
                    </a:xfrm>
                    <a:prstGeom prst="rect">
                      <a:avLst/>
                    </a:prstGeom>
                  </pic:spPr>
                </pic:pic>
              </a:graphicData>
            </a:graphic>
          </wp:inline>
        </w:drawing>
      </w:r>
      <w:bookmarkStart w:id="0" w:name="_Hlk105860475"/>
      <w:r w:rsidR="00C872E0" w:rsidRPr="00C872E0">
        <w:t xml:space="preserve"> </w:t>
      </w:r>
      <w:r w:rsidR="00C872E0" w:rsidRPr="00C872E0">
        <w:rPr>
          <w:b/>
          <w:sz w:val="32"/>
        </w:rPr>
        <w:t>COMPARAÇÃO DA TAXA DE NEGAÇÃO DE ACESSO À INFORMAÇÃO ANTES E DEPOIS DA LGPD</w:t>
      </w:r>
    </w:p>
    <w:p w14:paraId="12A17F88" w14:textId="443CB510" w:rsidR="007E1400" w:rsidRPr="0043075C" w:rsidRDefault="007E1400">
      <w:pPr>
        <w:pStyle w:val="Ttulo1"/>
        <w:spacing w:before="91" w:line="256" w:lineRule="auto"/>
        <w:ind w:left="827" w:right="737" w:hanging="61"/>
        <w:rPr>
          <w:color w:val="auto"/>
        </w:rPr>
      </w:pPr>
    </w:p>
    <w:bookmarkEnd w:id="0"/>
    <w:p w14:paraId="68151303" w14:textId="3A69C579" w:rsidR="00222EC5" w:rsidRDefault="00C872E0">
      <w:pPr>
        <w:pStyle w:val="Corpodetexto"/>
        <w:spacing w:before="0"/>
        <w:ind w:left="0"/>
        <w:rPr>
          <w:b/>
          <w:sz w:val="32"/>
        </w:rPr>
      </w:pPr>
      <w:r w:rsidRPr="00C872E0">
        <w:rPr>
          <w:b/>
          <w:sz w:val="32"/>
        </w:rPr>
        <w:t>COMPARISON OF THE RATE OF DENIED ACCESS TO INFORMATION BEFORE AND AFTER LGPD</w:t>
      </w:r>
    </w:p>
    <w:p w14:paraId="06C97F9D" w14:textId="77777777" w:rsidR="00C872E0" w:rsidRDefault="00C872E0">
      <w:pPr>
        <w:pStyle w:val="Corpodetexto"/>
        <w:spacing w:before="0"/>
        <w:ind w:left="0"/>
        <w:rPr>
          <w:b/>
          <w:sz w:val="24"/>
        </w:rPr>
      </w:pPr>
    </w:p>
    <w:p w14:paraId="582EC7C9" w14:textId="156D8918" w:rsidR="00583161" w:rsidRPr="00583161" w:rsidRDefault="000E5BEC">
      <w:pPr>
        <w:pStyle w:val="Corpodetexto"/>
        <w:spacing w:before="0"/>
        <w:ind w:left="0"/>
      </w:pPr>
      <w:r>
        <w:rPr>
          <w:sz w:val="20"/>
        </w:rPr>
        <w:tab/>
      </w:r>
      <w:r>
        <w:rPr>
          <w:sz w:val="20"/>
        </w:rPr>
        <w:tab/>
      </w:r>
      <w:r>
        <w:rPr>
          <w:sz w:val="20"/>
        </w:rPr>
        <w:tab/>
      </w:r>
      <w:r>
        <w:rPr>
          <w:sz w:val="20"/>
        </w:rPr>
        <w:tab/>
      </w:r>
      <w:r>
        <w:rPr>
          <w:sz w:val="20"/>
        </w:rPr>
        <w:tab/>
      </w:r>
      <w:r>
        <w:rPr>
          <w:sz w:val="20"/>
        </w:rPr>
        <w:tab/>
      </w:r>
      <w:r>
        <w:rPr>
          <w:sz w:val="20"/>
        </w:rPr>
        <w:tab/>
      </w:r>
      <w:r>
        <w:rPr>
          <w:sz w:val="20"/>
        </w:rPr>
        <w:tab/>
      </w:r>
      <w:r>
        <w:t xml:space="preserve">Carlos </w:t>
      </w:r>
      <w:r w:rsidR="007E1400">
        <w:t>Rafael de Aguiar Nery</w:t>
      </w:r>
    </w:p>
    <w:p w14:paraId="0B875A5F" w14:textId="26312CFF" w:rsidR="00222EC5" w:rsidRDefault="000E5BEC">
      <w:pPr>
        <w:pStyle w:val="Corpodetexto"/>
        <w:spacing w:before="0"/>
        <w:ind w:left="0"/>
      </w:pPr>
      <w:r>
        <w:tab/>
      </w:r>
      <w:r>
        <w:tab/>
      </w:r>
      <w:r>
        <w:tab/>
      </w:r>
      <w:r>
        <w:tab/>
      </w:r>
      <w:r>
        <w:tab/>
      </w:r>
      <w:r>
        <w:tab/>
      </w:r>
      <w:r>
        <w:tab/>
      </w:r>
      <w:r>
        <w:tab/>
      </w:r>
      <w:r w:rsidR="007E1400" w:rsidRPr="007E1400">
        <w:t xml:space="preserve">Leandro </w:t>
      </w:r>
      <w:proofErr w:type="spellStart"/>
      <w:r w:rsidR="007E1400" w:rsidRPr="007E1400">
        <w:t>Carísio</w:t>
      </w:r>
      <w:proofErr w:type="spellEnd"/>
      <w:r w:rsidR="007E1400" w:rsidRPr="007E1400">
        <w:t xml:space="preserve"> Fernandes</w:t>
      </w:r>
    </w:p>
    <w:p w14:paraId="5CDABFE0" w14:textId="4797ECDB" w:rsidR="00583161" w:rsidRDefault="000E5BEC">
      <w:pPr>
        <w:pStyle w:val="Corpodetexto"/>
        <w:spacing w:before="0"/>
        <w:ind w:left="0"/>
      </w:pPr>
      <w:r>
        <w:tab/>
      </w:r>
      <w:r>
        <w:tab/>
      </w:r>
      <w:r>
        <w:tab/>
      </w:r>
      <w:r>
        <w:tab/>
      </w:r>
      <w:r>
        <w:tab/>
      </w:r>
      <w:r>
        <w:tab/>
      </w:r>
      <w:r>
        <w:tab/>
      </w:r>
      <w:r>
        <w:tab/>
      </w:r>
      <w:r w:rsidR="007E1400" w:rsidRPr="007E1400">
        <w:t xml:space="preserve">Marcelo </w:t>
      </w:r>
      <w:proofErr w:type="spellStart"/>
      <w:r w:rsidR="007E1400" w:rsidRPr="007E1400">
        <w:t>Brucoli</w:t>
      </w:r>
      <w:proofErr w:type="spellEnd"/>
      <w:r w:rsidR="007E1400" w:rsidRPr="007E1400">
        <w:t xml:space="preserve"> </w:t>
      </w:r>
      <w:proofErr w:type="spellStart"/>
      <w:r w:rsidR="007E1400" w:rsidRPr="007E1400">
        <w:t>Sembongi</w:t>
      </w:r>
      <w:proofErr w:type="spellEnd"/>
    </w:p>
    <w:p w14:paraId="62A2A0C9" w14:textId="77777777" w:rsidR="00222EC5" w:rsidRDefault="00917482">
      <w:pPr>
        <w:pStyle w:val="Corpodetexto"/>
        <w:spacing w:before="3"/>
        <w:ind w:left="0"/>
        <w:rPr>
          <w:sz w:val="23"/>
        </w:rPr>
      </w:pPr>
    </w:p>
    <w:p w14:paraId="13FF3AA7" w14:textId="069CDEB1" w:rsidR="00222EC5" w:rsidRDefault="000E5BEC" w:rsidP="0068667B">
      <w:pPr>
        <w:pStyle w:val="Corpodetexto"/>
        <w:spacing w:before="91" w:line="369" w:lineRule="auto"/>
        <w:ind w:right="228"/>
        <w:jc w:val="both"/>
      </w:pPr>
      <w:r>
        <w:rPr>
          <w:b/>
        </w:rPr>
        <w:t>Resumo</w:t>
      </w:r>
      <w:r>
        <w:t xml:space="preserve">: </w:t>
      </w:r>
      <w:r w:rsidR="00811B14">
        <w:t>A</w:t>
      </w:r>
      <w:r w:rsidR="0043075C">
        <w:t xml:space="preserve"> Lei Geral de Proteção de Dados (LGPD) trouxe uma nova dinâmica para o tratamento dos dados pessoais, buscando resguardar a liberdade e privacidade individual. Com seu advento, sugiram questionamentos</w:t>
      </w:r>
      <w:r w:rsidR="00042150">
        <w:t xml:space="preserve"> de</w:t>
      </w:r>
      <w:r w:rsidR="0043075C">
        <w:t xml:space="preserve"> seu impacto negativo no acesso às informações de interesse público</w:t>
      </w:r>
      <w:r w:rsidR="0068667B">
        <w:t xml:space="preserve"> solicitadas com base na Lei de Acesso à Informação (LAI). </w:t>
      </w:r>
      <w:r w:rsidR="00042150">
        <w:t xml:space="preserve">Este </w:t>
      </w:r>
      <w:r>
        <w:t>estudo</w:t>
      </w:r>
      <w:r>
        <w:rPr>
          <w:spacing w:val="-5"/>
        </w:rPr>
        <w:t xml:space="preserve"> </w:t>
      </w:r>
      <w:r w:rsidR="0043075C">
        <w:t>busca verificar</w:t>
      </w:r>
      <w:r>
        <w:t xml:space="preserve"> se </w:t>
      </w:r>
      <w:r w:rsidR="00042150">
        <w:t xml:space="preserve">houve impacto </w:t>
      </w:r>
      <w:r w:rsidR="0068667B">
        <w:t>no índice de negação às solicitações de informação</w:t>
      </w:r>
      <w:r w:rsidR="00042150">
        <w:t xml:space="preserve"> após a entrada em vigor da LGPD</w:t>
      </w:r>
      <w:r w:rsidR="0068667B">
        <w:t>.</w:t>
      </w:r>
      <w:r>
        <w:t xml:space="preserve"> </w:t>
      </w:r>
      <w:r w:rsidR="0068667B">
        <w:t>Foram comparados os percentuais mensais de negação de acesso em dois grupos, antes e após a vigência da LGPD. Os resultados indicam que não há diferença estatística significativa entre esses grupos.</w:t>
      </w:r>
    </w:p>
    <w:p w14:paraId="4179E745" w14:textId="77777777" w:rsidR="00222EC5" w:rsidRDefault="00917482">
      <w:pPr>
        <w:pStyle w:val="Corpodetexto"/>
        <w:spacing w:before="6"/>
        <w:ind w:left="0"/>
        <w:rPr>
          <w:sz w:val="34"/>
        </w:rPr>
      </w:pPr>
    </w:p>
    <w:p w14:paraId="7CAA0A4B" w14:textId="38379A79" w:rsidR="00222EC5" w:rsidRDefault="000E5BEC">
      <w:pPr>
        <w:pStyle w:val="Corpodetexto"/>
        <w:spacing w:before="1" w:line="369" w:lineRule="auto"/>
        <w:ind w:right="240"/>
        <w:jc w:val="both"/>
      </w:pPr>
      <w:r>
        <w:rPr>
          <w:b/>
        </w:rPr>
        <w:t>Palavras-chaves:</w:t>
      </w:r>
      <w:r>
        <w:rPr>
          <w:b/>
          <w:spacing w:val="1"/>
        </w:rPr>
        <w:t xml:space="preserve"> </w:t>
      </w:r>
      <w:r>
        <w:t>LGPD,</w:t>
      </w:r>
      <w:r>
        <w:rPr>
          <w:spacing w:val="1"/>
        </w:rPr>
        <w:t xml:space="preserve"> </w:t>
      </w:r>
      <w:r>
        <w:t>LAI,</w:t>
      </w:r>
      <w:r>
        <w:rPr>
          <w:spacing w:val="1"/>
        </w:rPr>
        <w:t xml:space="preserve"> </w:t>
      </w:r>
      <w:r>
        <w:t>Transparência,</w:t>
      </w:r>
      <w:r>
        <w:rPr>
          <w:spacing w:val="1"/>
        </w:rPr>
        <w:t xml:space="preserve"> </w:t>
      </w:r>
      <w:r>
        <w:t>Direito</w:t>
      </w:r>
      <w:r>
        <w:rPr>
          <w:spacing w:val="1"/>
        </w:rPr>
        <w:t xml:space="preserve"> </w:t>
      </w:r>
      <w:r w:rsidR="00811B14">
        <w:rPr>
          <w:spacing w:val="1"/>
        </w:rPr>
        <w:t>À</w:t>
      </w:r>
      <w:r>
        <w:rPr>
          <w:spacing w:val="1"/>
        </w:rPr>
        <w:t xml:space="preserve"> Informação</w:t>
      </w:r>
      <w:r>
        <w:t>.</w:t>
      </w:r>
    </w:p>
    <w:p w14:paraId="2259E359" w14:textId="77777777" w:rsidR="00222EC5" w:rsidRDefault="00917482">
      <w:pPr>
        <w:pStyle w:val="Corpodetexto"/>
        <w:spacing w:before="0"/>
        <w:ind w:left="0"/>
        <w:rPr>
          <w:sz w:val="34"/>
        </w:rPr>
      </w:pPr>
    </w:p>
    <w:p w14:paraId="161C35D3" w14:textId="60108CC5" w:rsidR="00222EC5" w:rsidRDefault="000E5BEC" w:rsidP="00144643">
      <w:pPr>
        <w:pStyle w:val="Corpodetexto"/>
        <w:spacing w:before="0" w:line="369" w:lineRule="auto"/>
        <w:ind w:right="228"/>
        <w:jc w:val="both"/>
      </w:pPr>
      <w:r>
        <w:rPr>
          <w:b/>
        </w:rPr>
        <w:t xml:space="preserve">Abstract: </w:t>
      </w:r>
      <w:r w:rsidR="00811B14" w:rsidRPr="00811B14">
        <w:t xml:space="preserve">The General Data </w:t>
      </w:r>
      <w:proofErr w:type="spellStart"/>
      <w:r w:rsidR="00811B14" w:rsidRPr="00811B14">
        <w:t>Protection</w:t>
      </w:r>
      <w:proofErr w:type="spellEnd"/>
      <w:r w:rsidR="00811B14" w:rsidRPr="00811B14">
        <w:t xml:space="preserve"> Law (LGPD) </w:t>
      </w:r>
      <w:proofErr w:type="spellStart"/>
      <w:r w:rsidR="00811B14" w:rsidRPr="00811B14">
        <w:t>brought</w:t>
      </w:r>
      <w:proofErr w:type="spellEnd"/>
      <w:r w:rsidR="00811B14" w:rsidRPr="00811B14">
        <w:t xml:space="preserve"> a new </w:t>
      </w:r>
      <w:proofErr w:type="spellStart"/>
      <w:r w:rsidR="00811B14" w:rsidRPr="00811B14">
        <w:t>dynamic</w:t>
      </w:r>
      <w:proofErr w:type="spellEnd"/>
      <w:r w:rsidR="00811B14" w:rsidRPr="00811B14">
        <w:t xml:space="preserve"> </w:t>
      </w:r>
      <w:proofErr w:type="spellStart"/>
      <w:r w:rsidR="00811B14" w:rsidRPr="00811B14">
        <w:t>to</w:t>
      </w:r>
      <w:proofErr w:type="spellEnd"/>
      <w:r w:rsidR="00811B14" w:rsidRPr="00811B14">
        <w:t xml:space="preserve"> </w:t>
      </w:r>
      <w:proofErr w:type="spellStart"/>
      <w:r w:rsidR="00811B14" w:rsidRPr="00811B14">
        <w:t>the</w:t>
      </w:r>
      <w:proofErr w:type="spellEnd"/>
      <w:r w:rsidR="00811B14" w:rsidRPr="00811B14">
        <w:t xml:space="preserve"> </w:t>
      </w:r>
      <w:proofErr w:type="spellStart"/>
      <w:r w:rsidR="00811B14" w:rsidRPr="00811B14">
        <w:t>personal</w:t>
      </w:r>
      <w:proofErr w:type="spellEnd"/>
      <w:r w:rsidR="00811B14" w:rsidRPr="00811B14">
        <w:t xml:space="preserve"> data</w:t>
      </w:r>
      <w:r w:rsidR="00811B14">
        <w:t xml:space="preserve"> </w:t>
      </w:r>
      <w:proofErr w:type="spellStart"/>
      <w:r w:rsidR="00811B14">
        <w:t>treament</w:t>
      </w:r>
      <w:proofErr w:type="spellEnd"/>
      <w:r w:rsidR="00811B14" w:rsidRPr="00811B14">
        <w:t xml:space="preserve">, </w:t>
      </w:r>
      <w:proofErr w:type="spellStart"/>
      <w:r w:rsidR="00811B14" w:rsidRPr="00811B14">
        <w:t>seeking</w:t>
      </w:r>
      <w:proofErr w:type="spellEnd"/>
      <w:r w:rsidR="00811B14" w:rsidRPr="00811B14">
        <w:t xml:space="preserve"> </w:t>
      </w:r>
      <w:proofErr w:type="spellStart"/>
      <w:r w:rsidR="00811B14" w:rsidRPr="00811B14">
        <w:t>to</w:t>
      </w:r>
      <w:proofErr w:type="spellEnd"/>
      <w:r w:rsidR="00811B14" w:rsidRPr="00811B14">
        <w:t xml:space="preserve"> </w:t>
      </w:r>
      <w:proofErr w:type="spellStart"/>
      <w:r w:rsidR="00811B14" w:rsidRPr="00811B14">
        <w:t>protect</w:t>
      </w:r>
      <w:proofErr w:type="spellEnd"/>
      <w:r w:rsidR="00811B14" w:rsidRPr="00811B14">
        <w:t xml:space="preserve"> individual </w:t>
      </w:r>
      <w:proofErr w:type="spellStart"/>
      <w:r w:rsidR="00811B14" w:rsidRPr="00811B14">
        <w:t>freedom</w:t>
      </w:r>
      <w:proofErr w:type="spellEnd"/>
      <w:r w:rsidR="00811B14" w:rsidRPr="00811B14">
        <w:t xml:space="preserve"> </w:t>
      </w:r>
      <w:proofErr w:type="spellStart"/>
      <w:r w:rsidR="00811B14" w:rsidRPr="00811B14">
        <w:t>and</w:t>
      </w:r>
      <w:proofErr w:type="spellEnd"/>
      <w:r w:rsidR="00811B14" w:rsidRPr="00811B14">
        <w:t xml:space="preserve"> </w:t>
      </w:r>
      <w:proofErr w:type="spellStart"/>
      <w:r w:rsidR="00811B14" w:rsidRPr="00811B14">
        <w:t>privacy</w:t>
      </w:r>
      <w:proofErr w:type="spellEnd"/>
      <w:r w:rsidR="00811B14" w:rsidRPr="00811B14">
        <w:t xml:space="preserve">. </w:t>
      </w:r>
      <w:proofErr w:type="spellStart"/>
      <w:r w:rsidR="00811B14" w:rsidRPr="00811B14">
        <w:t>With</w:t>
      </w:r>
      <w:proofErr w:type="spellEnd"/>
      <w:r w:rsidR="00811B14" w:rsidRPr="00811B14">
        <w:t xml:space="preserve"> its </w:t>
      </w:r>
      <w:proofErr w:type="spellStart"/>
      <w:r w:rsidR="00811B14" w:rsidRPr="00811B14">
        <w:t>advent</w:t>
      </w:r>
      <w:proofErr w:type="spellEnd"/>
      <w:r w:rsidR="00811B14" w:rsidRPr="00811B14">
        <w:t xml:space="preserve">, </w:t>
      </w:r>
      <w:proofErr w:type="spellStart"/>
      <w:r w:rsidR="00811B14" w:rsidRPr="00811B14">
        <w:t>questions</w:t>
      </w:r>
      <w:proofErr w:type="spellEnd"/>
      <w:r w:rsidR="00811B14" w:rsidRPr="00811B14">
        <w:t xml:space="preserve"> </w:t>
      </w:r>
      <w:proofErr w:type="spellStart"/>
      <w:r w:rsidR="00811B14" w:rsidRPr="00811B14">
        <w:t>about</w:t>
      </w:r>
      <w:proofErr w:type="spellEnd"/>
      <w:r w:rsidR="00811B14" w:rsidRPr="00811B14">
        <w:t xml:space="preserve"> its negative </w:t>
      </w:r>
      <w:proofErr w:type="spellStart"/>
      <w:r w:rsidR="00811B14" w:rsidRPr="00811B14">
        <w:t>impact</w:t>
      </w:r>
      <w:proofErr w:type="spellEnd"/>
      <w:r w:rsidR="00811B14" w:rsidRPr="00811B14">
        <w:t xml:space="preserve"> </w:t>
      </w:r>
      <w:proofErr w:type="spellStart"/>
      <w:r w:rsidR="00811B14" w:rsidRPr="00811B14">
        <w:t>on</w:t>
      </w:r>
      <w:proofErr w:type="spellEnd"/>
      <w:r w:rsidR="00811B14" w:rsidRPr="00811B14">
        <w:t xml:space="preserve"> </w:t>
      </w:r>
      <w:proofErr w:type="spellStart"/>
      <w:r w:rsidR="00811B14" w:rsidRPr="00811B14">
        <w:t>access</w:t>
      </w:r>
      <w:proofErr w:type="spellEnd"/>
      <w:r w:rsidR="00811B14" w:rsidRPr="00811B14">
        <w:t xml:space="preserve"> </w:t>
      </w:r>
      <w:proofErr w:type="spellStart"/>
      <w:r w:rsidR="00811B14" w:rsidRPr="00811B14">
        <w:t>to</w:t>
      </w:r>
      <w:proofErr w:type="spellEnd"/>
      <w:r w:rsidR="00811B14" w:rsidRPr="00811B14">
        <w:t xml:space="preserve"> </w:t>
      </w:r>
      <w:proofErr w:type="spellStart"/>
      <w:r w:rsidR="00811B14" w:rsidRPr="00811B14">
        <w:t>information</w:t>
      </w:r>
      <w:proofErr w:type="spellEnd"/>
      <w:r w:rsidR="00811B14" w:rsidRPr="00811B14">
        <w:t xml:space="preserve"> </w:t>
      </w:r>
      <w:proofErr w:type="spellStart"/>
      <w:r w:rsidR="00811B14" w:rsidRPr="00811B14">
        <w:t>of</w:t>
      </w:r>
      <w:proofErr w:type="spellEnd"/>
      <w:r w:rsidR="00811B14" w:rsidRPr="00811B14">
        <w:t xml:space="preserve"> </w:t>
      </w:r>
      <w:proofErr w:type="spellStart"/>
      <w:r w:rsidR="00811B14" w:rsidRPr="00811B14">
        <w:t>public</w:t>
      </w:r>
      <w:proofErr w:type="spellEnd"/>
      <w:r w:rsidR="00811B14" w:rsidRPr="00811B14">
        <w:t xml:space="preserve"> </w:t>
      </w:r>
      <w:proofErr w:type="spellStart"/>
      <w:r w:rsidR="00811B14" w:rsidRPr="00811B14">
        <w:t>interest</w:t>
      </w:r>
      <w:proofErr w:type="spellEnd"/>
      <w:r w:rsidR="00811B14" w:rsidRPr="00811B14">
        <w:t xml:space="preserve"> </w:t>
      </w:r>
      <w:proofErr w:type="spellStart"/>
      <w:r w:rsidR="00811B14" w:rsidRPr="00811B14">
        <w:t>requested</w:t>
      </w:r>
      <w:proofErr w:type="spellEnd"/>
      <w:r w:rsidR="00811B14" w:rsidRPr="00811B14">
        <w:t xml:space="preserve"> </w:t>
      </w:r>
      <w:proofErr w:type="spellStart"/>
      <w:r w:rsidR="00811B14" w:rsidRPr="00811B14">
        <w:t>based</w:t>
      </w:r>
      <w:proofErr w:type="spellEnd"/>
      <w:r w:rsidR="00811B14" w:rsidRPr="00811B14">
        <w:t xml:space="preserve"> </w:t>
      </w:r>
      <w:proofErr w:type="spellStart"/>
      <w:r w:rsidR="00811B14" w:rsidRPr="00811B14">
        <w:t>on</w:t>
      </w:r>
      <w:proofErr w:type="spellEnd"/>
      <w:r w:rsidR="00811B14" w:rsidRPr="00811B14">
        <w:t xml:space="preserve"> </w:t>
      </w:r>
      <w:proofErr w:type="spellStart"/>
      <w:r w:rsidR="00811B14" w:rsidRPr="00811B14">
        <w:t>the</w:t>
      </w:r>
      <w:proofErr w:type="spellEnd"/>
      <w:r w:rsidR="00811B14" w:rsidRPr="00811B14">
        <w:t xml:space="preserve"> Access </w:t>
      </w:r>
      <w:proofErr w:type="spellStart"/>
      <w:r w:rsidR="00811B14" w:rsidRPr="00811B14">
        <w:t>to</w:t>
      </w:r>
      <w:proofErr w:type="spellEnd"/>
      <w:r w:rsidR="00811B14" w:rsidRPr="00811B14">
        <w:t xml:space="preserve"> </w:t>
      </w:r>
      <w:proofErr w:type="spellStart"/>
      <w:r w:rsidR="00811B14" w:rsidRPr="00811B14">
        <w:t>Information</w:t>
      </w:r>
      <w:proofErr w:type="spellEnd"/>
      <w:r w:rsidR="00811B14" w:rsidRPr="00811B14">
        <w:t xml:space="preserve"> Law (LAI) </w:t>
      </w:r>
      <w:proofErr w:type="spellStart"/>
      <w:r w:rsidR="00811B14" w:rsidRPr="00811B14">
        <w:t>have</w:t>
      </w:r>
      <w:proofErr w:type="spellEnd"/>
      <w:r w:rsidR="00811B14" w:rsidRPr="00811B14">
        <w:t xml:space="preserve"> </w:t>
      </w:r>
      <w:proofErr w:type="spellStart"/>
      <w:r w:rsidR="00811B14" w:rsidRPr="00811B14">
        <w:t>been</w:t>
      </w:r>
      <w:proofErr w:type="spellEnd"/>
      <w:r w:rsidR="00811B14" w:rsidRPr="00811B14">
        <w:t xml:space="preserve"> </w:t>
      </w:r>
      <w:proofErr w:type="spellStart"/>
      <w:r w:rsidR="00811B14" w:rsidRPr="00811B14">
        <w:t>raised</w:t>
      </w:r>
      <w:proofErr w:type="spellEnd"/>
      <w:r w:rsidR="00811B14" w:rsidRPr="00811B14">
        <w:t xml:space="preserve">. </w:t>
      </w:r>
      <w:proofErr w:type="spellStart"/>
      <w:r w:rsidR="00042150">
        <w:t>This</w:t>
      </w:r>
      <w:proofErr w:type="spellEnd"/>
      <w:r w:rsidR="00811B14" w:rsidRPr="00811B14">
        <w:t xml:space="preserve"> </w:t>
      </w:r>
      <w:proofErr w:type="spellStart"/>
      <w:r w:rsidR="00811B14" w:rsidRPr="00811B14">
        <w:t>study</w:t>
      </w:r>
      <w:proofErr w:type="spellEnd"/>
      <w:r w:rsidR="00811B14" w:rsidRPr="00811B14">
        <w:t xml:space="preserve"> </w:t>
      </w:r>
      <w:proofErr w:type="spellStart"/>
      <w:r w:rsidR="00811B14" w:rsidRPr="00811B14">
        <w:t>seeks</w:t>
      </w:r>
      <w:proofErr w:type="spellEnd"/>
      <w:r w:rsidR="00811B14" w:rsidRPr="00811B14">
        <w:t xml:space="preserve"> </w:t>
      </w:r>
      <w:proofErr w:type="spellStart"/>
      <w:r w:rsidR="00811B14" w:rsidRPr="00811B14">
        <w:t>to</w:t>
      </w:r>
      <w:proofErr w:type="spellEnd"/>
      <w:r w:rsidR="00811B14" w:rsidRPr="00811B14">
        <w:t xml:space="preserve"> </w:t>
      </w:r>
      <w:proofErr w:type="spellStart"/>
      <w:r w:rsidR="00811B14" w:rsidRPr="00811B14">
        <w:t>verify</w:t>
      </w:r>
      <w:proofErr w:type="spellEnd"/>
      <w:r w:rsidR="00811B14" w:rsidRPr="00811B14">
        <w:t xml:space="preserve"> </w:t>
      </w:r>
      <w:proofErr w:type="spellStart"/>
      <w:r w:rsidR="00811B14" w:rsidRPr="00811B14">
        <w:t>whether</w:t>
      </w:r>
      <w:proofErr w:type="spellEnd"/>
      <w:r w:rsidR="00811B14" w:rsidRPr="00811B14">
        <w:t xml:space="preserve"> </w:t>
      </w:r>
      <w:proofErr w:type="spellStart"/>
      <w:r w:rsidR="00811B14" w:rsidRPr="00811B14">
        <w:t>the</w:t>
      </w:r>
      <w:proofErr w:type="spellEnd"/>
      <w:r w:rsidR="00811B14" w:rsidRPr="00811B14">
        <w:t xml:space="preserve"> LGPD </w:t>
      </w:r>
      <w:proofErr w:type="spellStart"/>
      <w:r w:rsidR="00811B14" w:rsidRPr="00811B14">
        <w:t>impacts</w:t>
      </w:r>
      <w:proofErr w:type="spellEnd"/>
      <w:r w:rsidR="00811B14" w:rsidRPr="00811B14">
        <w:t xml:space="preserve"> </w:t>
      </w:r>
      <w:proofErr w:type="spellStart"/>
      <w:r w:rsidR="00811B14" w:rsidRPr="00811B14">
        <w:t>the</w:t>
      </w:r>
      <w:proofErr w:type="spellEnd"/>
      <w:r w:rsidR="00811B14" w:rsidRPr="00811B14">
        <w:t xml:space="preserve"> rate </w:t>
      </w:r>
      <w:proofErr w:type="spellStart"/>
      <w:r w:rsidR="00811B14" w:rsidRPr="00811B14">
        <w:t>of</w:t>
      </w:r>
      <w:proofErr w:type="spellEnd"/>
      <w:r w:rsidR="00811B14" w:rsidRPr="00811B14">
        <w:t xml:space="preserve"> </w:t>
      </w:r>
      <w:proofErr w:type="spellStart"/>
      <w:r w:rsidR="00811B14" w:rsidRPr="00811B14">
        <w:t>denial</w:t>
      </w:r>
      <w:proofErr w:type="spellEnd"/>
      <w:r w:rsidR="00811B14" w:rsidRPr="00811B14">
        <w:t xml:space="preserve"> </w:t>
      </w:r>
      <w:proofErr w:type="spellStart"/>
      <w:r w:rsidR="00811B14" w:rsidRPr="00811B14">
        <w:t>of</w:t>
      </w:r>
      <w:proofErr w:type="spellEnd"/>
      <w:r w:rsidR="00811B14" w:rsidRPr="00811B14">
        <w:t xml:space="preserve"> </w:t>
      </w:r>
      <w:proofErr w:type="spellStart"/>
      <w:r w:rsidR="00811B14" w:rsidRPr="00811B14">
        <w:t>requests</w:t>
      </w:r>
      <w:proofErr w:type="spellEnd"/>
      <w:r w:rsidR="00811B14" w:rsidRPr="00811B14">
        <w:t xml:space="preserve"> for </w:t>
      </w:r>
      <w:proofErr w:type="spellStart"/>
      <w:r w:rsidR="00811B14" w:rsidRPr="00811B14">
        <w:t>information</w:t>
      </w:r>
      <w:proofErr w:type="spellEnd"/>
      <w:r w:rsidR="00811B14" w:rsidRPr="00811B14">
        <w:t xml:space="preserve">. The </w:t>
      </w:r>
      <w:proofErr w:type="spellStart"/>
      <w:r w:rsidR="00811B14" w:rsidRPr="00811B14">
        <w:t>monthly</w:t>
      </w:r>
      <w:proofErr w:type="spellEnd"/>
      <w:r w:rsidR="00811B14" w:rsidRPr="00811B14">
        <w:t xml:space="preserve"> </w:t>
      </w:r>
      <w:proofErr w:type="spellStart"/>
      <w:r w:rsidR="00811B14" w:rsidRPr="00811B14">
        <w:t>percentages</w:t>
      </w:r>
      <w:proofErr w:type="spellEnd"/>
      <w:r w:rsidR="00811B14" w:rsidRPr="00811B14">
        <w:t xml:space="preserve"> </w:t>
      </w:r>
      <w:proofErr w:type="spellStart"/>
      <w:r w:rsidR="00811B14" w:rsidRPr="00811B14">
        <w:t>of</w:t>
      </w:r>
      <w:proofErr w:type="spellEnd"/>
      <w:r w:rsidR="00811B14" w:rsidRPr="00811B14">
        <w:t xml:space="preserve"> </w:t>
      </w:r>
      <w:proofErr w:type="spellStart"/>
      <w:r w:rsidR="00811B14" w:rsidRPr="00811B14">
        <w:t>denial</w:t>
      </w:r>
      <w:proofErr w:type="spellEnd"/>
      <w:r w:rsidR="00811B14" w:rsidRPr="00811B14">
        <w:t xml:space="preserve"> </w:t>
      </w:r>
      <w:proofErr w:type="spellStart"/>
      <w:r w:rsidR="00811B14" w:rsidRPr="00811B14">
        <w:t>of</w:t>
      </w:r>
      <w:proofErr w:type="spellEnd"/>
      <w:r w:rsidR="00811B14" w:rsidRPr="00811B14">
        <w:t xml:space="preserve"> </w:t>
      </w:r>
      <w:proofErr w:type="spellStart"/>
      <w:r w:rsidR="00811B14" w:rsidRPr="00811B14">
        <w:t>access</w:t>
      </w:r>
      <w:proofErr w:type="spellEnd"/>
      <w:r w:rsidR="00811B14" w:rsidRPr="00811B14">
        <w:t xml:space="preserve"> </w:t>
      </w:r>
      <w:proofErr w:type="spellStart"/>
      <w:r w:rsidR="00811B14" w:rsidRPr="00811B14">
        <w:t>were</w:t>
      </w:r>
      <w:proofErr w:type="spellEnd"/>
      <w:r w:rsidR="00811B14" w:rsidRPr="00811B14">
        <w:t xml:space="preserve"> </w:t>
      </w:r>
      <w:proofErr w:type="spellStart"/>
      <w:r w:rsidR="00811B14" w:rsidRPr="00811B14">
        <w:t>compared</w:t>
      </w:r>
      <w:proofErr w:type="spellEnd"/>
      <w:r w:rsidR="00811B14" w:rsidRPr="00811B14">
        <w:t xml:space="preserve"> in </w:t>
      </w:r>
      <w:proofErr w:type="spellStart"/>
      <w:r w:rsidR="00811B14" w:rsidRPr="00811B14">
        <w:t>two</w:t>
      </w:r>
      <w:proofErr w:type="spellEnd"/>
      <w:r w:rsidR="00811B14" w:rsidRPr="00811B14">
        <w:t xml:space="preserve"> </w:t>
      </w:r>
      <w:proofErr w:type="spellStart"/>
      <w:r w:rsidR="00811B14" w:rsidRPr="00811B14">
        <w:t>groups</w:t>
      </w:r>
      <w:proofErr w:type="spellEnd"/>
      <w:r w:rsidR="00811B14" w:rsidRPr="00811B14">
        <w:t xml:space="preserve">, </w:t>
      </w:r>
      <w:proofErr w:type="spellStart"/>
      <w:r w:rsidR="00811B14" w:rsidRPr="00811B14">
        <w:t>before</w:t>
      </w:r>
      <w:proofErr w:type="spellEnd"/>
      <w:r w:rsidR="00811B14" w:rsidRPr="00811B14">
        <w:t xml:space="preserve"> </w:t>
      </w:r>
      <w:proofErr w:type="spellStart"/>
      <w:r w:rsidR="00811B14" w:rsidRPr="00811B14">
        <w:t>and</w:t>
      </w:r>
      <w:proofErr w:type="spellEnd"/>
      <w:r w:rsidR="00811B14" w:rsidRPr="00811B14">
        <w:t xml:space="preserve"> </w:t>
      </w:r>
      <w:proofErr w:type="spellStart"/>
      <w:r w:rsidR="00811B14" w:rsidRPr="00811B14">
        <w:t>after</w:t>
      </w:r>
      <w:proofErr w:type="spellEnd"/>
      <w:r w:rsidR="00811B14" w:rsidRPr="00811B14">
        <w:t xml:space="preserve"> </w:t>
      </w:r>
      <w:proofErr w:type="spellStart"/>
      <w:r w:rsidR="00811B14" w:rsidRPr="00811B14">
        <w:t>the</w:t>
      </w:r>
      <w:proofErr w:type="spellEnd"/>
      <w:r w:rsidR="00811B14" w:rsidRPr="00811B14">
        <w:t xml:space="preserve"> LGPD came </w:t>
      </w:r>
      <w:proofErr w:type="spellStart"/>
      <w:r w:rsidR="00811B14" w:rsidRPr="00811B14">
        <w:t>into</w:t>
      </w:r>
      <w:proofErr w:type="spellEnd"/>
      <w:r w:rsidR="00811B14" w:rsidRPr="00811B14">
        <w:t xml:space="preserve"> force. The </w:t>
      </w:r>
      <w:proofErr w:type="spellStart"/>
      <w:r w:rsidR="00811B14" w:rsidRPr="00811B14">
        <w:t>results</w:t>
      </w:r>
      <w:proofErr w:type="spellEnd"/>
      <w:r w:rsidR="00811B14" w:rsidRPr="00811B14">
        <w:t xml:space="preserve"> </w:t>
      </w:r>
      <w:proofErr w:type="spellStart"/>
      <w:r w:rsidR="00811B14" w:rsidRPr="00811B14">
        <w:t>indicate</w:t>
      </w:r>
      <w:proofErr w:type="spellEnd"/>
      <w:r w:rsidR="00811B14" w:rsidRPr="00811B14">
        <w:t xml:space="preserve"> </w:t>
      </w:r>
      <w:proofErr w:type="spellStart"/>
      <w:r w:rsidR="00811B14" w:rsidRPr="00811B14">
        <w:t>that</w:t>
      </w:r>
      <w:proofErr w:type="spellEnd"/>
      <w:r w:rsidR="00811B14" w:rsidRPr="00811B14">
        <w:t xml:space="preserve"> </w:t>
      </w:r>
      <w:proofErr w:type="spellStart"/>
      <w:r w:rsidR="00811B14" w:rsidRPr="00811B14">
        <w:t>there</w:t>
      </w:r>
      <w:proofErr w:type="spellEnd"/>
      <w:r w:rsidR="00811B14" w:rsidRPr="00811B14">
        <w:t xml:space="preserve"> </w:t>
      </w:r>
      <w:proofErr w:type="spellStart"/>
      <w:r w:rsidR="00811B14" w:rsidRPr="00811B14">
        <w:t>is</w:t>
      </w:r>
      <w:proofErr w:type="spellEnd"/>
      <w:r w:rsidR="00811B14" w:rsidRPr="00811B14">
        <w:t xml:space="preserve"> no </w:t>
      </w:r>
      <w:proofErr w:type="spellStart"/>
      <w:r w:rsidR="00811B14" w:rsidRPr="00811B14">
        <w:t>statistically</w:t>
      </w:r>
      <w:proofErr w:type="spellEnd"/>
      <w:r w:rsidR="00811B14" w:rsidRPr="00811B14">
        <w:t xml:space="preserve"> </w:t>
      </w:r>
      <w:proofErr w:type="spellStart"/>
      <w:r w:rsidR="00811B14" w:rsidRPr="00811B14">
        <w:t>significant</w:t>
      </w:r>
      <w:proofErr w:type="spellEnd"/>
      <w:r w:rsidR="00811B14" w:rsidRPr="00811B14">
        <w:t xml:space="preserve"> </w:t>
      </w:r>
      <w:proofErr w:type="spellStart"/>
      <w:r w:rsidR="00811B14" w:rsidRPr="00811B14">
        <w:t>difference</w:t>
      </w:r>
      <w:proofErr w:type="spellEnd"/>
      <w:r w:rsidR="00811B14" w:rsidRPr="00811B14">
        <w:t xml:space="preserve"> </w:t>
      </w:r>
      <w:proofErr w:type="spellStart"/>
      <w:r w:rsidR="00811B14" w:rsidRPr="00811B14">
        <w:t>between</w:t>
      </w:r>
      <w:proofErr w:type="spellEnd"/>
      <w:r w:rsidR="00811B14" w:rsidRPr="00811B14">
        <w:t xml:space="preserve"> </w:t>
      </w:r>
      <w:proofErr w:type="spellStart"/>
      <w:r w:rsidR="00811B14" w:rsidRPr="00811B14">
        <w:t>these</w:t>
      </w:r>
      <w:proofErr w:type="spellEnd"/>
      <w:r w:rsidR="00811B14" w:rsidRPr="00811B14">
        <w:t xml:space="preserve"> </w:t>
      </w:r>
      <w:proofErr w:type="spellStart"/>
      <w:r w:rsidR="00811B14" w:rsidRPr="00811B14">
        <w:t>groups</w:t>
      </w:r>
      <w:proofErr w:type="spellEnd"/>
      <w:r w:rsidR="00811B14" w:rsidRPr="00811B14">
        <w:t>.</w:t>
      </w:r>
    </w:p>
    <w:p w14:paraId="53498DBB" w14:textId="77777777" w:rsidR="00222EC5" w:rsidRDefault="00917482">
      <w:pPr>
        <w:pStyle w:val="Corpodetexto"/>
        <w:spacing w:before="1"/>
        <w:ind w:left="0"/>
        <w:rPr>
          <w:sz w:val="34"/>
        </w:rPr>
      </w:pPr>
    </w:p>
    <w:p w14:paraId="509FB08A" w14:textId="77777777" w:rsidR="00425CE7" w:rsidRDefault="000E5BEC">
      <w:pPr>
        <w:pStyle w:val="Corpodetexto"/>
        <w:spacing w:before="0" w:line="369" w:lineRule="auto"/>
        <w:ind w:right="227"/>
        <w:jc w:val="both"/>
        <w:rPr>
          <w:spacing w:val="1"/>
        </w:rPr>
        <w:sectPr w:rsidR="00425CE7">
          <w:headerReference w:type="even" r:id="rId9"/>
          <w:headerReference w:type="default" r:id="rId10"/>
          <w:footerReference w:type="even" r:id="rId11"/>
          <w:footerReference w:type="default" r:id="rId12"/>
          <w:pgSz w:w="11920" w:h="16860"/>
          <w:pgMar w:top="1340" w:right="1480" w:bottom="900" w:left="1460" w:header="740" w:footer="712" w:gutter="0"/>
          <w:cols w:space="720"/>
        </w:sectPr>
      </w:pPr>
      <w:r>
        <w:rPr>
          <w:b/>
        </w:rPr>
        <w:t>Keywords</w:t>
      </w:r>
      <w:r>
        <w:t>:</w:t>
      </w:r>
      <w:r>
        <w:rPr>
          <w:spacing w:val="1"/>
        </w:rPr>
        <w:t xml:space="preserve"> </w:t>
      </w:r>
      <w:r w:rsidR="00861B41">
        <w:rPr>
          <w:spacing w:val="1"/>
        </w:rPr>
        <w:t>LGPD</w:t>
      </w:r>
      <w:r w:rsidR="00042150">
        <w:rPr>
          <w:spacing w:val="1"/>
        </w:rPr>
        <w:t>, LAI</w:t>
      </w:r>
      <w:r w:rsidR="00861B41">
        <w:rPr>
          <w:spacing w:val="1"/>
        </w:rPr>
        <w:t xml:space="preserve">, </w:t>
      </w:r>
      <w:proofErr w:type="spellStart"/>
      <w:r w:rsidR="00861B41">
        <w:rPr>
          <w:spacing w:val="1"/>
        </w:rPr>
        <w:t>Transparency</w:t>
      </w:r>
      <w:proofErr w:type="spellEnd"/>
      <w:r w:rsidR="00861B41">
        <w:rPr>
          <w:spacing w:val="1"/>
        </w:rPr>
        <w:t xml:space="preserve">, </w:t>
      </w:r>
      <w:proofErr w:type="spellStart"/>
      <w:r w:rsidR="00861B41">
        <w:rPr>
          <w:spacing w:val="1"/>
        </w:rPr>
        <w:t>Right</w:t>
      </w:r>
      <w:proofErr w:type="spellEnd"/>
      <w:r w:rsidR="00861B41">
        <w:rPr>
          <w:spacing w:val="1"/>
        </w:rPr>
        <w:t xml:space="preserve"> </w:t>
      </w:r>
      <w:proofErr w:type="spellStart"/>
      <w:r w:rsidR="00861B41">
        <w:rPr>
          <w:spacing w:val="1"/>
        </w:rPr>
        <w:t>to</w:t>
      </w:r>
      <w:proofErr w:type="spellEnd"/>
      <w:r w:rsidR="00861B41">
        <w:rPr>
          <w:spacing w:val="1"/>
        </w:rPr>
        <w:t xml:space="preserve"> </w:t>
      </w:r>
      <w:proofErr w:type="spellStart"/>
      <w:r w:rsidR="00861B41">
        <w:rPr>
          <w:spacing w:val="1"/>
        </w:rPr>
        <w:t>Information</w:t>
      </w:r>
      <w:proofErr w:type="spellEnd"/>
    </w:p>
    <w:p w14:paraId="544B54A5" w14:textId="4AABBF3F" w:rsidR="00222EC5" w:rsidRPr="00861B41" w:rsidRDefault="000E5BEC" w:rsidP="00861B41">
      <w:pPr>
        <w:pStyle w:val="Ttulo1"/>
        <w:spacing w:before="120" w:after="120" w:line="360" w:lineRule="auto"/>
        <w:jc w:val="both"/>
        <w:rPr>
          <w:color w:val="auto"/>
          <w:spacing w:val="-5"/>
        </w:rPr>
      </w:pPr>
      <w:r w:rsidRPr="00861B41">
        <w:rPr>
          <w:color w:val="auto"/>
        </w:rPr>
        <w:lastRenderedPageBreak/>
        <w:t>1.</w:t>
      </w:r>
      <w:r w:rsidRPr="00861B41">
        <w:rPr>
          <w:color w:val="auto"/>
          <w:spacing w:val="-5"/>
        </w:rPr>
        <w:t xml:space="preserve"> </w:t>
      </w:r>
      <w:r w:rsidRPr="00861B41">
        <w:rPr>
          <w:color w:val="auto"/>
        </w:rPr>
        <w:t xml:space="preserve">Introdução </w:t>
      </w:r>
    </w:p>
    <w:p w14:paraId="72BBB5D8" w14:textId="70121DD8" w:rsidR="0036041F" w:rsidRDefault="0036041F" w:rsidP="00861B41">
      <w:pPr>
        <w:pStyle w:val="Corpodetexto"/>
        <w:spacing w:before="120" w:after="120" w:line="360" w:lineRule="auto"/>
        <w:ind w:left="0" w:right="227"/>
        <w:jc w:val="both"/>
        <w:rPr>
          <w:spacing w:val="-2"/>
        </w:rPr>
      </w:pPr>
      <w:r>
        <w:rPr>
          <w:spacing w:val="-2"/>
        </w:rPr>
        <w:tab/>
      </w:r>
      <w:r w:rsidR="00D07F43">
        <w:rPr>
          <w:spacing w:val="-2"/>
        </w:rPr>
        <w:t>A Constituição Federal de 1988</w:t>
      </w:r>
      <w:r w:rsidR="0001675D">
        <w:rPr>
          <w:spacing w:val="-2"/>
        </w:rPr>
        <w:t xml:space="preserve"> (Brasil, 1988)</w:t>
      </w:r>
      <w:r w:rsidR="00D07F43">
        <w:rPr>
          <w:spacing w:val="-2"/>
        </w:rPr>
        <w:t xml:space="preserve"> reconhece o direito de acesso à informação em seu</w:t>
      </w:r>
      <w:r w:rsidR="0001675D">
        <w:rPr>
          <w:spacing w:val="-2"/>
        </w:rPr>
        <w:t xml:space="preserve"> inciso XXXIII do</w:t>
      </w:r>
      <w:r w:rsidR="00D07F43">
        <w:rPr>
          <w:spacing w:val="-2"/>
        </w:rPr>
        <w:t xml:space="preserve"> ar</w:t>
      </w:r>
      <w:r w:rsidR="0001675D">
        <w:rPr>
          <w:spacing w:val="-2"/>
        </w:rPr>
        <w:t>t. 5º</w:t>
      </w:r>
      <w:r w:rsidR="00F552BD">
        <w:rPr>
          <w:spacing w:val="-2"/>
        </w:rPr>
        <w:t xml:space="preserve">. Desde sua promulgação, diversas leis, decretos e portarias foram publicadas para regulamentar questões relacionadas a informações de interesse público. </w:t>
      </w:r>
      <w:r w:rsidR="000E3C2F">
        <w:rPr>
          <w:spacing w:val="-2"/>
        </w:rPr>
        <w:t>Destacam-se a Lei de Responsabilidade Fiscal (</w:t>
      </w:r>
      <w:r w:rsidR="0024260B">
        <w:rPr>
          <w:spacing w:val="-2"/>
        </w:rPr>
        <w:t>Brasil, 2000</w:t>
      </w:r>
      <w:r w:rsidR="000E3C2F">
        <w:rPr>
          <w:spacing w:val="-2"/>
        </w:rPr>
        <w:t>), que inova ao prever diversos instrumentos de transparência da gestão fiscal e a Lei Complementar nº 131/2009 (</w:t>
      </w:r>
      <w:r w:rsidR="0024260B">
        <w:rPr>
          <w:spacing w:val="-2"/>
        </w:rPr>
        <w:t>Brasil, 2009</w:t>
      </w:r>
      <w:r w:rsidR="000E3C2F">
        <w:rPr>
          <w:spacing w:val="-2"/>
        </w:rPr>
        <w:t xml:space="preserve">), que determina a criação dos portais de transparências dos entes da federação com informações especificadas na lei, sob pena de sanções. </w:t>
      </w:r>
    </w:p>
    <w:p w14:paraId="42C46EDA" w14:textId="75F8E6B6" w:rsidR="0036041F" w:rsidRDefault="0036041F" w:rsidP="00861B41">
      <w:pPr>
        <w:pStyle w:val="Corpodetexto"/>
        <w:spacing w:before="120" w:after="120" w:line="360" w:lineRule="auto"/>
        <w:ind w:left="0" w:right="227"/>
        <w:jc w:val="both"/>
        <w:rPr>
          <w:spacing w:val="-2"/>
        </w:rPr>
      </w:pPr>
      <w:r>
        <w:rPr>
          <w:spacing w:val="-2"/>
        </w:rPr>
        <w:tab/>
        <w:t xml:space="preserve">A </w:t>
      </w:r>
      <w:r w:rsidR="00E46822">
        <w:rPr>
          <w:spacing w:val="-2"/>
        </w:rPr>
        <w:t xml:space="preserve">Lei nº 12.527 (Brasil, 2011) tramitou no Congresso Nacional por vários anos até sua sanção em 18 de novembro de 2011 e entrada em vigor em 16 de maio de 2012. Apelidada de Lei de Acesso à Informação, tem como objetivo </w:t>
      </w:r>
      <w:r w:rsidR="00322001">
        <w:rPr>
          <w:spacing w:val="-2"/>
        </w:rPr>
        <w:t>estabelecer a publicidade das informações de interesse público como regra e o sigilo como exceção, além de estimular a cultura da transparência e do controle social. De acordo com a lei, não basta que a Administração divulgue informações de forma ativa, mas também deve responder às solicitações de informação feitas pelo</w:t>
      </w:r>
      <w:r w:rsidR="000C6CB1">
        <w:rPr>
          <w:spacing w:val="-2"/>
        </w:rPr>
        <w:t>s cidadãos por meio dos Serviços de Informação ao Cidadão (SIC).</w:t>
      </w:r>
    </w:p>
    <w:p w14:paraId="5361E3A7" w14:textId="1585BA87" w:rsidR="0036041F" w:rsidRDefault="0036041F" w:rsidP="00861B41">
      <w:pPr>
        <w:pStyle w:val="Corpodetexto"/>
        <w:spacing w:before="120" w:after="120" w:line="360" w:lineRule="auto"/>
        <w:ind w:left="0" w:right="227"/>
        <w:jc w:val="both"/>
        <w:rPr>
          <w:spacing w:val="-2"/>
        </w:rPr>
      </w:pPr>
      <w:r>
        <w:rPr>
          <w:spacing w:val="-2"/>
        </w:rPr>
        <w:tab/>
        <w:t xml:space="preserve">A </w:t>
      </w:r>
      <w:r w:rsidR="001A52DC">
        <w:rPr>
          <w:spacing w:val="-2"/>
        </w:rPr>
        <w:t>Lei nº 13.709 (Brasil, 2018), apelidada de Lei Geral de Proteção de Dados (LGPD), dispõe sobre o tratamento de dados pessoais por pessoas e órgãos de direito público e privado. Seu objetivo é proteger os direitos de liberdade e privacidade e, para isso, estabelece regras sobre coleta, uso, armazenamento e compartilhamento de dados pessoais.</w:t>
      </w:r>
      <w:r w:rsidR="00B03492">
        <w:rPr>
          <w:spacing w:val="-2"/>
        </w:rPr>
        <w:t xml:space="preserve"> A Lei foi sancionada em 14 de agosto de 2018 e entrou em vigor em 18 de setembro de 2020.</w:t>
      </w:r>
    </w:p>
    <w:p w14:paraId="460A83BE" w14:textId="53B28126" w:rsidR="00042150" w:rsidRDefault="00042150" w:rsidP="00042150">
      <w:pPr>
        <w:pStyle w:val="Corpodetexto"/>
        <w:spacing w:before="120" w:after="120" w:line="360" w:lineRule="auto"/>
        <w:ind w:left="0" w:right="227" w:firstLine="720"/>
        <w:jc w:val="both"/>
        <w:rPr>
          <w:spacing w:val="-2"/>
        </w:rPr>
      </w:pPr>
      <w:r>
        <w:rPr>
          <w:spacing w:val="-2"/>
        </w:rPr>
        <w:t>A LAI completa 10 anos de vigência em 2022, enquanto a LGPD sequer completou 2 anos. É natural que haja dificuldades na interpretação e aplicação das leis, pois envolvem temas semelhantes e complexos. Assim, desde o início da vigência da LGPD surgiram questionamentos sobre possíveis impactos que teria no acesso à informação, já que enquanto a LAI amplia esse acesso, a LGPD, ao regular o acesso e tratamento de dados pessoais, poderia restringi-lo em parte. Esta pesquisa analisa se houve impacto nos índices de negação de acesso às informações públicas após a entrada em vigor da LGPD.</w:t>
      </w:r>
    </w:p>
    <w:p w14:paraId="021183EC" w14:textId="77777777" w:rsidR="00A37F0A" w:rsidRDefault="00A37F0A" w:rsidP="00042150">
      <w:pPr>
        <w:pStyle w:val="Corpodetexto"/>
        <w:spacing w:before="120" w:after="120" w:line="360" w:lineRule="auto"/>
        <w:ind w:left="0" w:right="227" w:firstLine="720"/>
        <w:jc w:val="both"/>
        <w:rPr>
          <w:spacing w:val="-2"/>
        </w:rPr>
      </w:pPr>
    </w:p>
    <w:p w14:paraId="5761EA36" w14:textId="303AB93A" w:rsidR="00E92E47" w:rsidRPr="00861B41" w:rsidRDefault="00E92E47" w:rsidP="00861B41">
      <w:pPr>
        <w:pStyle w:val="Ttulo1"/>
        <w:tabs>
          <w:tab w:val="left" w:pos="463"/>
        </w:tabs>
        <w:spacing w:before="120" w:after="120" w:line="360" w:lineRule="auto"/>
        <w:jc w:val="both"/>
        <w:rPr>
          <w:color w:val="auto"/>
        </w:rPr>
      </w:pPr>
      <w:r w:rsidRPr="00861B41">
        <w:rPr>
          <w:color w:val="auto"/>
        </w:rPr>
        <w:t>2. Desenvolvimento</w:t>
      </w:r>
    </w:p>
    <w:p w14:paraId="7C4F3B24" w14:textId="3046F2BD" w:rsidR="00CB7B5A" w:rsidRDefault="001741BF" w:rsidP="00861B41">
      <w:pPr>
        <w:pStyle w:val="Corpodetexto"/>
        <w:spacing w:before="120" w:after="120" w:line="360" w:lineRule="auto"/>
        <w:ind w:left="0" w:right="227" w:firstLine="709"/>
        <w:jc w:val="both"/>
        <w:rPr>
          <w:spacing w:val="-2"/>
        </w:rPr>
      </w:pPr>
      <w:r>
        <w:rPr>
          <w:spacing w:val="-2"/>
        </w:rPr>
        <w:t>A Lei de Acesso à Informação - LAI (Brasil, 2011) estabelece que o acesso à informação pública deve ser a regra geral e o sigilo, a exceção. Além disso, define que informações pessoais são aquelas relativas à intimidade, vida privada, honra e imagem das pessoas. As informações pessoais estão fora do escopo de publicidade que é objeto da Lei. Para esse tipo de informação, existem situações específicas que determinam quem tem acesso a ela:</w:t>
      </w:r>
    </w:p>
    <w:p w14:paraId="051CDC32" w14:textId="0707C983" w:rsidR="000B6ADE" w:rsidRDefault="000B6ADE" w:rsidP="000B6ADE">
      <w:pPr>
        <w:pStyle w:val="Corpodetexto"/>
        <w:numPr>
          <w:ilvl w:val="0"/>
          <w:numId w:val="15"/>
        </w:numPr>
        <w:spacing w:before="0" w:line="360" w:lineRule="auto"/>
        <w:ind w:right="227"/>
        <w:jc w:val="both"/>
        <w:rPr>
          <w:spacing w:val="-2"/>
        </w:rPr>
      </w:pPr>
      <w:r>
        <w:rPr>
          <w:spacing w:val="-2"/>
        </w:rPr>
        <w:lastRenderedPageBreak/>
        <w:t>Agentes públicos autorizados</w:t>
      </w:r>
    </w:p>
    <w:p w14:paraId="50CA5BDD" w14:textId="5C843C58" w:rsidR="000B6ADE" w:rsidRDefault="000B6ADE" w:rsidP="000B6ADE">
      <w:pPr>
        <w:pStyle w:val="Corpodetexto"/>
        <w:numPr>
          <w:ilvl w:val="0"/>
          <w:numId w:val="15"/>
        </w:numPr>
        <w:spacing w:before="0" w:line="360" w:lineRule="auto"/>
        <w:ind w:right="227"/>
        <w:jc w:val="both"/>
        <w:rPr>
          <w:spacing w:val="-2"/>
        </w:rPr>
      </w:pPr>
      <w:r>
        <w:rPr>
          <w:spacing w:val="-2"/>
        </w:rPr>
        <w:t>A própria pessoa a quem a informação se refere</w:t>
      </w:r>
    </w:p>
    <w:p w14:paraId="26A7C140" w14:textId="5AA09E28" w:rsidR="000B6ADE" w:rsidRPr="000B6ADE" w:rsidRDefault="000B6ADE" w:rsidP="000B6ADE">
      <w:pPr>
        <w:pStyle w:val="Corpodetexto"/>
        <w:numPr>
          <w:ilvl w:val="0"/>
          <w:numId w:val="15"/>
        </w:numPr>
        <w:spacing w:before="0" w:line="360" w:lineRule="auto"/>
        <w:ind w:right="227"/>
        <w:jc w:val="both"/>
        <w:rPr>
          <w:spacing w:val="-2"/>
        </w:rPr>
      </w:pPr>
      <w:r w:rsidRPr="000B6ADE">
        <w:rPr>
          <w:spacing w:val="-2"/>
        </w:rPr>
        <w:t xml:space="preserve">Terceiros, em caso de </w:t>
      </w:r>
      <w:r w:rsidR="00AF5607">
        <w:rPr>
          <w:spacing w:val="-2"/>
        </w:rPr>
        <w:t>d</w:t>
      </w:r>
      <w:r w:rsidRPr="000B6ADE">
        <w:rPr>
          <w:spacing w:val="-2"/>
        </w:rPr>
        <w:t>eterminação legal</w:t>
      </w:r>
    </w:p>
    <w:p w14:paraId="580BD0C9" w14:textId="7F7E002F" w:rsidR="000B6ADE" w:rsidRDefault="000B6ADE" w:rsidP="000B6ADE">
      <w:pPr>
        <w:pStyle w:val="Corpodetexto"/>
        <w:numPr>
          <w:ilvl w:val="0"/>
          <w:numId w:val="15"/>
        </w:numPr>
        <w:spacing w:before="0" w:line="360" w:lineRule="auto"/>
        <w:ind w:right="227"/>
        <w:jc w:val="both"/>
        <w:rPr>
          <w:spacing w:val="-2"/>
        </w:rPr>
      </w:pPr>
      <w:r>
        <w:rPr>
          <w:spacing w:val="-2"/>
        </w:rPr>
        <w:t>Terceiros, em caso de consentimento expresso da pessoa a quem a informação se refere</w:t>
      </w:r>
    </w:p>
    <w:p w14:paraId="15D794C3" w14:textId="74BFBD54" w:rsidR="000B6ADE" w:rsidRDefault="000B6ADE" w:rsidP="00AF5607">
      <w:pPr>
        <w:pStyle w:val="Corpodetexto"/>
        <w:numPr>
          <w:ilvl w:val="0"/>
          <w:numId w:val="15"/>
        </w:numPr>
        <w:spacing w:before="0" w:line="360" w:lineRule="auto"/>
        <w:ind w:right="227"/>
        <w:jc w:val="both"/>
        <w:rPr>
          <w:spacing w:val="-2"/>
        </w:rPr>
      </w:pPr>
      <w:r>
        <w:rPr>
          <w:spacing w:val="-2"/>
        </w:rPr>
        <w:t xml:space="preserve">Sem consentimento, em caso de </w:t>
      </w:r>
    </w:p>
    <w:p w14:paraId="797B21BA" w14:textId="5EA53404" w:rsidR="000B6ADE" w:rsidRDefault="00AF5607" w:rsidP="00AF5607">
      <w:pPr>
        <w:pStyle w:val="Corpodetexto"/>
        <w:numPr>
          <w:ilvl w:val="1"/>
          <w:numId w:val="15"/>
        </w:numPr>
        <w:spacing w:before="0" w:line="360" w:lineRule="auto"/>
        <w:ind w:right="227"/>
        <w:jc w:val="both"/>
        <w:rPr>
          <w:spacing w:val="-2"/>
        </w:rPr>
      </w:pPr>
      <w:r>
        <w:rPr>
          <w:spacing w:val="-2"/>
        </w:rPr>
        <w:t>Situações médicas, quando a pessoa estiver incapaz</w:t>
      </w:r>
    </w:p>
    <w:p w14:paraId="02C953A0" w14:textId="58A0D08F" w:rsidR="00AF5607" w:rsidRDefault="00AF5607" w:rsidP="00AF5607">
      <w:pPr>
        <w:pStyle w:val="Corpodetexto"/>
        <w:numPr>
          <w:ilvl w:val="1"/>
          <w:numId w:val="15"/>
        </w:numPr>
        <w:spacing w:before="0" w:line="360" w:lineRule="auto"/>
        <w:ind w:right="227"/>
        <w:jc w:val="both"/>
        <w:rPr>
          <w:spacing w:val="-2"/>
        </w:rPr>
      </w:pPr>
      <w:r>
        <w:rPr>
          <w:spacing w:val="-2"/>
        </w:rPr>
        <w:t>Pesquisas estatísticas de interesse público, sendo vedada a identificação pessoal</w:t>
      </w:r>
    </w:p>
    <w:p w14:paraId="2C6DEA99" w14:textId="54408C7D" w:rsidR="00AF5607" w:rsidRDefault="00AF5607" w:rsidP="00AF5607">
      <w:pPr>
        <w:pStyle w:val="Corpodetexto"/>
        <w:numPr>
          <w:ilvl w:val="1"/>
          <w:numId w:val="15"/>
        </w:numPr>
        <w:spacing w:before="0" w:line="360" w:lineRule="auto"/>
        <w:ind w:right="227"/>
        <w:jc w:val="both"/>
        <w:rPr>
          <w:spacing w:val="-2"/>
        </w:rPr>
      </w:pPr>
      <w:r>
        <w:rPr>
          <w:spacing w:val="-2"/>
        </w:rPr>
        <w:t>Defesa de direitos humanos</w:t>
      </w:r>
    </w:p>
    <w:p w14:paraId="4B5A694E" w14:textId="1D210E89" w:rsidR="00AF5607" w:rsidRDefault="00AF5607" w:rsidP="00AF5607">
      <w:pPr>
        <w:pStyle w:val="Corpodetexto"/>
        <w:numPr>
          <w:ilvl w:val="1"/>
          <w:numId w:val="15"/>
        </w:numPr>
        <w:spacing w:before="0" w:line="360" w:lineRule="auto"/>
        <w:ind w:right="227"/>
        <w:jc w:val="both"/>
        <w:rPr>
          <w:spacing w:val="-2"/>
        </w:rPr>
      </w:pPr>
      <w:r>
        <w:rPr>
          <w:spacing w:val="-2"/>
        </w:rPr>
        <w:t>Proteção do interesse público</w:t>
      </w:r>
    </w:p>
    <w:p w14:paraId="18376DDF" w14:textId="20DEC319" w:rsidR="00AF5607" w:rsidRDefault="00AF5607" w:rsidP="00AF5607">
      <w:pPr>
        <w:pStyle w:val="Corpodetexto"/>
        <w:numPr>
          <w:ilvl w:val="0"/>
          <w:numId w:val="15"/>
        </w:numPr>
        <w:spacing w:before="0" w:line="360" w:lineRule="auto"/>
        <w:ind w:right="227"/>
        <w:jc w:val="both"/>
        <w:rPr>
          <w:spacing w:val="-2"/>
        </w:rPr>
      </w:pPr>
      <w:r>
        <w:rPr>
          <w:spacing w:val="-2"/>
        </w:rPr>
        <w:t>Apuração de irregularidades em que o titular das informações estiver envolvido</w:t>
      </w:r>
    </w:p>
    <w:p w14:paraId="4926F7DB" w14:textId="130582C3" w:rsidR="0012148D" w:rsidRDefault="00AF5607" w:rsidP="00861B41">
      <w:pPr>
        <w:pStyle w:val="Corpodetexto"/>
        <w:spacing w:before="120" w:after="120" w:line="360" w:lineRule="auto"/>
        <w:ind w:left="0" w:right="227" w:firstLine="720"/>
        <w:jc w:val="both"/>
        <w:rPr>
          <w:spacing w:val="-2"/>
        </w:rPr>
      </w:pPr>
      <w:r>
        <w:rPr>
          <w:spacing w:val="-2"/>
        </w:rPr>
        <w:t>A Lei Geral de Proteção de Dados</w:t>
      </w:r>
      <w:r w:rsidR="00C94585">
        <w:rPr>
          <w:spacing w:val="-2"/>
        </w:rPr>
        <w:t xml:space="preserve"> (Brasil, 2018) visa regular o tratamento de dados pessoais, buscando proteger os direitos constitucionais de liberdade e privacidade.</w:t>
      </w:r>
      <w:r w:rsidR="00C97E1A">
        <w:rPr>
          <w:spacing w:val="-2"/>
        </w:rPr>
        <w:t xml:space="preserve"> Desde que foi proposta, essa lei passou a gerar questionamentos sobre um possível conflito com a LAI, como se fosse um retrocesso ao processo de publicidade das informações.</w:t>
      </w:r>
      <w:r w:rsidR="007140DF">
        <w:rPr>
          <w:spacing w:val="-2"/>
        </w:rPr>
        <w:t xml:space="preserve"> </w:t>
      </w:r>
      <w:r w:rsidR="0012148D">
        <w:rPr>
          <w:spacing w:val="-2"/>
        </w:rPr>
        <w:t>No entanto, a análise d</w:t>
      </w:r>
      <w:r w:rsidR="00811294">
        <w:rPr>
          <w:spacing w:val="-2"/>
        </w:rPr>
        <w:t>as duas legislações</w:t>
      </w:r>
      <w:r w:rsidR="0012148D">
        <w:rPr>
          <w:spacing w:val="-2"/>
        </w:rPr>
        <w:t xml:space="preserve"> não leva a esse entendimento conflituoso. </w:t>
      </w:r>
      <w:r w:rsidR="00DE2720">
        <w:rPr>
          <w:spacing w:val="-2"/>
        </w:rPr>
        <w:t>Pelo contrário, se complementam.</w:t>
      </w:r>
    </w:p>
    <w:p w14:paraId="2B7A1512" w14:textId="6A0700C9" w:rsidR="007A0A9E" w:rsidRDefault="0012148D" w:rsidP="00861B41">
      <w:pPr>
        <w:pStyle w:val="Corpodetexto"/>
        <w:spacing w:before="120" w:after="120" w:line="360" w:lineRule="auto"/>
        <w:ind w:left="0" w:right="227" w:firstLine="720"/>
        <w:jc w:val="both"/>
        <w:rPr>
          <w:spacing w:val="-2"/>
        </w:rPr>
      </w:pPr>
      <w:r>
        <w:rPr>
          <w:spacing w:val="-2"/>
        </w:rPr>
        <w:t>Teixeira (2020) argumenta que ambas as leis</w:t>
      </w:r>
      <w:r w:rsidR="007A0A9E">
        <w:rPr>
          <w:spacing w:val="-2"/>
        </w:rPr>
        <w:t>, com suas particularidades,</w:t>
      </w:r>
      <w:r>
        <w:rPr>
          <w:spacing w:val="-2"/>
        </w:rPr>
        <w:t xml:space="preserve"> têm diretrizes voltadas à proteção de dados pessoais levando em consideração os princípios da privacidade e do interesse</w:t>
      </w:r>
      <w:r w:rsidR="00811294">
        <w:rPr>
          <w:spacing w:val="-2"/>
        </w:rPr>
        <w:t xml:space="preserve"> público</w:t>
      </w:r>
      <w:r w:rsidR="007A0A9E">
        <w:rPr>
          <w:spacing w:val="-2"/>
        </w:rPr>
        <w:t xml:space="preserve">. Segundo o autor, a LGPD é mais específica no que se refere à documentação de procedimentos, políticas de privacidade, análises de impacto e gestão de incidentes buscando, como previsto na LAI, </w:t>
      </w:r>
      <w:r w:rsidR="00872FB0">
        <w:rPr>
          <w:spacing w:val="-2"/>
        </w:rPr>
        <w:t>resguardar a informação pessoal de terceiros não autorizados.</w:t>
      </w:r>
      <w:r w:rsidR="000818AF">
        <w:rPr>
          <w:spacing w:val="-2"/>
        </w:rPr>
        <w:t xml:space="preserve"> </w:t>
      </w:r>
      <w:proofErr w:type="spellStart"/>
      <w:r w:rsidR="000818AF">
        <w:rPr>
          <w:spacing w:val="-2"/>
        </w:rPr>
        <w:t>Bioni</w:t>
      </w:r>
      <w:proofErr w:type="spellEnd"/>
      <w:r w:rsidR="000818AF">
        <w:rPr>
          <w:spacing w:val="-2"/>
        </w:rPr>
        <w:t>, Da Silva e Martins (2022) analisaram as duas leis sob o contexto do Direito e concluíram que estão em convergência, já que a proteção de dados</w:t>
      </w:r>
      <w:r w:rsidR="00811294">
        <w:rPr>
          <w:spacing w:val="-2"/>
        </w:rPr>
        <w:t xml:space="preserve"> </w:t>
      </w:r>
      <w:r w:rsidR="000818AF">
        <w:rPr>
          <w:spacing w:val="-2"/>
        </w:rPr>
        <w:t xml:space="preserve">e o acesso à informação não estão em antagonismo. Além disso, reforçam que a LGPD deu ainda mais segurança jurídica para a garantia de acesso a informações de interesse público. </w:t>
      </w:r>
    </w:p>
    <w:p w14:paraId="079F7D91" w14:textId="3342416A" w:rsidR="00F1111F" w:rsidRDefault="00695440" w:rsidP="00861B41">
      <w:pPr>
        <w:pStyle w:val="Corpodetexto"/>
        <w:spacing w:before="120" w:after="120" w:line="360" w:lineRule="auto"/>
        <w:ind w:left="0" w:right="227" w:firstLine="720"/>
        <w:jc w:val="both"/>
        <w:rPr>
          <w:spacing w:val="-2"/>
        </w:rPr>
      </w:pPr>
      <w:r>
        <w:rPr>
          <w:spacing w:val="-2"/>
        </w:rPr>
        <w:t>Alguns estudos</w:t>
      </w:r>
      <w:r w:rsidR="00811294">
        <w:rPr>
          <w:spacing w:val="-2"/>
        </w:rPr>
        <w:t xml:space="preserve"> </w:t>
      </w:r>
      <w:r w:rsidR="00085FE1">
        <w:rPr>
          <w:spacing w:val="-2"/>
        </w:rPr>
        <w:t xml:space="preserve">buscam apontar impactos negativos da LGPD no acesso às informações previstas na LAI. </w:t>
      </w:r>
      <w:r w:rsidR="002D10E3">
        <w:rPr>
          <w:spacing w:val="-2"/>
        </w:rPr>
        <w:t xml:space="preserve">A ONG </w:t>
      </w:r>
      <w:r w:rsidR="00085FE1">
        <w:rPr>
          <w:spacing w:val="-2"/>
        </w:rPr>
        <w:t xml:space="preserve">Transparência Brasil (2021) </w:t>
      </w:r>
      <w:r w:rsidR="00D67B3D">
        <w:rPr>
          <w:spacing w:val="-2"/>
        </w:rPr>
        <w:t xml:space="preserve">identifica que o percentual de negativas de acesso mencionando a LGPD aumentou entre os anos de 2019 e 2021. Chama a atenção o fato de que em 2019 a lei sequer estava em vigor, o que ocorreu apenas a partir de setembro de 2020, </w:t>
      </w:r>
      <w:r w:rsidR="002D10E3">
        <w:rPr>
          <w:spacing w:val="-2"/>
        </w:rPr>
        <w:t>e</w:t>
      </w:r>
      <w:r w:rsidR="00D67B3D">
        <w:rPr>
          <w:spacing w:val="-2"/>
        </w:rPr>
        <w:t xml:space="preserve"> já passou a ser utilizada em respostas </w:t>
      </w:r>
      <w:r w:rsidR="002D10E3">
        <w:rPr>
          <w:spacing w:val="-2"/>
        </w:rPr>
        <w:t>a</w:t>
      </w:r>
      <w:r w:rsidR="00D67B3D">
        <w:rPr>
          <w:spacing w:val="-2"/>
        </w:rPr>
        <w:t xml:space="preserve"> solicitações de informação.</w:t>
      </w:r>
      <w:r w:rsidR="002D10E3">
        <w:rPr>
          <w:spacing w:val="-2"/>
        </w:rPr>
        <w:t xml:space="preserve"> A agência de </w:t>
      </w:r>
      <w:proofErr w:type="gramStart"/>
      <w:r w:rsidR="002D10E3">
        <w:rPr>
          <w:spacing w:val="-2"/>
        </w:rPr>
        <w:t xml:space="preserve">dados </w:t>
      </w:r>
      <w:r w:rsidR="008D1F12">
        <w:rPr>
          <w:spacing w:val="-2"/>
        </w:rPr>
        <w:t xml:space="preserve"> Fiquem</w:t>
      </w:r>
      <w:proofErr w:type="gramEnd"/>
      <w:r w:rsidR="008D1F12">
        <w:rPr>
          <w:spacing w:val="-2"/>
        </w:rPr>
        <w:t xml:space="preserve"> Sabendo e</w:t>
      </w:r>
      <w:r w:rsidR="002D10E3">
        <w:rPr>
          <w:spacing w:val="-2"/>
        </w:rPr>
        <w:t xml:space="preserve"> o</w:t>
      </w:r>
      <w:r w:rsidR="008D1F12">
        <w:rPr>
          <w:spacing w:val="-2"/>
        </w:rPr>
        <w:t xml:space="preserve"> </w:t>
      </w:r>
      <w:proofErr w:type="spellStart"/>
      <w:r w:rsidR="008D1F12">
        <w:rPr>
          <w:spacing w:val="-2"/>
        </w:rPr>
        <w:t>Insper</w:t>
      </w:r>
      <w:proofErr w:type="spellEnd"/>
      <w:r w:rsidR="008D1F12">
        <w:rPr>
          <w:spacing w:val="-2"/>
        </w:rPr>
        <w:t xml:space="preserve"> (2022) identificam que a LGPD não prejudicou a LAI em termos quantitativos relevantes, já que, de acordo com a pesquisa, apenas 0,01% </w:t>
      </w:r>
      <w:r w:rsidR="00C2589C">
        <w:rPr>
          <w:spacing w:val="-2"/>
        </w:rPr>
        <w:t xml:space="preserve">de todas as respostas entre 2019 e 2022 utilizaram a LGPD erroneamente como justificativa para negação do acesso. Ainda assim, a análise qualitativa aponta que esses poucos casos possuem relevância suficiente para suscitar questionamentos, já que tratavam de temas que merecem atenção, como relatórios de trabalho escravo ou registros de acesso ao Palácio do Planalto. Os autores apontam ainda a necessidade do estabelecimento de diretrizes mais claras para a harmonia entre as duas leis, pois </w:t>
      </w:r>
      <w:r w:rsidR="00587510">
        <w:rPr>
          <w:spacing w:val="-2"/>
        </w:rPr>
        <w:t>pedidos semelhantes são respondidos de formas distintas pelos órgãos do Poder Executivo.</w:t>
      </w:r>
    </w:p>
    <w:p w14:paraId="618BF5EA" w14:textId="69C3F510" w:rsidR="0062115E" w:rsidRDefault="0062115E" w:rsidP="00861B41">
      <w:pPr>
        <w:pStyle w:val="Corpodetexto"/>
        <w:spacing w:before="120" w:after="120" w:line="360" w:lineRule="auto"/>
        <w:ind w:left="0" w:right="227" w:firstLine="720"/>
        <w:jc w:val="both"/>
        <w:rPr>
          <w:spacing w:val="-2"/>
        </w:rPr>
      </w:pPr>
      <w:r>
        <w:rPr>
          <w:spacing w:val="-2"/>
        </w:rPr>
        <w:lastRenderedPageBreak/>
        <w:t xml:space="preserve">Diante deste cenário, esta pesquisa </w:t>
      </w:r>
      <w:r w:rsidR="00B342AF">
        <w:rPr>
          <w:spacing w:val="-2"/>
        </w:rPr>
        <w:t>analisa</w:t>
      </w:r>
      <w:r>
        <w:rPr>
          <w:spacing w:val="-2"/>
        </w:rPr>
        <w:t xml:space="preserve"> de forma objetiva se </w:t>
      </w:r>
      <w:r w:rsidR="00B342AF">
        <w:rPr>
          <w:spacing w:val="-2"/>
        </w:rPr>
        <w:t>há diferença no percentual de pedidos de informação negados antes e depois da entrada em vigor da LGPD. O resultado encontrado serve como base para compreender a realidade e contribuir com a discussão a respeito do possível efeito negativo que a LGPD gerou no acesso às informações públicas.</w:t>
      </w:r>
    </w:p>
    <w:p w14:paraId="1D9D5556" w14:textId="77777777" w:rsidR="00A37F0A" w:rsidRDefault="00A37F0A" w:rsidP="00861B41">
      <w:pPr>
        <w:pStyle w:val="Corpodetexto"/>
        <w:spacing w:before="120" w:after="120" w:line="360" w:lineRule="auto"/>
        <w:ind w:left="0" w:right="227" w:firstLine="720"/>
        <w:jc w:val="both"/>
        <w:rPr>
          <w:spacing w:val="-2"/>
        </w:rPr>
      </w:pPr>
    </w:p>
    <w:p w14:paraId="72F9D3EA" w14:textId="10DB4F09" w:rsidR="00BA2D41" w:rsidRPr="006243E3" w:rsidRDefault="000E5BEC" w:rsidP="006243E3">
      <w:pPr>
        <w:pStyle w:val="Ttulo1"/>
        <w:tabs>
          <w:tab w:val="left" w:pos="463"/>
        </w:tabs>
        <w:spacing w:before="120" w:after="120" w:line="360" w:lineRule="auto"/>
        <w:jc w:val="both"/>
        <w:rPr>
          <w:color w:val="auto"/>
        </w:rPr>
      </w:pPr>
      <w:r w:rsidRPr="006243E3">
        <w:rPr>
          <w:color w:val="auto"/>
        </w:rPr>
        <w:t xml:space="preserve">3. Método </w:t>
      </w:r>
    </w:p>
    <w:p w14:paraId="315F8E01" w14:textId="2C1081B0" w:rsidR="008F692B" w:rsidRDefault="008F692B" w:rsidP="006243E3">
      <w:pPr>
        <w:pStyle w:val="Corpodetexto"/>
        <w:spacing w:before="120" w:after="120" w:line="360" w:lineRule="auto"/>
        <w:ind w:left="0" w:right="227" w:firstLine="720"/>
        <w:jc w:val="both"/>
      </w:pPr>
      <w:r>
        <w:t xml:space="preserve">Esta </w:t>
      </w:r>
      <w:r w:rsidR="000E5BEC">
        <w:t>pesquisa</w:t>
      </w:r>
      <w:r w:rsidR="0077000F">
        <w:t xml:space="preserve"> </w:t>
      </w:r>
      <w:r>
        <w:t>propõe-se a verificar por meio de testes estatístico</w:t>
      </w:r>
      <w:r w:rsidR="002D10E3">
        <w:t>s</w:t>
      </w:r>
      <w:r>
        <w:t xml:space="preserve"> se </w:t>
      </w:r>
      <w:r w:rsidR="002D10E3">
        <w:t>houve</w:t>
      </w:r>
      <w:r>
        <w:t xml:space="preserve"> impacto nas respostas a pedidos baseados na LAI</w:t>
      </w:r>
      <w:r w:rsidR="002D10E3">
        <w:t xml:space="preserve"> após a entrada em vigor da LGPD</w:t>
      </w:r>
      <w:r>
        <w:t xml:space="preserve">, tendo como principal variável o percentual mensal de solicitações negadas. </w:t>
      </w:r>
    </w:p>
    <w:p w14:paraId="43FE1DA4" w14:textId="75A512EE" w:rsidR="005E0D3A" w:rsidRDefault="005E0D3A" w:rsidP="006243E3">
      <w:pPr>
        <w:pStyle w:val="Corpodetexto"/>
        <w:spacing w:before="120" w:after="120" w:line="360" w:lineRule="auto"/>
        <w:ind w:left="0" w:right="227" w:firstLine="720"/>
        <w:jc w:val="both"/>
      </w:pPr>
      <w:r>
        <w:t xml:space="preserve">A base de dados utilizada é a </w:t>
      </w:r>
      <w:r w:rsidR="00070D18">
        <w:t xml:space="preserve">do sistema Fala.BR – </w:t>
      </w:r>
      <w:r w:rsidR="00070D18" w:rsidRPr="00070D18">
        <w:t>Plataforma Integrada de Ouvidoria e Acesso à Informação</w:t>
      </w:r>
      <w:r w:rsidR="006B283F">
        <w:t xml:space="preserve"> (2022)</w:t>
      </w:r>
      <w:r w:rsidR="006B283F">
        <w:rPr>
          <w:rStyle w:val="Refdenotaderodap"/>
        </w:rPr>
        <w:t xml:space="preserve"> </w:t>
      </w:r>
      <w:r w:rsidR="00070D18">
        <w:t>, que contém os dados dos pedidos de acesso à informação desde maio de 2012</w:t>
      </w:r>
      <w:r w:rsidR="009E5DC7">
        <w:t>, mês em que a LAI entrou em vigor. Ela contém tabelas com as solicitações, os solicitantes e os recursos. Para o escopo deste trabalho serão utilizadas as tabelas com as solicitações</w:t>
      </w:r>
      <w:r w:rsidR="006B283F">
        <w:t xml:space="preserve"> de informação entre os anos de</w:t>
      </w:r>
      <w:r w:rsidR="009E5DC7">
        <w:t xml:space="preserve"> 2012 </w:t>
      </w:r>
      <w:r w:rsidR="00C909C5">
        <w:t>e</w:t>
      </w:r>
      <w:r w:rsidR="009E5DC7">
        <w:t xml:space="preserve"> 2022</w:t>
      </w:r>
      <w:r w:rsidR="006B283F">
        <w:t xml:space="preserve">. A base contém </w:t>
      </w:r>
      <w:r w:rsidR="009E5DC7">
        <w:t xml:space="preserve">1.157.449 </w:t>
      </w:r>
      <w:r w:rsidR="006B283F">
        <w:t>observações</w:t>
      </w:r>
      <w:r w:rsidR="00BF777B">
        <w:t xml:space="preserve"> </w:t>
      </w:r>
      <w:r w:rsidR="006B283F">
        <w:t>de 21 variáveis.</w:t>
      </w:r>
    </w:p>
    <w:p w14:paraId="545772FA" w14:textId="68D377BA" w:rsidR="00332C9B" w:rsidRDefault="00332C9B" w:rsidP="006243E3">
      <w:pPr>
        <w:pStyle w:val="Corpodetexto"/>
        <w:spacing w:before="120" w:after="120" w:line="360" w:lineRule="auto"/>
        <w:ind w:left="0" w:right="227" w:firstLine="720"/>
        <w:jc w:val="both"/>
      </w:pPr>
      <w:r w:rsidRPr="00332C9B">
        <w:t>A base de dados disponibilizada pelo FALA.BR já está estruturada no formato “</w:t>
      </w:r>
      <w:proofErr w:type="spellStart"/>
      <w:r w:rsidRPr="00332C9B">
        <w:rPr>
          <w:i/>
        </w:rPr>
        <w:t>tidy</w:t>
      </w:r>
      <w:proofErr w:type="spellEnd"/>
      <w:r w:rsidRPr="00332C9B">
        <w:t>” conforme descrito por Wickham (2014), o que facilita a sua manipulação, modelagem e visualização.</w:t>
      </w:r>
    </w:p>
    <w:p w14:paraId="783FDE4D" w14:textId="1E75F20E" w:rsidR="00332C9B" w:rsidRDefault="00332C9B" w:rsidP="006243E3">
      <w:pPr>
        <w:pStyle w:val="Corpodetexto"/>
        <w:spacing w:before="120" w:after="120" w:line="360" w:lineRule="auto"/>
        <w:ind w:left="0" w:right="227" w:firstLine="720"/>
        <w:jc w:val="both"/>
      </w:pPr>
      <w:r w:rsidRPr="00332C9B">
        <w:t xml:space="preserve">Para este estudo foram consideradas apenas as variáveis “data do registro” e “decisão”. A primeira indica a data em que foi feita a solicitação de informação e, a segunda, qual foi a decisão sobre o pedido. A </w:t>
      </w:r>
      <w:r w:rsidR="00425CE7" w:rsidRPr="00425CE7">
        <w:fldChar w:fldCharType="begin"/>
      </w:r>
      <w:r w:rsidR="00425CE7" w:rsidRPr="00425CE7">
        <w:instrText xml:space="preserve"> REF _Ref106669201 \h  \* MERGEFORMAT </w:instrText>
      </w:r>
      <w:r w:rsidR="00425CE7" w:rsidRPr="00425CE7">
        <w:fldChar w:fldCharType="separate"/>
      </w:r>
      <w:r w:rsidR="00425CE7" w:rsidRPr="00425CE7">
        <w:t xml:space="preserve">Tabela </w:t>
      </w:r>
      <w:r w:rsidR="00425CE7" w:rsidRPr="00425CE7">
        <w:rPr>
          <w:noProof/>
        </w:rPr>
        <w:t>1</w:t>
      </w:r>
      <w:r w:rsidR="00425CE7" w:rsidRPr="00425CE7">
        <w:fldChar w:fldCharType="end"/>
      </w:r>
      <w:r w:rsidR="00425CE7">
        <w:t xml:space="preserve"> </w:t>
      </w:r>
      <w:r w:rsidRPr="00332C9B">
        <w:t xml:space="preserve">lista os valores possíveis para a variável “decisão”.  </w:t>
      </w:r>
    </w:p>
    <w:p w14:paraId="0C47E89D" w14:textId="0A9085F0" w:rsidR="00A322DD" w:rsidRDefault="00A322DD" w:rsidP="00A322DD">
      <w:pPr>
        <w:pStyle w:val="Corpodetexto"/>
        <w:spacing w:before="138" w:line="369" w:lineRule="auto"/>
        <w:ind w:right="227" w:firstLine="720"/>
        <w:jc w:val="both"/>
      </w:pPr>
    </w:p>
    <w:p w14:paraId="5CF39B8D" w14:textId="70AC715A" w:rsidR="00425CE7" w:rsidRPr="00425CE7" w:rsidRDefault="00425CE7" w:rsidP="00425CE7">
      <w:pPr>
        <w:pStyle w:val="Legenda"/>
        <w:keepNext/>
        <w:jc w:val="center"/>
        <w:rPr>
          <w:b/>
          <w:bCs/>
          <w:i w:val="0"/>
          <w:iCs w:val="0"/>
          <w:color w:val="auto"/>
          <w:sz w:val="22"/>
          <w:szCs w:val="22"/>
        </w:rPr>
      </w:pPr>
      <w:bookmarkStart w:id="1" w:name="_Ref106669201"/>
      <w:r w:rsidRPr="00425CE7">
        <w:rPr>
          <w:b/>
          <w:bCs/>
          <w:i w:val="0"/>
          <w:iCs w:val="0"/>
          <w:color w:val="auto"/>
          <w:sz w:val="22"/>
          <w:szCs w:val="22"/>
        </w:rPr>
        <w:t xml:space="preserve">Tabela </w:t>
      </w:r>
      <w:r w:rsidRPr="00425CE7">
        <w:rPr>
          <w:b/>
          <w:bCs/>
          <w:i w:val="0"/>
          <w:iCs w:val="0"/>
          <w:color w:val="auto"/>
          <w:sz w:val="22"/>
          <w:szCs w:val="22"/>
        </w:rPr>
        <w:fldChar w:fldCharType="begin"/>
      </w:r>
      <w:r w:rsidRPr="00425CE7">
        <w:rPr>
          <w:b/>
          <w:bCs/>
          <w:i w:val="0"/>
          <w:iCs w:val="0"/>
          <w:color w:val="auto"/>
          <w:sz w:val="22"/>
          <w:szCs w:val="22"/>
        </w:rPr>
        <w:instrText xml:space="preserve"> SEQ Tabela \* ARABIC </w:instrText>
      </w:r>
      <w:r w:rsidRPr="00425CE7">
        <w:rPr>
          <w:b/>
          <w:bCs/>
          <w:i w:val="0"/>
          <w:iCs w:val="0"/>
          <w:color w:val="auto"/>
          <w:sz w:val="22"/>
          <w:szCs w:val="22"/>
        </w:rPr>
        <w:fldChar w:fldCharType="separate"/>
      </w:r>
      <w:r>
        <w:rPr>
          <w:b/>
          <w:bCs/>
          <w:i w:val="0"/>
          <w:iCs w:val="0"/>
          <w:noProof/>
          <w:color w:val="auto"/>
          <w:sz w:val="22"/>
          <w:szCs w:val="22"/>
        </w:rPr>
        <w:t>1</w:t>
      </w:r>
      <w:r w:rsidRPr="00425CE7">
        <w:rPr>
          <w:b/>
          <w:bCs/>
          <w:i w:val="0"/>
          <w:iCs w:val="0"/>
          <w:color w:val="auto"/>
          <w:sz w:val="22"/>
          <w:szCs w:val="22"/>
        </w:rPr>
        <w:fldChar w:fldCharType="end"/>
      </w:r>
      <w:bookmarkEnd w:id="1"/>
      <w:r w:rsidRPr="00425CE7">
        <w:rPr>
          <w:b/>
          <w:bCs/>
          <w:i w:val="0"/>
          <w:iCs w:val="0"/>
          <w:color w:val="auto"/>
          <w:sz w:val="22"/>
          <w:szCs w:val="22"/>
        </w:rPr>
        <w:t xml:space="preserve"> - Valores da vari</w:t>
      </w:r>
      <w:r w:rsidR="006F6553">
        <w:rPr>
          <w:b/>
          <w:bCs/>
          <w:i w:val="0"/>
          <w:iCs w:val="0"/>
          <w:color w:val="auto"/>
          <w:sz w:val="22"/>
          <w:szCs w:val="22"/>
        </w:rPr>
        <w:t>á</w:t>
      </w:r>
      <w:r w:rsidRPr="00425CE7">
        <w:rPr>
          <w:b/>
          <w:bCs/>
          <w:i w:val="0"/>
          <w:iCs w:val="0"/>
          <w:color w:val="auto"/>
          <w:sz w:val="22"/>
          <w:szCs w:val="22"/>
        </w:rPr>
        <w:t>vel "decisão"</w:t>
      </w:r>
    </w:p>
    <w:tbl>
      <w:tblPr>
        <w:tblStyle w:val="TabeladeGrade4"/>
        <w:tblW w:w="0" w:type="auto"/>
        <w:jc w:val="center"/>
        <w:tblLook w:val="04A0" w:firstRow="1" w:lastRow="0" w:firstColumn="1" w:lastColumn="0" w:noHBand="0" w:noVBand="1"/>
      </w:tblPr>
      <w:tblGrid>
        <w:gridCol w:w="5458"/>
        <w:gridCol w:w="931"/>
      </w:tblGrid>
      <w:tr w:rsidR="00633CD8" w:rsidRPr="0083603A" w14:paraId="71CE6A63" w14:textId="77777777" w:rsidTr="00633CD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EE21976" w14:textId="2CBAC0F6" w:rsidR="0083603A" w:rsidRPr="0083603A" w:rsidRDefault="0083603A" w:rsidP="0083603A">
            <w:pPr>
              <w:widowControl/>
              <w:autoSpaceDE/>
              <w:autoSpaceDN/>
              <w:rPr>
                <w:lang w:eastAsia="pt-BR"/>
              </w:rPr>
            </w:pPr>
            <w:r w:rsidRPr="00633CD8">
              <w:rPr>
                <w:lang w:eastAsia="pt-BR"/>
              </w:rPr>
              <w:t>Decisão</w:t>
            </w:r>
          </w:p>
        </w:tc>
        <w:tc>
          <w:tcPr>
            <w:tcW w:w="0" w:type="auto"/>
            <w:noWrap/>
            <w:hideMark/>
          </w:tcPr>
          <w:p w14:paraId="02F7A700" w14:textId="77777777" w:rsidR="0083603A" w:rsidRPr="0083603A" w:rsidRDefault="0083603A" w:rsidP="0083603A">
            <w:pPr>
              <w:widowControl/>
              <w:autoSpaceDE/>
              <w:autoSpaceDN/>
              <w:cnfStyle w:val="100000000000" w:firstRow="1" w:lastRow="0" w:firstColumn="0" w:lastColumn="0" w:oddVBand="0" w:evenVBand="0" w:oddHBand="0" w:evenHBand="0" w:firstRowFirstColumn="0" w:firstRowLastColumn="0" w:lastRowFirstColumn="0" w:lastRowLastColumn="0"/>
              <w:rPr>
                <w:lang w:eastAsia="pt-BR"/>
              </w:rPr>
            </w:pPr>
            <w:r w:rsidRPr="0083603A">
              <w:rPr>
                <w:lang w:eastAsia="pt-BR"/>
              </w:rPr>
              <w:t>Total</w:t>
            </w:r>
          </w:p>
        </w:tc>
      </w:tr>
      <w:tr w:rsidR="0083603A" w:rsidRPr="0083603A" w14:paraId="6F6AAC84" w14:textId="77777777" w:rsidTr="00633CD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6D44B6F" w14:textId="77777777" w:rsidR="0083603A" w:rsidRPr="0083603A" w:rsidRDefault="0083603A" w:rsidP="0083603A">
            <w:pPr>
              <w:widowControl/>
              <w:autoSpaceDE/>
              <w:autoSpaceDN/>
              <w:rPr>
                <w:b w:val="0"/>
                <w:bCs w:val="0"/>
                <w:color w:val="000000"/>
                <w:lang w:eastAsia="pt-BR"/>
              </w:rPr>
            </w:pPr>
            <w:r w:rsidRPr="0083603A">
              <w:rPr>
                <w:b w:val="0"/>
                <w:bCs w:val="0"/>
                <w:color w:val="000000"/>
                <w:lang w:eastAsia="pt-BR"/>
              </w:rPr>
              <w:t>NA</w:t>
            </w:r>
          </w:p>
        </w:tc>
        <w:tc>
          <w:tcPr>
            <w:tcW w:w="0" w:type="auto"/>
            <w:noWrap/>
            <w:hideMark/>
          </w:tcPr>
          <w:p w14:paraId="695EA847" w14:textId="5A759200" w:rsidR="0083603A" w:rsidRPr="0083603A" w:rsidRDefault="0083603A" w:rsidP="0083603A">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lang w:eastAsia="pt-BR"/>
              </w:rPr>
            </w:pPr>
            <w:r w:rsidRPr="0083603A">
              <w:rPr>
                <w:color w:val="000000"/>
                <w:lang w:eastAsia="pt-BR"/>
              </w:rPr>
              <w:t>6</w:t>
            </w:r>
            <w:r w:rsidR="00CF63AD">
              <w:rPr>
                <w:color w:val="000000"/>
                <w:lang w:eastAsia="pt-BR"/>
              </w:rPr>
              <w:t>.</w:t>
            </w:r>
            <w:r w:rsidRPr="0083603A">
              <w:rPr>
                <w:color w:val="000000"/>
                <w:lang w:eastAsia="pt-BR"/>
              </w:rPr>
              <w:t>483</w:t>
            </w:r>
          </w:p>
        </w:tc>
      </w:tr>
      <w:tr w:rsidR="0083603A" w:rsidRPr="0083603A" w14:paraId="27E7E0DF" w14:textId="77777777" w:rsidTr="00633CD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A694667" w14:textId="7FB961FD" w:rsidR="0083603A" w:rsidRPr="0083603A" w:rsidRDefault="0083603A" w:rsidP="0083603A">
            <w:pPr>
              <w:widowControl/>
              <w:autoSpaceDE/>
              <w:autoSpaceDN/>
              <w:rPr>
                <w:b w:val="0"/>
                <w:bCs w:val="0"/>
                <w:color w:val="000000"/>
                <w:lang w:eastAsia="pt-BR"/>
              </w:rPr>
            </w:pPr>
            <w:r w:rsidRPr="0083603A">
              <w:rPr>
                <w:b w:val="0"/>
                <w:bCs w:val="0"/>
                <w:color w:val="000000"/>
                <w:lang w:eastAsia="pt-BR"/>
              </w:rPr>
              <w:t>Acesso Concedido</w:t>
            </w:r>
          </w:p>
        </w:tc>
        <w:tc>
          <w:tcPr>
            <w:tcW w:w="0" w:type="auto"/>
            <w:noWrap/>
            <w:hideMark/>
          </w:tcPr>
          <w:p w14:paraId="63BEC065" w14:textId="6B6EFB37" w:rsidR="0083603A" w:rsidRPr="0083603A" w:rsidRDefault="0083603A" w:rsidP="0083603A">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lang w:eastAsia="pt-BR"/>
              </w:rPr>
            </w:pPr>
            <w:r w:rsidRPr="0083603A">
              <w:rPr>
                <w:color w:val="000000"/>
                <w:lang w:eastAsia="pt-BR"/>
              </w:rPr>
              <w:t>79</w:t>
            </w:r>
            <w:r w:rsidR="00CF63AD">
              <w:rPr>
                <w:color w:val="000000"/>
                <w:lang w:eastAsia="pt-BR"/>
              </w:rPr>
              <w:t>.</w:t>
            </w:r>
            <w:r w:rsidRPr="0083603A">
              <w:rPr>
                <w:color w:val="000000"/>
                <w:lang w:eastAsia="pt-BR"/>
              </w:rPr>
              <w:t>1180</w:t>
            </w:r>
          </w:p>
        </w:tc>
      </w:tr>
      <w:tr w:rsidR="0083603A" w:rsidRPr="0083603A" w14:paraId="2CAA1C9A" w14:textId="77777777" w:rsidTr="00633CD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AA05C" w14:textId="05F1241F" w:rsidR="0083603A" w:rsidRPr="0083603A" w:rsidRDefault="0083603A" w:rsidP="0083603A">
            <w:pPr>
              <w:widowControl/>
              <w:autoSpaceDE/>
              <w:autoSpaceDN/>
              <w:rPr>
                <w:b w:val="0"/>
                <w:bCs w:val="0"/>
                <w:color w:val="000000"/>
                <w:lang w:eastAsia="pt-BR"/>
              </w:rPr>
            </w:pPr>
            <w:r w:rsidRPr="0083603A">
              <w:rPr>
                <w:b w:val="0"/>
                <w:bCs w:val="0"/>
                <w:color w:val="000000"/>
                <w:lang w:eastAsia="pt-BR"/>
              </w:rPr>
              <w:t>Acesso Negado</w:t>
            </w:r>
          </w:p>
        </w:tc>
        <w:tc>
          <w:tcPr>
            <w:tcW w:w="0" w:type="auto"/>
            <w:noWrap/>
            <w:hideMark/>
          </w:tcPr>
          <w:p w14:paraId="7DD698A0" w14:textId="1BA8586E" w:rsidR="0083603A" w:rsidRPr="0083603A" w:rsidRDefault="0083603A" w:rsidP="0083603A">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lang w:eastAsia="pt-BR"/>
              </w:rPr>
            </w:pPr>
            <w:r w:rsidRPr="0083603A">
              <w:rPr>
                <w:color w:val="000000"/>
                <w:lang w:eastAsia="pt-BR"/>
              </w:rPr>
              <w:t>9</w:t>
            </w:r>
            <w:r w:rsidR="00CF63AD">
              <w:rPr>
                <w:color w:val="000000"/>
                <w:lang w:eastAsia="pt-BR"/>
              </w:rPr>
              <w:t>.</w:t>
            </w:r>
            <w:r w:rsidRPr="0083603A">
              <w:rPr>
                <w:color w:val="000000"/>
                <w:lang w:eastAsia="pt-BR"/>
              </w:rPr>
              <w:t>1952</w:t>
            </w:r>
          </w:p>
        </w:tc>
      </w:tr>
      <w:tr w:rsidR="0083603A" w:rsidRPr="0083603A" w14:paraId="49E16654" w14:textId="77777777" w:rsidTr="00633CD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17F7C5" w14:textId="0F035A75" w:rsidR="0083603A" w:rsidRPr="0083603A" w:rsidRDefault="0083603A" w:rsidP="0083603A">
            <w:pPr>
              <w:widowControl/>
              <w:autoSpaceDE/>
              <w:autoSpaceDN/>
              <w:rPr>
                <w:b w:val="0"/>
                <w:bCs w:val="0"/>
                <w:color w:val="000000"/>
                <w:lang w:eastAsia="pt-BR"/>
              </w:rPr>
            </w:pPr>
            <w:r w:rsidRPr="0083603A">
              <w:rPr>
                <w:b w:val="0"/>
                <w:bCs w:val="0"/>
                <w:color w:val="000000"/>
                <w:lang w:eastAsia="pt-BR"/>
              </w:rPr>
              <w:t>Acesso Parcialmente Concedido</w:t>
            </w:r>
          </w:p>
        </w:tc>
        <w:tc>
          <w:tcPr>
            <w:tcW w:w="0" w:type="auto"/>
            <w:noWrap/>
            <w:hideMark/>
          </w:tcPr>
          <w:p w14:paraId="53890068" w14:textId="245539B9" w:rsidR="0083603A" w:rsidRPr="0083603A" w:rsidRDefault="0083603A" w:rsidP="0083603A">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lang w:eastAsia="pt-BR"/>
              </w:rPr>
            </w:pPr>
            <w:r w:rsidRPr="0083603A">
              <w:rPr>
                <w:color w:val="000000"/>
                <w:lang w:eastAsia="pt-BR"/>
              </w:rPr>
              <w:t>55</w:t>
            </w:r>
            <w:r w:rsidR="00CF63AD">
              <w:rPr>
                <w:color w:val="000000"/>
                <w:lang w:eastAsia="pt-BR"/>
              </w:rPr>
              <w:t>.</w:t>
            </w:r>
            <w:r w:rsidRPr="0083603A">
              <w:rPr>
                <w:color w:val="000000"/>
                <w:lang w:eastAsia="pt-BR"/>
              </w:rPr>
              <w:t>650</w:t>
            </w:r>
          </w:p>
        </w:tc>
      </w:tr>
      <w:tr w:rsidR="0083603A" w:rsidRPr="0083603A" w14:paraId="41DEC890" w14:textId="77777777" w:rsidTr="00633CD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F8878" w14:textId="0EB1FFE4" w:rsidR="0083603A" w:rsidRPr="0083603A" w:rsidRDefault="0083603A" w:rsidP="0083603A">
            <w:pPr>
              <w:widowControl/>
              <w:autoSpaceDE/>
              <w:autoSpaceDN/>
              <w:rPr>
                <w:b w:val="0"/>
                <w:bCs w:val="0"/>
                <w:color w:val="000000"/>
                <w:lang w:eastAsia="pt-BR"/>
              </w:rPr>
            </w:pPr>
            <w:r w:rsidRPr="0083603A">
              <w:rPr>
                <w:b w:val="0"/>
                <w:bCs w:val="0"/>
                <w:color w:val="000000"/>
                <w:lang w:eastAsia="pt-BR"/>
              </w:rPr>
              <w:t>Informação Inexistente</w:t>
            </w:r>
          </w:p>
        </w:tc>
        <w:tc>
          <w:tcPr>
            <w:tcW w:w="0" w:type="auto"/>
            <w:noWrap/>
            <w:hideMark/>
          </w:tcPr>
          <w:p w14:paraId="3FC34946" w14:textId="749425CD" w:rsidR="0083603A" w:rsidRPr="0083603A" w:rsidRDefault="0083603A" w:rsidP="0083603A">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lang w:eastAsia="pt-BR"/>
              </w:rPr>
            </w:pPr>
            <w:r w:rsidRPr="0083603A">
              <w:rPr>
                <w:color w:val="000000"/>
                <w:lang w:eastAsia="pt-BR"/>
              </w:rPr>
              <w:t>37</w:t>
            </w:r>
            <w:r w:rsidR="00CF63AD">
              <w:rPr>
                <w:color w:val="000000"/>
                <w:lang w:eastAsia="pt-BR"/>
              </w:rPr>
              <w:t>.</w:t>
            </w:r>
            <w:r w:rsidRPr="0083603A">
              <w:rPr>
                <w:color w:val="000000"/>
                <w:lang w:eastAsia="pt-BR"/>
              </w:rPr>
              <w:t>341</w:t>
            </w:r>
          </w:p>
        </w:tc>
      </w:tr>
      <w:tr w:rsidR="0083603A" w:rsidRPr="0083603A" w14:paraId="21160B9F" w14:textId="77777777" w:rsidTr="00633CD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AC116C1" w14:textId="77777777" w:rsidR="0083603A" w:rsidRPr="0083603A" w:rsidRDefault="0083603A" w:rsidP="0083603A">
            <w:pPr>
              <w:widowControl/>
              <w:autoSpaceDE/>
              <w:autoSpaceDN/>
              <w:rPr>
                <w:b w:val="0"/>
                <w:bCs w:val="0"/>
                <w:color w:val="000000"/>
                <w:lang w:eastAsia="pt-BR"/>
              </w:rPr>
            </w:pPr>
            <w:r w:rsidRPr="0083603A">
              <w:rPr>
                <w:b w:val="0"/>
                <w:bCs w:val="0"/>
                <w:color w:val="000000"/>
                <w:lang w:eastAsia="pt-BR"/>
              </w:rPr>
              <w:t xml:space="preserve">Não se trata de solicitação de informação </w:t>
            </w:r>
          </w:p>
        </w:tc>
        <w:tc>
          <w:tcPr>
            <w:tcW w:w="0" w:type="auto"/>
            <w:noWrap/>
            <w:hideMark/>
          </w:tcPr>
          <w:p w14:paraId="7C92A6CD" w14:textId="727B2121" w:rsidR="0083603A" w:rsidRPr="0083603A" w:rsidRDefault="0083603A" w:rsidP="0083603A">
            <w:pPr>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lang w:eastAsia="pt-BR"/>
              </w:rPr>
            </w:pPr>
            <w:r w:rsidRPr="0083603A">
              <w:rPr>
                <w:color w:val="000000"/>
                <w:lang w:eastAsia="pt-BR"/>
              </w:rPr>
              <w:t>116</w:t>
            </w:r>
            <w:r w:rsidR="00CF63AD">
              <w:rPr>
                <w:color w:val="000000"/>
                <w:lang w:eastAsia="pt-BR"/>
              </w:rPr>
              <w:t>.</w:t>
            </w:r>
            <w:r w:rsidRPr="0083603A">
              <w:rPr>
                <w:color w:val="000000"/>
                <w:lang w:eastAsia="pt-BR"/>
              </w:rPr>
              <w:t>042</w:t>
            </w:r>
          </w:p>
        </w:tc>
      </w:tr>
      <w:tr w:rsidR="0083603A" w:rsidRPr="0083603A" w14:paraId="155C9C41" w14:textId="77777777" w:rsidTr="00633CD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5C8A40F" w14:textId="77777777" w:rsidR="0083603A" w:rsidRPr="0083603A" w:rsidRDefault="0083603A" w:rsidP="0083603A">
            <w:pPr>
              <w:widowControl/>
              <w:autoSpaceDE/>
              <w:autoSpaceDN/>
              <w:rPr>
                <w:b w:val="0"/>
                <w:bCs w:val="0"/>
                <w:color w:val="000000"/>
                <w:lang w:eastAsia="pt-BR"/>
              </w:rPr>
            </w:pPr>
            <w:r w:rsidRPr="0083603A">
              <w:rPr>
                <w:b w:val="0"/>
                <w:bCs w:val="0"/>
                <w:color w:val="000000"/>
                <w:lang w:eastAsia="pt-BR"/>
              </w:rPr>
              <w:t xml:space="preserve">Órgão não tem competência para responder sobre o assunto </w:t>
            </w:r>
          </w:p>
        </w:tc>
        <w:tc>
          <w:tcPr>
            <w:tcW w:w="0" w:type="auto"/>
            <w:noWrap/>
            <w:hideMark/>
          </w:tcPr>
          <w:p w14:paraId="5D4AB05C" w14:textId="78B2F256" w:rsidR="0083603A" w:rsidRPr="0083603A" w:rsidRDefault="0083603A" w:rsidP="0083603A">
            <w:pPr>
              <w:widowControl/>
              <w:autoSpaceDE/>
              <w:autoSpaceDN/>
              <w:jc w:val="right"/>
              <w:cnfStyle w:val="000000100000" w:firstRow="0" w:lastRow="0" w:firstColumn="0" w:lastColumn="0" w:oddVBand="0" w:evenVBand="0" w:oddHBand="1" w:evenHBand="0" w:firstRowFirstColumn="0" w:firstRowLastColumn="0" w:lastRowFirstColumn="0" w:lastRowLastColumn="0"/>
              <w:rPr>
                <w:color w:val="000000"/>
                <w:lang w:eastAsia="pt-BR"/>
              </w:rPr>
            </w:pPr>
            <w:r w:rsidRPr="0083603A">
              <w:rPr>
                <w:color w:val="000000"/>
                <w:lang w:eastAsia="pt-BR"/>
              </w:rPr>
              <w:t>36</w:t>
            </w:r>
            <w:r w:rsidR="00CF63AD">
              <w:rPr>
                <w:color w:val="000000"/>
                <w:lang w:eastAsia="pt-BR"/>
              </w:rPr>
              <w:t>.</w:t>
            </w:r>
            <w:r w:rsidRPr="0083603A">
              <w:rPr>
                <w:color w:val="000000"/>
                <w:lang w:eastAsia="pt-BR"/>
              </w:rPr>
              <w:t>609</w:t>
            </w:r>
          </w:p>
        </w:tc>
      </w:tr>
      <w:tr w:rsidR="0083603A" w:rsidRPr="0083603A" w14:paraId="24070C3E" w14:textId="77777777" w:rsidTr="00633CD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CE3337F" w14:textId="77777777" w:rsidR="0083603A" w:rsidRPr="0083603A" w:rsidRDefault="0083603A" w:rsidP="0083603A">
            <w:pPr>
              <w:widowControl/>
              <w:autoSpaceDE/>
              <w:autoSpaceDN/>
              <w:rPr>
                <w:b w:val="0"/>
                <w:bCs w:val="0"/>
                <w:color w:val="000000"/>
                <w:lang w:eastAsia="pt-BR"/>
              </w:rPr>
            </w:pPr>
            <w:r w:rsidRPr="0083603A">
              <w:rPr>
                <w:b w:val="0"/>
                <w:bCs w:val="0"/>
                <w:color w:val="000000"/>
                <w:lang w:eastAsia="pt-BR"/>
              </w:rPr>
              <w:t xml:space="preserve">Pergunta Duplicada/Repetida </w:t>
            </w:r>
          </w:p>
        </w:tc>
        <w:tc>
          <w:tcPr>
            <w:tcW w:w="0" w:type="auto"/>
            <w:noWrap/>
            <w:hideMark/>
          </w:tcPr>
          <w:p w14:paraId="533B465C" w14:textId="0407B71F" w:rsidR="0083603A" w:rsidRPr="0083603A" w:rsidRDefault="0083603A" w:rsidP="00A37F0A">
            <w:pPr>
              <w:keepNext/>
              <w:widowControl/>
              <w:autoSpaceDE/>
              <w:autoSpaceDN/>
              <w:jc w:val="right"/>
              <w:cnfStyle w:val="000000000000" w:firstRow="0" w:lastRow="0" w:firstColumn="0" w:lastColumn="0" w:oddVBand="0" w:evenVBand="0" w:oddHBand="0" w:evenHBand="0" w:firstRowFirstColumn="0" w:firstRowLastColumn="0" w:lastRowFirstColumn="0" w:lastRowLastColumn="0"/>
              <w:rPr>
                <w:color w:val="000000"/>
                <w:lang w:eastAsia="pt-BR"/>
              </w:rPr>
            </w:pPr>
            <w:r w:rsidRPr="0083603A">
              <w:rPr>
                <w:color w:val="000000"/>
                <w:lang w:eastAsia="pt-BR"/>
              </w:rPr>
              <w:t>22</w:t>
            </w:r>
            <w:r w:rsidR="00CF63AD">
              <w:rPr>
                <w:color w:val="000000"/>
                <w:lang w:eastAsia="pt-BR"/>
              </w:rPr>
              <w:t>.</w:t>
            </w:r>
            <w:r w:rsidRPr="0083603A">
              <w:rPr>
                <w:color w:val="000000"/>
                <w:lang w:eastAsia="pt-BR"/>
              </w:rPr>
              <w:t>192</w:t>
            </w:r>
          </w:p>
        </w:tc>
      </w:tr>
    </w:tbl>
    <w:p w14:paraId="1A5CAEB2" w14:textId="1C924B59" w:rsidR="00A37F0A" w:rsidRPr="00A37F0A" w:rsidRDefault="00425CE7" w:rsidP="00A37F0A">
      <w:pPr>
        <w:pStyle w:val="Legenda"/>
        <w:jc w:val="center"/>
        <w:rPr>
          <w:color w:val="auto"/>
        </w:rPr>
      </w:pPr>
      <w:bookmarkStart w:id="2" w:name="_Ref106545599"/>
      <w:r>
        <w:rPr>
          <w:color w:val="auto"/>
        </w:rPr>
        <w:t>Fonte: Elaboração própria</w:t>
      </w:r>
    </w:p>
    <w:bookmarkEnd w:id="2"/>
    <w:p w14:paraId="54DC3AAA" w14:textId="1FC36945" w:rsidR="00633CD8" w:rsidRDefault="00633CD8" w:rsidP="00633CD8"/>
    <w:p w14:paraId="26AA49EB" w14:textId="5B8973D0" w:rsidR="00633CD8" w:rsidRDefault="00CF63AD" w:rsidP="00CF63AD">
      <w:pPr>
        <w:pStyle w:val="Corpodetexto"/>
        <w:spacing w:before="120" w:after="120" w:line="360" w:lineRule="auto"/>
        <w:ind w:left="0" w:right="227" w:firstLine="720"/>
        <w:jc w:val="both"/>
      </w:pPr>
      <w:r w:rsidRPr="00CF63AD">
        <w:t>Ne</w:t>
      </w:r>
      <w:r>
        <w:t>sta análise foram desconsiderada</w:t>
      </w:r>
      <w:r w:rsidRPr="00CF63AD">
        <w:t xml:space="preserve">s as observações com valores “NA”, “Não se trata de solicitação de informação”, “Pergunta Duplicada/Repetida”, “Informação inexistente” e “Órgão não tem competência para responder sobre o assunto”, pois em todos esses casos não há resposta possível a ser dada e podem ser consideradas solicitações inválidas. Assim, foram descartadas 218.667 observações, o que corresponde a 18,9% da base original. Após a remoção, permaneceram 938.782 </w:t>
      </w:r>
      <w:r w:rsidRPr="00CF63AD">
        <w:lastRenderedPageBreak/>
        <w:t>observações</w:t>
      </w:r>
      <w:r w:rsidR="00425CE7">
        <w:t xml:space="preserve">, distribuídas conforme </w:t>
      </w:r>
      <w:r w:rsidR="00425CE7">
        <w:fldChar w:fldCharType="begin"/>
      </w:r>
      <w:r w:rsidR="00425CE7">
        <w:instrText xml:space="preserve"> REF _Ref106668540 \h </w:instrText>
      </w:r>
      <w:r w:rsidR="00425CE7">
        <w:fldChar w:fldCharType="separate"/>
      </w:r>
      <w:r w:rsidR="00425CE7" w:rsidRPr="00A37F0A">
        <w:t xml:space="preserve">Figura </w:t>
      </w:r>
      <w:r w:rsidR="00425CE7">
        <w:rPr>
          <w:noProof/>
        </w:rPr>
        <w:t>1</w:t>
      </w:r>
      <w:r w:rsidR="00425CE7">
        <w:fldChar w:fldCharType="end"/>
      </w:r>
      <w:r w:rsidR="00425CE7">
        <w:t>.</w:t>
      </w:r>
      <w:r w:rsidR="00BD4AB1">
        <w:t xml:space="preserve"> Ressalta-se que os valores “NA” aparecem </w:t>
      </w:r>
      <w:r w:rsidR="004B7342">
        <w:t>concentrados</w:t>
      </w:r>
      <w:r w:rsidR="00BD4AB1">
        <w:t xml:space="preserve"> nos últimos dois meses</w:t>
      </w:r>
      <w:r w:rsidR="004B7342">
        <w:t xml:space="preserve">, maio e junho, já que as solicitações recebidas nesse período ainda estão no prazo válido para resposta. </w:t>
      </w:r>
      <w:r w:rsidR="00970A91">
        <w:t>Entretanto, para o contexto deste trabalho, optou-se por descartá-los.</w:t>
      </w:r>
    </w:p>
    <w:p w14:paraId="3503F217" w14:textId="77777777" w:rsidR="00A37F0A" w:rsidRDefault="00633CD8" w:rsidP="00A37F0A">
      <w:pPr>
        <w:keepNext/>
      </w:pPr>
      <w:r w:rsidRPr="00633CD8">
        <w:rPr>
          <w:noProof/>
          <w:lang w:eastAsia="pt-BR"/>
        </w:rPr>
        <w:drawing>
          <wp:inline distT="0" distB="0" distL="0" distR="0" wp14:anchorId="6CE3AFF4" wp14:editId="1ED663D2">
            <wp:extent cx="5702299" cy="3519133"/>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pic:cNvPicPr/>
                  </pic:nvPicPr>
                  <pic:blipFill>
                    <a:blip r:embed="rId13">
                      <a:extLst>
                        <a:ext uri="{28A0092B-C50C-407E-A947-70E740481C1C}">
                          <a14:useLocalDpi xmlns:a14="http://schemas.microsoft.com/office/drawing/2010/main" val="0"/>
                        </a:ext>
                      </a:extLst>
                    </a:blip>
                    <a:stretch>
                      <a:fillRect/>
                    </a:stretch>
                  </pic:blipFill>
                  <pic:spPr>
                    <a:xfrm>
                      <a:off x="0" y="0"/>
                      <a:ext cx="5702299" cy="3519133"/>
                    </a:xfrm>
                    <a:prstGeom prst="rect">
                      <a:avLst/>
                    </a:prstGeom>
                  </pic:spPr>
                </pic:pic>
              </a:graphicData>
            </a:graphic>
          </wp:inline>
        </w:drawing>
      </w:r>
    </w:p>
    <w:p w14:paraId="05294364" w14:textId="030B5BC8" w:rsidR="00810781" w:rsidRPr="00A37F0A" w:rsidRDefault="00A37F0A" w:rsidP="00A37F0A">
      <w:pPr>
        <w:pStyle w:val="Legenda"/>
        <w:jc w:val="center"/>
        <w:rPr>
          <w:color w:val="auto"/>
        </w:rPr>
      </w:pPr>
      <w:bookmarkStart w:id="3" w:name="_Ref106668540"/>
      <w:r w:rsidRPr="00A37F0A">
        <w:rPr>
          <w:color w:val="auto"/>
        </w:rPr>
        <w:t xml:space="preserve">Figura </w:t>
      </w:r>
      <w:r w:rsidRPr="00A37F0A">
        <w:rPr>
          <w:color w:val="auto"/>
        </w:rPr>
        <w:fldChar w:fldCharType="begin"/>
      </w:r>
      <w:r w:rsidRPr="00A37F0A">
        <w:rPr>
          <w:color w:val="auto"/>
        </w:rPr>
        <w:instrText xml:space="preserve"> SEQ Figura \* ARABIC </w:instrText>
      </w:r>
      <w:r w:rsidRPr="00A37F0A">
        <w:rPr>
          <w:color w:val="auto"/>
        </w:rPr>
        <w:fldChar w:fldCharType="separate"/>
      </w:r>
      <w:r w:rsidR="00BD4AB1">
        <w:rPr>
          <w:noProof/>
          <w:color w:val="auto"/>
        </w:rPr>
        <w:t>1</w:t>
      </w:r>
      <w:r w:rsidRPr="00A37F0A">
        <w:rPr>
          <w:color w:val="auto"/>
        </w:rPr>
        <w:fldChar w:fldCharType="end"/>
      </w:r>
      <w:bookmarkEnd w:id="3"/>
      <w:r w:rsidRPr="00A37F0A">
        <w:rPr>
          <w:color w:val="auto"/>
        </w:rPr>
        <w:t xml:space="preserve"> - Total de solicitações</w:t>
      </w:r>
      <w:r w:rsidR="00C909C5">
        <w:rPr>
          <w:color w:val="auto"/>
        </w:rPr>
        <w:t xml:space="preserve"> mensais</w:t>
      </w:r>
      <w:r w:rsidRPr="00A37F0A">
        <w:rPr>
          <w:color w:val="auto"/>
        </w:rPr>
        <w:t xml:space="preserve"> ao longo do tempo</w:t>
      </w:r>
    </w:p>
    <w:p w14:paraId="0A56865C" w14:textId="77777777" w:rsidR="00A37F0A" w:rsidRDefault="00A37F0A" w:rsidP="00A37F0A">
      <w:pPr>
        <w:pStyle w:val="Corpodetexto"/>
        <w:spacing w:before="120" w:after="120" w:line="360" w:lineRule="auto"/>
        <w:ind w:left="0" w:right="227" w:firstLine="709"/>
        <w:jc w:val="both"/>
      </w:pPr>
    </w:p>
    <w:p w14:paraId="6E980CA0" w14:textId="2541350C" w:rsidR="00A37F0A" w:rsidRDefault="00A37F0A" w:rsidP="00A37F0A">
      <w:pPr>
        <w:pStyle w:val="Corpodetexto"/>
        <w:spacing w:before="120" w:after="120" w:line="360" w:lineRule="auto"/>
        <w:ind w:left="0" w:right="227" w:firstLine="709"/>
        <w:jc w:val="both"/>
      </w:pPr>
      <w:r>
        <w:t xml:space="preserve">Conforme indica a </w:t>
      </w:r>
      <w:r w:rsidR="00425CE7" w:rsidRPr="00425CE7">
        <w:fldChar w:fldCharType="begin"/>
      </w:r>
      <w:r w:rsidR="00425CE7" w:rsidRPr="00425CE7">
        <w:instrText xml:space="preserve"> REF _Ref106669201 \h  \* MERGEFORMAT </w:instrText>
      </w:r>
      <w:r w:rsidR="00425CE7" w:rsidRPr="00425CE7">
        <w:fldChar w:fldCharType="separate"/>
      </w:r>
      <w:r w:rsidR="00425CE7" w:rsidRPr="00425CE7">
        <w:t xml:space="preserve">Tabela </w:t>
      </w:r>
      <w:r w:rsidR="00425CE7" w:rsidRPr="00425CE7">
        <w:rPr>
          <w:noProof/>
        </w:rPr>
        <w:t>1</w:t>
      </w:r>
      <w:r w:rsidR="00425CE7" w:rsidRPr="00425CE7">
        <w:fldChar w:fldCharType="end"/>
      </w:r>
      <w:r>
        <w:fldChar w:fldCharType="begin"/>
      </w:r>
      <w:r>
        <w:instrText xml:space="preserve"> REF _Ref106545599 \h </w:instrText>
      </w:r>
      <w:r w:rsidR="00917482">
        <w:fldChar w:fldCharType="separate"/>
      </w:r>
      <w:r>
        <w:fldChar w:fldCharType="end"/>
      </w:r>
      <w:r>
        <w:t>, há três valores possíveis para a variável “decisão”: acesso concedido, acesso negado e acesso parcialmente concedido. Como o intuito desta pesquisa é verificar se houve aumento ou não na quantidade de negações após a entrada em vigor da LGPD, a informação de acesso parcialmente concedido também indica que houve alguma negação de informação naquele pedido. Por isso, os valores de acesso negado e acesso parcialmente concedido foram unificados em um novo rótulo: acesso negado ou parcialmente negado.</w:t>
      </w:r>
    </w:p>
    <w:p w14:paraId="27119F1A" w14:textId="46A25586" w:rsidR="00F11404" w:rsidRPr="00BF777B" w:rsidRDefault="00A37F0A" w:rsidP="00C909C5">
      <w:pPr>
        <w:pStyle w:val="Corpodetexto"/>
        <w:spacing w:before="138" w:line="369" w:lineRule="auto"/>
        <w:ind w:left="0" w:right="227" w:firstLine="709"/>
        <w:jc w:val="both"/>
      </w:pPr>
      <w:r>
        <w:t>Após a unificação dos valores da variável “decisão”, os dados foram agrupados mensalmente e usando a variável “data do registro” e, para cada mês, foi calculado o percentual de solicitações negadas. Para esse percentual foi considerado o total de solicitações negadas ou parcialmente negadas</w:t>
      </w:r>
      <w:r w:rsidR="00C909C5">
        <w:t xml:space="preserve">, gerando </w:t>
      </w:r>
      <w:r>
        <w:t>uma tabela com duas variáveis, mês/ano e percentual negado, correspondentes aos meses de maio de 2012 a junho de 2022</w:t>
      </w:r>
      <w:r w:rsidR="00C909C5">
        <w:t>.</w:t>
      </w:r>
    </w:p>
    <w:p w14:paraId="4BAF1FEA" w14:textId="3F81FA6C" w:rsidR="00551730" w:rsidRDefault="00A37F0A" w:rsidP="00A37F0A">
      <w:pPr>
        <w:pStyle w:val="Corpodetexto"/>
        <w:spacing w:before="138" w:line="369" w:lineRule="auto"/>
        <w:ind w:left="0" w:right="227" w:firstLine="709"/>
        <w:jc w:val="both"/>
      </w:pPr>
      <w:r>
        <w:t>Por fim, essas informações foram separadas em dois conjuntos de dados. O primeiro conjunto corresponde ao período de maio de 2012 a agosto de 2020 e, o segundo, ao período de setembro de 2020 a junho de 2022. Representam, respectivamente, a taxa de negação mensal de pedidos de LAI no período anterior e posterior a entrada em vigor da LGP</w:t>
      </w:r>
      <w:r w:rsidR="009D4634">
        <w:t xml:space="preserve">D, conforme demonstrado na </w:t>
      </w:r>
      <w:r w:rsidR="009D4634">
        <w:fldChar w:fldCharType="begin"/>
      </w:r>
      <w:r w:rsidR="009D4634">
        <w:instrText xml:space="preserve"> REF _Ref106752735 \h </w:instrText>
      </w:r>
      <w:r w:rsidR="009D4634">
        <w:fldChar w:fldCharType="separate"/>
      </w:r>
      <w:r w:rsidR="009D4634" w:rsidRPr="009D4634">
        <w:t xml:space="preserve">Figura </w:t>
      </w:r>
      <w:r w:rsidR="009D4634" w:rsidRPr="009D4634">
        <w:rPr>
          <w:noProof/>
        </w:rPr>
        <w:t>2</w:t>
      </w:r>
      <w:r w:rsidR="009D4634">
        <w:fldChar w:fldCharType="end"/>
      </w:r>
      <w:r w:rsidR="009D4634">
        <w:t>.</w:t>
      </w:r>
    </w:p>
    <w:p w14:paraId="4CBD8C00" w14:textId="77777777" w:rsidR="009D4634" w:rsidRDefault="009D4634" w:rsidP="009D4634">
      <w:pPr>
        <w:pStyle w:val="Corpodetexto"/>
        <w:keepNext/>
        <w:spacing w:before="120" w:after="120" w:line="360" w:lineRule="auto"/>
        <w:ind w:left="0" w:right="227" w:firstLine="720"/>
        <w:jc w:val="both"/>
      </w:pPr>
      <w:r w:rsidRPr="009D4634">
        <w:rPr>
          <w:noProof/>
        </w:rPr>
        <w:lastRenderedPageBreak/>
        <w:drawing>
          <wp:inline distT="0" distB="0" distL="0" distR="0" wp14:anchorId="44A5C7F1" wp14:editId="27CA8CE9">
            <wp:extent cx="5269525" cy="3252083"/>
            <wp:effectExtent l="0" t="0" r="7620" b="5715"/>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pic:nvPicPr>
                  <pic:blipFill>
                    <a:blip r:embed="rId14"/>
                    <a:stretch>
                      <a:fillRect/>
                    </a:stretch>
                  </pic:blipFill>
                  <pic:spPr>
                    <a:xfrm>
                      <a:off x="0" y="0"/>
                      <a:ext cx="5278477" cy="3257607"/>
                    </a:xfrm>
                    <a:prstGeom prst="rect">
                      <a:avLst/>
                    </a:prstGeom>
                  </pic:spPr>
                </pic:pic>
              </a:graphicData>
            </a:graphic>
          </wp:inline>
        </w:drawing>
      </w:r>
    </w:p>
    <w:p w14:paraId="6A962B70" w14:textId="5FF9686E" w:rsidR="009D4634" w:rsidRPr="009D4634" w:rsidRDefault="009D4634" w:rsidP="009D4634">
      <w:pPr>
        <w:pStyle w:val="Legenda"/>
        <w:jc w:val="center"/>
        <w:rPr>
          <w:color w:val="auto"/>
        </w:rPr>
      </w:pPr>
      <w:bookmarkStart w:id="4" w:name="_Ref106752735"/>
      <w:bookmarkStart w:id="5" w:name="_Ref106752732"/>
      <w:r w:rsidRPr="009D4634">
        <w:rPr>
          <w:color w:val="auto"/>
        </w:rPr>
        <w:t xml:space="preserve">Figura </w:t>
      </w:r>
      <w:r w:rsidRPr="009D4634">
        <w:rPr>
          <w:color w:val="auto"/>
        </w:rPr>
        <w:fldChar w:fldCharType="begin"/>
      </w:r>
      <w:r w:rsidRPr="009D4634">
        <w:rPr>
          <w:color w:val="auto"/>
        </w:rPr>
        <w:instrText xml:space="preserve"> SEQ Figura \* ARABIC </w:instrText>
      </w:r>
      <w:r w:rsidRPr="009D4634">
        <w:rPr>
          <w:color w:val="auto"/>
        </w:rPr>
        <w:fldChar w:fldCharType="separate"/>
      </w:r>
      <w:r w:rsidR="00BD4AB1">
        <w:rPr>
          <w:noProof/>
          <w:color w:val="auto"/>
        </w:rPr>
        <w:t>2</w:t>
      </w:r>
      <w:r w:rsidRPr="009D4634">
        <w:rPr>
          <w:color w:val="auto"/>
        </w:rPr>
        <w:fldChar w:fldCharType="end"/>
      </w:r>
      <w:bookmarkEnd w:id="4"/>
      <w:r w:rsidRPr="009D4634">
        <w:rPr>
          <w:color w:val="auto"/>
        </w:rPr>
        <w:t xml:space="preserve"> - Percentual mensal de negações de acesso</w:t>
      </w:r>
      <w:bookmarkEnd w:id="5"/>
    </w:p>
    <w:p w14:paraId="625D6F87" w14:textId="77777777" w:rsidR="009D4634" w:rsidRDefault="009D4634" w:rsidP="001E6D61">
      <w:pPr>
        <w:pStyle w:val="Corpodetexto"/>
        <w:spacing w:before="120" w:after="120" w:line="360" w:lineRule="auto"/>
        <w:ind w:left="0" w:right="227" w:firstLine="720"/>
        <w:jc w:val="both"/>
      </w:pPr>
    </w:p>
    <w:p w14:paraId="56D94BE8" w14:textId="2FDA3CDB" w:rsidR="002528C5" w:rsidRDefault="00782D34" w:rsidP="001E6D61">
      <w:pPr>
        <w:pStyle w:val="Corpodetexto"/>
        <w:spacing w:before="120" w:after="120" w:line="360" w:lineRule="auto"/>
        <w:ind w:left="0" w:right="227" w:firstLine="720"/>
        <w:jc w:val="both"/>
      </w:pPr>
      <w:r>
        <w:t xml:space="preserve">Para verificar a normalidade dos dados foi aplicado o teste de Shapiro-Wilk, cuja hipótese nula indica que os dados se assemelham </w:t>
      </w:r>
      <w:r w:rsidR="00F63E51">
        <w:t>a uma distribuição normal. Os resultados serão apresentados na Seção 4.</w:t>
      </w:r>
    </w:p>
    <w:p w14:paraId="0FF67AEA" w14:textId="1D7E2C0F" w:rsidR="00A37F0A" w:rsidRDefault="00A37F0A" w:rsidP="00A37F0A">
      <w:pPr>
        <w:pStyle w:val="Corpodetexto"/>
        <w:spacing w:before="120" w:after="120" w:line="360" w:lineRule="auto"/>
        <w:ind w:left="0" w:right="227" w:firstLine="720"/>
        <w:jc w:val="both"/>
      </w:pPr>
      <w:r>
        <w:t>Para o teste de hipótese, foram comparadas as médias de dois grupos independentes, com marco temporal no início da vigência da LGPD. A hipótese nula (</w:t>
      </w:r>
      <w:r w:rsidRPr="001A439D">
        <w:t>H</w:t>
      </w:r>
      <w:r w:rsidRPr="001A439D">
        <w:rPr>
          <w:vertAlign w:val="subscript"/>
        </w:rPr>
        <w:t>0</w:t>
      </w:r>
      <w:r>
        <w:t>) afirma que não há diferença estatística entre as médias dos dois grupos e a hipótese alternativa (H</w:t>
      </w:r>
      <w:r w:rsidRPr="001A439D">
        <w:rPr>
          <w:vertAlign w:val="subscript"/>
        </w:rPr>
        <w:t>1</w:t>
      </w:r>
      <w:r>
        <w:t xml:space="preserve">) afirma que há diferença estatística entre </w:t>
      </w:r>
      <w:r w:rsidR="00C909C5">
        <w:t>elas</w:t>
      </w:r>
      <w:r>
        <w:t xml:space="preserve">. Para verificar a igualdade das variâncias foi realizado o teste F (distribuição de </w:t>
      </w:r>
      <w:r w:rsidRPr="00693513">
        <w:rPr>
          <w:i/>
          <w:iCs/>
        </w:rPr>
        <w:t>Fisher-</w:t>
      </w:r>
      <w:proofErr w:type="spellStart"/>
      <w:r w:rsidRPr="00693513">
        <w:rPr>
          <w:i/>
          <w:iCs/>
        </w:rPr>
        <w:t>Snedecor</w:t>
      </w:r>
      <w:proofErr w:type="spellEnd"/>
      <w:r>
        <w:t>), de modo a permitir a escolha do melhor método a ser utilizado</w:t>
      </w:r>
      <w:r w:rsidR="00313E29">
        <w:t xml:space="preserve"> no teste de hipótese</w:t>
      </w:r>
      <w:r>
        <w:t>.</w:t>
      </w:r>
    </w:p>
    <w:p w14:paraId="6DFA13AD" w14:textId="7838D25F" w:rsidR="00551730" w:rsidRDefault="00551730"/>
    <w:p w14:paraId="57800CDE" w14:textId="6DB76C50" w:rsidR="00FC7D2C" w:rsidRDefault="00FC7D2C" w:rsidP="001E6D61">
      <w:pPr>
        <w:pStyle w:val="Ttulo1"/>
        <w:tabs>
          <w:tab w:val="left" w:pos="463"/>
        </w:tabs>
        <w:spacing w:before="120" w:after="120" w:line="360" w:lineRule="auto"/>
        <w:jc w:val="both"/>
        <w:rPr>
          <w:color w:val="auto"/>
        </w:rPr>
      </w:pPr>
      <w:r w:rsidRPr="001E6D61">
        <w:rPr>
          <w:color w:val="auto"/>
        </w:rPr>
        <w:t xml:space="preserve">4. Resultados e Discussão </w:t>
      </w:r>
    </w:p>
    <w:p w14:paraId="0D5BDF3D" w14:textId="2D82E93C" w:rsidR="00313E29" w:rsidRDefault="004931A3" w:rsidP="00313E29">
      <w:pPr>
        <w:pStyle w:val="Corpodetexto"/>
        <w:spacing w:before="120" w:after="120" w:line="360" w:lineRule="auto"/>
        <w:ind w:left="0" w:right="227" w:firstLine="720"/>
        <w:jc w:val="both"/>
      </w:pPr>
      <w:r>
        <w:t xml:space="preserve">A </w:t>
      </w:r>
      <w:r w:rsidR="00313E29">
        <w:t>Figura 3 mostra o histograma com a distribuição da frequência relativa do percentual mensal de negações a pedidos de informação</w:t>
      </w:r>
      <w:r>
        <w:t xml:space="preserve"> para os dois grupos, </w:t>
      </w:r>
      <w:proofErr w:type="spellStart"/>
      <w:r>
        <w:t>pré</w:t>
      </w:r>
      <w:proofErr w:type="spellEnd"/>
      <w:r>
        <w:t>-LGPD e pós-LGPD</w:t>
      </w:r>
      <w:r w:rsidR="00313E29">
        <w:t xml:space="preserve">. O teste de Shapiro-Wilk com significância de 5% </w:t>
      </w:r>
      <w:r>
        <w:t>foi aplicado para verificar a normalidade dos dados</w:t>
      </w:r>
      <w:r w:rsidR="00313E29">
        <w:t xml:space="preserve">. </w:t>
      </w:r>
      <w:r>
        <w:t>N</w:t>
      </w:r>
      <w:r w:rsidR="00313E29">
        <w:t>o primeiro grupo encontra-se um p-valor de 0,12, indicando a normalidade dos dados. Já no segundo, encontra-se um p-valor de 0,01, indicando a não normalidade. Apesar disso, para fins didáticos, a análise prosseguirá considerando o comportamento normal da distribuição.</w:t>
      </w:r>
    </w:p>
    <w:p w14:paraId="30C3263C" w14:textId="77777777" w:rsidR="00313E29" w:rsidRDefault="00313E29" w:rsidP="001E6D61">
      <w:pPr>
        <w:pStyle w:val="Ttulo1"/>
        <w:tabs>
          <w:tab w:val="left" w:pos="463"/>
        </w:tabs>
        <w:spacing w:before="120" w:after="120" w:line="360" w:lineRule="auto"/>
        <w:jc w:val="both"/>
        <w:rPr>
          <w:color w:val="auto"/>
        </w:rPr>
      </w:pPr>
    </w:p>
    <w:p w14:paraId="6FCD7FC8" w14:textId="77777777" w:rsidR="004931A3" w:rsidRDefault="004931A3" w:rsidP="001E6D61">
      <w:pPr>
        <w:pStyle w:val="Corpodetexto"/>
        <w:spacing w:before="120" w:after="120" w:line="360" w:lineRule="auto"/>
        <w:ind w:left="0" w:right="227" w:firstLine="720"/>
        <w:jc w:val="both"/>
      </w:pPr>
    </w:p>
    <w:p w14:paraId="19BE63CB" w14:textId="3B79F319" w:rsidR="004931A3" w:rsidRDefault="00EF70AE" w:rsidP="001E6D61">
      <w:pPr>
        <w:pStyle w:val="Corpodetexto"/>
        <w:spacing w:before="120" w:after="120" w:line="360" w:lineRule="auto"/>
        <w:ind w:left="0" w:right="227" w:firstLine="720"/>
        <w:jc w:val="both"/>
      </w:pPr>
      <w:r>
        <w:rPr>
          <w:noProof/>
        </w:rPr>
        <w:lastRenderedPageBreak/>
        <mc:AlternateContent>
          <mc:Choice Requires="wps">
            <w:drawing>
              <wp:anchor distT="0" distB="0" distL="114300" distR="114300" simplePos="0" relativeHeight="251675648" behindDoc="0" locked="0" layoutInCell="1" allowOverlap="1" wp14:anchorId="4D3EF053" wp14:editId="1FB61CDD">
                <wp:simplePos x="0" y="0"/>
                <wp:positionH relativeFrom="column">
                  <wp:posOffset>578256</wp:posOffset>
                </wp:positionH>
                <wp:positionV relativeFrom="paragraph">
                  <wp:posOffset>2902763</wp:posOffset>
                </wp:positionV>
                <wp:extent cx="464248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4642485" cy="635"/>
                        </a:xfrm>
                        <a:prstGeom prst="rect">
                          <a:avLst/>
                        </a:prstGeom>
                        <a:solidFill>
                          <a:prstClr val="white"/>
                        </a:solidFill>
                        <a:ln>
                          <a:noFill/>
                        </a:ln>
                      </wps:spPr>
                      <wps:txbx>
                        <w:txbxContent>
                          <w:p w14:paraId="2A7981FD" w14:textId="3FBA4776" w:rsidR="00EF70AE" w:rsidRPr="00CD695D" w:rsidRDefault="00EF70AE" w:rsidP="00EF70AE">
                            <w:pPr>
                              <w:pStyle w:val="Legenda"/>
                              <w:rPr>
                                <w:noProof/>
                                <w:color w:val="auto"/>
                              </w:rPr>
                            </w:pPr>
                            <w:r w:rsidRPr="00CD695D">
                              <w:rPr>
                                <w:color w:val="auto"/>
                              </w:rPr>
                              <w:t xml:space="preserve">Figura </w:t>
                            </w:r>
                            <w:r w:rsidRPr="00CD695D">
                              <w:rPr>
                                <w:color w:val="auto"/>
                              </w:rPr>
                              <w:fldChar w:fldCharType="begin"/>
                            </w:r>
                            <w:r w:rsidRPr="00CD695D">
                              <w:rPr>
                                <w:color w:val="auto"/>
                              </w:rPr>
                              <w:instrText xml:space="preserve"> SEQ Figura \* ARABIC </w:instrText>
                            </w:r>
                            <w:r w:rsidRPr="00CD695D">
                              <w:rPr>
                                <w:color w:val="auto"/>
                              </w:rPr>
                              <w:fldChar w:fldCharType="separate"/>
                            </w:r>
                            <w:r w:rsidR="00BD4AB1">
                              <w:rPr>
                                <w:noProof/>
                                <w:color w:val="auto"/>
                              </w:rPr>
                              <w:t>3</w:t>
                            </w:r>
                            <w:r w:rsidRPr="00CD695D">
                              <w:rPr>
                                <w:color w:val="auto"/>
                              </w:rPr>
                              <w:fldChar w:fldCharType="end"/>
                            </w:r>
                            <w:r w:rsidRPr="00CD695D">
                              <w:rPr>
                                <w:color w:val="auto"/>
                              </w:rPr>
                              <w:t xml:space="preserve"> - Histograma do percentual mensal de negações </w:t>
                            </w:r>
                            <w:proofErr w:type="spellStart"/>
                            <w:r w:rsidRPr="00CD695D">
                              <w:rPr>
                                <w:color w:val="auto"/>
                              </w:rPr>
                              <w:t>pré</w:t>
                            </w:r>
                            <w:proofErr w:type="spellEnd"/>
                            <w:r w:rsidRPr="00CD695D">
                              <w:rPr>
                                <w:color w:val="auto"/>
                              </w:rPr>
                              <w:t>-LGPD e pós-LGPD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3EF053" id="_x0000_t202" coordsize="21600,21600" o:spt="202" path="m,l,21600r21600,l21600,xe">
                <v:stroke joinstyle="miter"/>
                <v:path gradientshapeok="t" o:connecttype="rect"/>
              </v:shapetype>
              <v:shape id="Caixa de Texto 2" o:spid="_x0000_s1026" type="#_x0000_t202" style="position:absolute;left:0;text-align:left;margin-left:45.55pt;margin-top:228.55pt;width:365.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udFgIAADgEAAAOAAAAZHJzL2Uyb0RvYy54bWysU1Fv2jAQfp+0/2D5fQQYRVVEqBgV0yTU&#10;VqJTn43jkEiOzzsbEvbrd3YS6Lo9VX1xLr7zd77v+7y4a2vNTgpdBSbjk9GYM2Uk5JU5ZPzn8+bL&#10;LWfOC5MLDUZl/Kwcv1t+/rRobKqmUILOFTICMS5tbMZL722aJE6WqhZuBFYZShaAtfD0i4ckR9EQ&#10;eq2T6Xg8TxrA3CJI5Rzt3ndJvoz4RaGkfywKpzzTGae7+bhiXPdhTZYLkR5Q2LKS/TXEO25Ri8pQ&#10;0wvUvfCCHbH6B6quJIKDwo8k1AkURSVVnIGmmYzfTLMrhVVxFiLH2QtN7uNg5cNpZ5+Q+fYbtCRg&#10;IKSxLnW0GeZpC6zDl27KKE8Uni+0qdYzSZuz+Ww6u73hTFJu/vUm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PQxHqngAAAACgEAAA8AAABkcnMvZG93bnJldi54bWxMjz1PwzAQhnck/oN1SCyI&#10;OgmhLSFOVVUwwFKRdmFz42sciO3Idtrw7zlYYLuPR+89V64m07MT+tA5KyCdJcDQNk51thWw3z3f&#10;LoGFKK2SvbMo4AsDrKrLi1IWyp3tG57q2DIKsaGQAnSMQ8F5aDQaGWZuQEu7o/NGRmp9y5WXZwo3&#10;Pc+SZM6N7Cxd0HLAjcbmsx6NgG3+vtU34/HpdZ3f+Zf9uJl/tLUQ11fT+hFYxCn+wfCjT+pQkdPB&#10;jVYF1gt4SFMiBeT3CyoIWGZZBuzwO8mAVyX//0L1DQAA//8DAFBLAQItABQABgAIAAAAIQC2gziS&#10;/gAAAOEBAAATAAAAAAAAAAAAAAAAAAAAAABbQ29udGVudF9UeXBlc10ueG1sUEsBAi0AFAAGAAgA&#10;AAAhADj9If/WAAAAlAEAAAsAAAAAAAAAAAAAAAAALwEAAF9yZWxzLy5yZWxzUEsBAi0AFAAGAAgA&#10;AAAhAC09W50WAgAAOAQAAA4AAAAAAAAAAAAAAAAALgIAAGRycy9lMm9Eb2MueG1sUEsBAi0AFAAG&#10;AAgAAAAhAPQxHqngAAAACgEAAA8AAAAAAAAAAAAAAAAAcAQAAGRycy9kb3ducmV2LnhtbFBLBQYA&#10;AAAABAAEAPMAAAB9BQAAAAA=&#10;" stroked="f">
                <v:textbox style="mso-fit-shape-to-text:t" inset="0,0,0,0">
                  <w:txbxContent>
                    <w:p w14:paraId="2A7981FD" w14:textId="3FBA4776" w:rsidR="00EF70AE" w:rsidRPr="00CD695D" w:rsidRDefault="00EF70AE" w:rsidP="00EF70AE">
                      <w:pPr>
                        <w:pStyle w:val="Legenda"/>
                        <w:rPr>
                          <w:noProof/>
                          <w:color w:val="auto"/>
                        </w:rPr>
                      </w:pPr>
                      <w:r w:rsidRPr="00CD695D">
                        <w:rPr>
                          <w:color w:val="auto"/>
                        </w:rPr>
                        <w:t xml:space="preserve">Figura </w:t>
                      </w:r>
                      <w:r w:rsidRPr="00CD695D">
                        <w:rPr>
                          <w:color w:val="auto"/>
                        </w:rPr>
                        <w:fldChar w:fldCharType="begin"/>
                      </w:r>
                      <w:r w:rsidRPr="00CD695D">
                        <w:rPr>
                          <w:color w:val="auto"/>
                        </w:rPr>
                        <w:instrText xml:space="preserve"> SEQ Figura \* ARABIC </w:instrText>
                      </w:r>
                      <w:r w:rsidRPr="00CD695D">
                        <w:rPr>
                          <w:color w:val="auto"/>
                        </w:rPr>
                        <w:fldChar w:fldCharType="separate"/>
                      </w:r>
                      <w:r w:rsidR="00BD4AB1">
                        <w:rPr>
                          <w:noProof/>
                          <w:color w:val="auto"/>
                        </w:rPr>
                        <w:t>3</w:t>
                      </w:r>
                      <w:r w:rsidRPr="00CD695D">
                        <w:rPr>
                          <w:color w:val="auto"/>
                        </w:rPr>
                        <w:fldChar w:fldCharType="end"/>
                      </w:r>
                      <w:r w:rsidRPr="00CD695D">
                        <w:rPr>
                          <w:color w:val="auto"/>
                        </w:rPr>
                        <w:t xml:space="preserve"> - Histograma do percentual mensal de negações </w:t>
                      </w:r>
                      <w:proofErr w:type="spellStart"/>
                      <w:r w:rsidRPr="00CD695D">
                        <w:rPr>
                          <w:color w:val="auto"/>
                        </w:rPr>
                        <w:t>pré</w:t>
                      </w:r>
                      <w:proofErr w:type="spellEnd"/>
                      <w:r w:rsidRPr="00CD695D">
                        <w:rPr>
                          <w:color w:val="auto"/>
                        </w:rPr>
                        <w:t>-LGPD e pós-LGPD</w:t>
                      </w:r>
                    </w:p>
                  </w:txbxContent>
                </v:textbox>
                <w10:wrap type="topAndBottom"/>
              </v:shape>
            </w:pict>
          </mc:Fallback>
        </mc:AlternateContent>
      </w:r>
    </w:p>
    <w:p w14:paraId="24B21F5F" w14:textId="252FEB6A" w:rsidR="00425CE7" w:rsidRDefault="004931A3" w:rsidP="001E6D61">
      <w:pPr>
        <w:pStyle w:val="Corpodetexto"/>
        <w:spacing w:before="120" w:after="120" w:line="360" w:lineRule="auto"/>
        <w:ind w:left="0" w:right="227" w:firstLine="720"/>
        <w:jc w:val="both"/>
      </w:pPr>
      <w:r w:rsidRPr="007C306A">
        <w:rPr>
          <w:noProof/>
          <w:lang w:eastAsia="pt-BR"/>
        </w:rPr>
        <w:drawing>
          <wp:anchor distT="0" distB="0" distL="114300" distR="114300" simplePos="0" relativeHeight="251658240" behindDoc="0" locked="0" layoutInCell="1" allowOverlap="1" wp14:anchorId="3BFA273E" wp14:editId="1AD13939">
            <wp:simplePos x="0" y="0"/>
            <wp:positionH relativeFrom="margin">
              <wp:align>center</wp:align>
            </wp:positionH>
            <wp:positionV relativeFrom="margin">
              <wp:align>top</wp:align>
            </wp:positionV>
            <wp:extent cx="4642485" cy="2865120"/>
            <wp:effectExtent l="0" t="0" r="5715" b="0"/>
            <wp:wrapTopAndBottom/>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pic:cNvPicPr/>
                  </pic:nvPicPr>
                  <pic:blipFill>
                    <a:blip r:embed="rId15">
                      <a:extLst>
                        <a:ext uri="{28A0092B-C50C-407E-A947-70E740481C1C}">
                          <a14:useLocalDpi xmlns:a14="http://schemas.microsoft.com/office/drawing/2010/main" val="0"/>
                        </a:ext>
                      </a:extLst>
                    </a:blip>
                    <a:stretch>
                      <a:fillRect/>
                    </a:stretch>
                  </pic:blipFill>
                  <pic:spPr>
                    <a:xfrm>
                      <a:off x="0" y="0"/>
                      <a:ext cx="4642485" cy="2865120"/>
                    </a:xfrm>
                    <a:prstGeom prst="rect">
                      <a:avLst/>
                    </a:prstGeom>
                  </pic:spPr>
                </pic:pic>
              </a:graphicData>
            </a:graphic>
            <wp14:sizeRelH relativeFrom="margin">
              <wp14:pctWidth>0</wp14:pctWidth>
            </wp14:sizeRelH>
            <wp14:sizeRelV relativeFrom="margin">
              <wp14:pctHeight>0</wp14:pctHeight>
            </wp14:sizeRelV>
          </wp:anchor>
        </w:drawing>
      </w:r>
      <w:r w:rsidR="00425CE7">
        <w:t>Aplicando-se o Teste F(Fisher-</w:t>
      </w:r>
      <w:proofErr w:type="spellStart"/>
      <w:r w:rsidR="00425CE7">
        <w:t>Snedecor</w:t>
      </w:r>
      <w:proofErr w:type="spellEnd"/>
      <w:r w:rsidR="00425CE7">
        <w:t>) chegou-se, com 95% de confiança, ao p-valor de 0,01. Assim, rejeita-se a hipótese nula e conclui-se que as variâncias dos dois grupos são diferentes.</w:t>
      </w:r>
    </w:p>
    <w:p w14:paraId="6E089065" w14:textId="1DD9B502" w:rsidR="00B178A4" w:rsidRPr="00EF70AE" w:rsidRDefault="00FC7D2C" w:rsidP="00EF70AE">
      <w:pPr>
        <w:pStyle w:val="Corpodetexto"/>
        <w:spacing w:before="138" w:line="369" w:lineRule="auto"/>
        <w:ind w:left="0" w:right="227"/>
        <w:jc w:val="both"/>
        <w:rPr>
          <w:b/>
          <w:bCs/>
          <w:i/>
          <w:iCs/>
        </w:rPr>
      </w:pPr>
      <w:r>
        <w:tab/>
      </w:r>
      <w:r w:rsidR="001D3804">
        <w:t xml:space="preserve"> Aplicando-se o teste </w:t>
      </w:r>
      <w:r w:rsidR="001D3804" w:rsidRPr="002B6179">
        <w:t xml:space="preserve">T </w:t>
      </w:r>
      <w:r w:rsidR="00634CD6" w:rsidRPr="002B6179">
        <w:t xml:space="preserve">de </w:t>
      </w:r>
      <w:proofErr w:type="spellStart"/>
      <w:r w:rsidR="00634CD6" w:rsidRPr="00935E24">
        <w:rPr>
          <w:i/>
          <w:iCs/>
        </w:rPr>
        <w:t>Student</w:t>
      </w:r>
      <w:proofErr w:type="spellEnd"/>
      <w:r w:rsidR="00634CD6">
        <w:t xml:space="preserve"> </w:t>
      </w:r>
      <w:r w:rsidR="001D3804">
        <w:t>com bilateralidade, considerando grupos independentes com variâncias distintas</w:t>
      </w:r>
      <w:r w:rsidR="00634CD6">
        <w:t xml:space="preserve"> e nível de confiança de 95%</w:t>
      </w:r>
      <w:r w:rsidR="00BA1D7E">
        <w:t xml:space="preserve">, chega-se </w:t>
      </w:r>
      <w:r w:rsidR="00075B15">
        <w:t>a:</w:t>
      </w:r>
    </w:p>
    <w:p w14:paraId="3C367A58" w14:textId="28261063" w:rsidR="00075B15" w:rsidRDefault="00075B15" w:rsidP="001E6D61">
      <w:pPr>
        <w:pStyle w:val="PargrafodaLista"/>
        <w:numPr>
          <w:ilvl w:val="0"/>
          <w:numId w:val="17"/>
        </w:numPr>
        <w:spacing w:before="120" w:after="120" w:line="360" w:lineRule="auto"/>
      </w:pPr>
      <w:r>
        <w:t xml:space="preserve">Estatística t de </w:t>
      </w:r>
      <w:r w:rsidRPr="00075B15">
        <w:t>1</w:t>
      </w:r>
      <w:r>
        <w:t>,</w:t>
      </w:r>
      <w:r w:rsidRPr="00075B15">
        <w:t>4504</w:t>
      </w:r>
    </w:p>
    <w:p w14:paraId="38606F04" w14:textId="6715E642" w:rsidR="00075B15" w:rsidRDefault="00075B15" w:rsidP="001E6D61">
      <w:pPr>
        <w:pStyle w:val="PargrafodaLista"/>
        <w:numPr>
          <w:ilvl w:val="0"/>
          <w:numId w:val="17"/>
        </w:numPr>
        <w:spacing w:before="120" w:after="120" w:line="360" w:lineRule="auto"/>
      </w:pPr>
      <w:r>
        <w:t>Graus de liberdade: 48,344</w:t>
      </w:r>
    </w:p>
    <w:p w14:paraId="4632EFF7" w14:textId="622F3FF9" w:rsidR="00075B15" w:rsidRDefault="00075B15" w:rsidP="001E6D61">
      <w:pPr>
        <w:pStyle w:val="PargrafodaLista"/>
        <w:numPr>
          <w:ilvl w:val="0"/>
          <w:numId w:val="17"/>
        </w:numPr>
        <w:spacing w:before="120" w:after="120" w:line="360" w:lineRule="auto"/>
      </w:pPr>
      <w:r>
        <w:t>p-valor: 0,1534</w:t>
      </w:r>
    </w:p>
    <w:p w14:paraId="77BA4851" w14:textId="77777777" w:rsidR="00BD4AB1" w:rsidRDefault="00516219" w:rsidP="00516219">
      <w:pPr>
        <w:spacing w:before="120" w:after="120" w:line="360" w:lineRule="auto"/>
        <w:ind w:firstLine="851"/>
      </w:pPr>
      <w:r>
        <w:t xml:space="preserve">Os resultados estão ilustrados na Figura 4, cujas curvas demonstram que os valores de </w:t>
      </w:r>
      <w:r w:rsidRPr="00516219">
        <w:rPr>
          <w:i/>
          <w:iCs/>
        </w:rPr>
        <w:t>t</w:t>
      </w:r>
      <w:r>
        <w:t xml:space="preserve"> e da diferença entre as médias ficou dentro do intervalo de confiança. </w:t>
      </w:r>
      <w:r w:rsidR="006964FF">
        <w:t>Assim, falha-se em rejeitar a hipótese nula (H</w:t>
      </w:r>
      <w:r w:rsidR="006964FF" w:rsidRPr="00A37F0A">
        <w:rPr>
          <w:vertAlign w:val="subscript"/>
        </w:rPr>
        <w:t>0</w:t>
      </w:r>
      <w:r w:rsidR="006964FF">
        <w:t>) e conclui-se que a</w:t>
      </w:r>
      <w:r w:rsidR="003247C6">
        <w:t>s médias dos percentuais mensais de negação de pedido de informação antes e após a LGPD são estatisticamente iguais</w:t>
      </w:r>
      <w:r w:rsidR="002B6179">
        <w:fldChar w:fldCharType="begin"/>
      </w:r>
      <w:r w:rsidR="002B6179">
        <w:instrText xml:space="preserve"> REF _Ref106566201 \h  \* MERGEFORMAT </w:instrText>
      </w:r>
      <w:r w:rsidR="00917482">
        <w:fldChar w:fldCharType="separate"/>
      </w:r>
      <w:r w:rsidR="002B6179">
        <w:fldChar w:fldCharType="end"/>
      </w:r>
      <w:r w:rsidR="003247C6">
        <w:t>.</w:t>
      </w:r>
      <w:r w:rsidR="00B178A4">
        <w:t xml:space="preserve"> </w:t>
      </w:r>
    </w:p>
    <w:p w14:paraId="27E453E2" w14:textId="4EF3BD84" w:rsidR="00E35B10" w:rsidRDefault="00E35B10" w:rsidP="00516219">
      <w:pPr>
        <w:spacing w:before="120" w:after="120" w:line="360" w:lineRule="auto"/>
        <w:ind w:firstLine="851"/>
      </w:pPr>
      <w:r>
        <w:t>O erro tipo II corresponde a falhar em rejeitar H</w:t>
      </w:r>
      <w:r w:rsidRPr="00A37F0A">
        <w:rPr>
          <w:vertAlign w:val="subscript"/>
        </w:rPr>
        <w:t>0</w:t>
      </w:r>
      <w:r>
        <w:t xml:space="preserve"> quando ele é falso. A probabilidade de isso acontecer, tendo como foco o grupo pós-LGPD, é de 36,7%, levando a uma força do teste de 63,3%. Isso demonstra que o teste não </w:t>
      </w:r>
      <w:r w:rsidR="00E26FFA">
        <w:t xml:space="preserve">é </w:t>
      </w:r>
      <w:r>
        <w:t>tão robusto, especialmente devido ao tamanho do grupo pós-LGPD.</w:t>
      </w:r>
    </w:p>
    <w:p w14:paraId="15748585" w14:textId="72646CCE" w:rsidR="00666D4E" w:rsidRDefault="00666D4E" w:rsidP="001E6D61">
      <w:pPr>
        <w:pStyle w:val="Ttulo1"/>
        <w:tabs>
          <w:tab w:val="left" w:pos="463"/>
        </w:tabs>
        <w:spacing w:before="120" w:after="120" w:line="360" w:lineRule="auto"/>
        <w:ind w:left="102"/>
        <w:jc w:val="both"/>
        <w:rPr>
          <w:color w:val="auto"/>
        </w:rPr>
      </w:pPr>
    </w:p>
    <w:p w14:paraId="58D16185" w14:textId="77777777" w:rsidR="00BD4AB1" w:rsidRDefault="00BD4AB1">
      <w:pPr>
        <w:rPr>
          <w:b/>
          <w:sz w:val="32"/>
        </w:rPr>
      </w:pPr>
      <w:r>
        <w:br w:type="page"/>
      </w:r>
    </w:p>
    <w:p w14:paraId="2B95214E" w14:textId="407543B0" w:rsidR="003247C6" w:rsidRPr="001E6D61" w:rsidRDefault="00BD4AB1" w:rsidP="001E6D61">
      <w:pPr>
        <w:pStyle w:val="Ttulo1"/>
        <w:tabs>
          <w:tab w:val="left" w:pos="463"/>
        </w:tabs>
        <w:spacing w:before="120" w:after="120" w:line="360" w:lineRule="auto"/>
        <w:ind w:left="102"/>
        <w:jc w:val="both"/>
        <w:rPr>
          <w:color w:val="auto"/>
        </w:rPr>
      </w:pPr>
      <w:r>
        <w:rPr>
          <w:noProof/>
        </w:rPr>
        <w:lastRenderedPageBreak/>
        <mc:AlternateContent>
          <mc:Choice Requires="wps">
            <w:drawing>
              <wp:anchor distT="0" distB="0" distL="114300" distR="114300" simplePos="0" relativeHeight="251678720" behindDoc="0" locked="0" layoutInCell="1" allowOverlap="1" wp14:anchorId="09BD7E75" wp14:editId="34BF7AEC">
                <wp:simplePos x="0" y="0"/>
                <wp:positionH relativeFrom="column">
                  <wp:posOffset>543560</wp:posOffset>
                </wp:positionH>
                <wp:positionV relativeFrom="paragraph">
                  <wp:posOffset>3743325</wp:posOffset>
                </wp:positionV>
                <wp:extent cx="4614545" cy="63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4614545" cy="635"/>
                        </a:xfrm>
                        <a:prstGeom prst="rect">
                          <a:avLst/>
                        </a:prstGeom>
                        <a:solidFill>
                          <a:prstClr val="white"/>
                        </a:solidFill>
                        <a:ln>
                          <a:noFill/>
                        </a:ln>
                      </wps:spPr>
                      <wps:txbx>
                        <w:txbxContent>
                          <w:p w14:paraId="01017067" w14:textId="2104C484" w:rsidR="00BD4AB1" w:rsidRPr="00BD4AB1" w:rsidRDefault="00BD4AB1" w:rsidP="00BD4AB1">
                            <w:pPr>
                              <w:pStyle w:val="Legenda"/>
                              <w:jc w:val="center"/>
                              <w:rPr>
                                <w:b/>
                                <w:noProof/>
                                <w:color w:val="auto"/>
                                <w:szCs w:val="22"/>
                              </w:rPr>
                            </w:pPr>
                            <w:r w:rsidRPr="00BD4AB1">
                              <w:rPr>
                                <w:color w:val="auto"/>
                              </w:rPr>
                              <w:t xml:space="preserve">Figura </w:t>
                            </w:r>
                            <w:r w:rsidRPr="00BD4AB1">
                              <w:rPr>
                                <w:color w:val="auto"/>
                              </w:rPr>
                              <w:fldChar w:fldCharType="begin"/>
                            </w:r>
                            <w:r w:rsidRPr="00BD4AB1">
                              <w:rPr>
                                <w:color w:val="auto"/>
                              </w:rPr>
                              <w:instrText xml:space="preserve"> SEQ Figura \* ARABIC </w:instrText>
                            </w:r>
                            <w:r w:rsidRPr="00BD4AB1">
                              <w:rPr>
                                <w:color w:val="auto"/>
                              </w:rPr>
                              <w:fldChar w:fldCharType="separate"/>
                            </w:r>
                            <w:r w:rsidRPr="00BD4AB1">
                              <w:rPr>
                                <w:noProof/>
                                <w:color w:val="auto"/>
                              </w:rPr>
                              <w:t>4</w:t>
                            </w:r>
                            <w:r w:rsidRPr="00BD4AB1">
                              <w:rPr>
                                <w:color w:val="auto"/>
                              </w:rPr>
                              <w:fldChar w:fldCharType="end"/>
                            </w:r>
                            <w:r w:rsidRPr="00BD4AB1">
                              <w:rPr>
                                <w:color w:val="auto"/>
                              </w:rPr>
                              <w:t xml:space="preserve"> - Resultado do teste t de </w:t>
                            </w:r>
                            <w:proofErr w:type="spellStart"/>
                            <w:r w:rsidRPr="00BD4AB1">
                              <w:rPr>
                                <w:color w:val="auto"/>
                              </w:rPr>
                              <w:t>Student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BD7E75" id="Caixa de Texto 7" o:spid="_x0000_s1027" type="#_x0000_t202" style="position:absolute;left:0;text-align:left;margin-left:42.8pt;margin-top:294.75pt;width:363.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CvCGQIAAD8EAAAOAAAAZHJzL2Uyb0RvYy54bWysU8Fu2zAMvQ/YPwi6L066pBiCOEWWIsOA&#10;oC2QFj0rshwLkEWNUmJnXz9KtpOu22nYRaZJihTfe1zctbVhJ4Veg835ZDTmTFkJhbaHnL88bz59&#10;4cwHYQthwKqcn5Xnd8uPHxaNm6sbqMAUChkVsX7euJxXIbh5lnlZqVr4EThlKVgC1iLQLx6yAkVD&#10;1WuT3YzHt1kDWDgEqbwn730X5MtUvyyVDI9l6VVgJuf0tpBOTOc+ntlyIeYHFK7Ssn+G+IdX1EJb&#10;anopdS+CYEfUf5SqtUTwUIaRhDqDstRSpRlomsn43TS7SjiVZiFwvLvA5P9fWflw2rknZKH9Ci0R&#10;GAFpnJ97csZ52hLr+KWXMooThOcLbKoNTJJzejuZzqYzziTFbj/PYo3setWhD98U1CwaOUfiJEEl&#10;TlsfutQhJXbyYHSx0cbEnxhYG2QnQfw1lQ6qL/5blrEx10K81RWMnuw6R7RCu2+ZLt7MuIfiTKMj&#10;dKrwTm409dsKH54EkgxoWpJ2eKSjNNDkHHqLswrw59/8MZ/YoShnDckq5/7HUaDizHy3xFvU4GDg&#10;YOwHwx7rNdCkE1oaJ5NJFzCYwSwR6ldS/Cp2oZCwknrlPAzmOnTipo2RarVKSaQ0J8LW7pyMpQdc&#10;n9tXga5nJRCZDzAITszfkdPlJnrc6hgI6cRcxLVDsYebVJq47zcqrsHb/5R13fvlLwAAAP//AwBQ&#10;SwMEFAAGAAgAAAAhADEM6x/hAAAACgEAAA8AAABkcnMvZG93bnJldi54bWxMjz1PwzAQhnck/oN1&#10;SCyIOv1IFEKcqqpggKUidGFz42sciM+R7bTh32O6wHh3j9573nI9mZ6d0PnOkoD5LAGG1FjVUStg&#10;//58nwPzQZKSvSUU8I0e1tX1VSkLZc/0hqc6tCyGkC+kAB3CUHDuG41G+pkdkOLtaJ2RIY6u5crJ&#10;cww3PV8kScaN7Ch+0HLArcbmqx6NgN3qY6fvxuPT62a1dC/7cZt9trUQtzfT5hFYwCn8wfCrH9Wh&#10;ik4HO5LyrBeQp1kkBaT5QwosAvl8sQR2uGwy4FXJ/1eofgAAAP//AwBQSwECLQAUAAYACAAAACEA&#10;toM4kv4AAADhAQAAEwAAAAAAAAAAAAAAAAAAAAAAW0NvbnRlbnRfVHlwZXNdLnhtbFBLAQItABQA&#10;BgAIAAAAIQA4/SH/1gAAAJQBAAALAAAAAAAAAAAAAAAAAC8BAABfcmVscy8ucmVsc1BLAQItABQA&#10;BgAIAAAAIQBj2CvCGQIAAD8EAAAOAAAAAAAAAAAAAAAAAC4CAABkcnMvZTJvRG9jLnhtbFBLAQIt&#10;ABQABgAIAAAAIQAxDOsf4QAAAAoBAAAPAAAAAAAAAAAAAAAAAHMEAABkcnMvZG93bnJldi54bWxQ&#10;SwUGAAAAAAQABADzAAAAgQUAAAAA&#10;" stroked="f">
                <v:textbox style="mso-fit-shape-to-text:t" inset="0,0,0,0">
                  <w:txbxContent>
                    <w:p w14:paraId="01017067" w14:textId="2104C484" w:rsidR="00BD4AB1" w:rsidRPr="00BD4AB1" w:rsidRDefault="00BD4AB1" w:rsidP="00BD4AB1">
                      <w:pPr>
                        <w:pStyle w:val="Legenda"/>
                        <w:jc w:val="center"/>
                        <w:rPr>
                          <w:b/>
                          <w:noProof/>
                          <w:color w:val="auto"/>
                          <w:szCs w:val="22"/>
                        </w:rPr>
                      </w:pPr>
                      <w:r w:rsidRPr="00BD4AB1">
                        <w:rPr>
                          <w:color w:val="auto"/>
                        </w:rPr>
                        <w:t xml:space="preserve">Figura </w:t>
                      </w:r>
                      <w:r w:rsidRPr="00BD4AB1">
                        <w:rPr>
                          <w:color w:val="auto"/>
                        </w:rPr>
                        <w:fldChar w:fldCharType="begin"/>
                      </w:r>
                      <w:r w:rsidRPr="00BD4AB1">
                        <w:rPr>
                          <w:color w:val="auto"/>
                        </w:rPr>
                        <w:instrText xml:space="preserve"> SEQ Figura \* ARABIC </w:instrText>
                      </w:r>
                      <w:r w:rsidRPr="00BD4AB1">
                        <w:rPr>
                          <w:color w:val="auto"/>
                        </w:rPr>
                        <w:fldChar w:fldCharType="separate"/>
                      </w:r>
                      <w:r w:rsidRPr="00BD4AB1">
                        <w:rPr>
                          <w:noProof/>
                          <w:color w:val="auto"/>
                        </w:rPr>
                        <w:t>4</w:t>
                      </w:r>
                      <w:r w:rsidRPr="00BD4AB1">
                        <w:rPr>
                          <w:color w:val="auto"/>
                        </w:rPr>
                        <w:fldChar w:fldCharType="end"/>
                      </w:r>
                      <w:r w:rsidRPr="00BD4AB1">
                        <w:rPr>
                          <w:color w:val="auto"/>
                        </w:rPr>
                        <w:t xml:space="preserve"> - Resultado do teste t de </w:t>
                      </w:r>
                      <w:proofErr w:type="spellStart"/>
                      <w:r w:rsidRPr="00BD4AB1">
                        <w:rPr>
                          <w:color w:val="auto"/>
                        </w:rPr>
                        <w:t>Student</w:t>
                      </w:r>
                      <w:proofErr w:type="spellEnd"/>
                    </w:p>
                  </w:txbxContent>
                </v:textbox>
                <w10:wrap type="topAndBottom"/>
              </v:shape>
            </w:pict>
          </mc:Fallback>
        </mc:AlternateContent>
      </w:r>
      <w:r>
        <w:rPr>
          <w:noProof/>
        </w:rPr>
        <w:drawing>
          <wp:anchor distT="0" distB="0" distL="114300" distR="114300" simplePos="0" relativeHeight="251676672" behindDoc="0" locked="0" layoutInCell="1" allowOverlap="1" wp14:anchorId="38FCBADE" wp14:editId="4B9B6CB2">
            <wp:simplePos x="0" y="0"/>
            <wp:positionH relativeFrom="margin">
              <wp:align>center</wp:align>
            </wp:positionH>
            <wp:positionV relativeFrom="paragraph">
              <wp:posOffset>226771</wp:posOffset>
            </wp:positionV>
            <wp:extent cx="4614824" cy="3460090"/>
            <wp:effectExtent l="0" t="0" r="0" b="7620"/>
            <wp:wrapTopAndBottom/>
            <wp:docPr id="6" name="Imagem 6"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Histograma&#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14824" cy="3460090"/>
                    </a:xfrm>
                    <a:prstGeom prst="rect">
                      <a:avLst/>
                    </a:prstGeom>
                    <a:noFill/>
                    <a:ln>
                      <a:noFill/>
                    </a:ln>
                  </pic:spPr>
                </pic:pic>
              </a:graphicData>
            </a:graphic>
          </wp:anchor>
        </w:drawing>
      </w:r>
      <w:r>
        <w:rPr>
          <w:color w:val="auto"/>
        </w:rPr>
        <w:t xml:space="preserve">4. </w:t>
      </w:r>
      <w:r w:rsidR="003247C6" w:rsidRPr="001E6D61">
        <w:rPr>
          <w:color w:val="auto"/>
        </w:rPr>
        <w:t xml:space="preserve">Conclusão </w:t>
      </w:r>
    </w:p>
    <w:p w14:paraId="2FB0C57D" w14:textId="1B15DD63" w:rsidR="003247C6" w:rsidRDefault="006A5C02" w:rsidP="001E6D61">
      <w:pPr>
        <w:spacing w:before="120" w:after="120" w:line="360" w:lineRule="auto"/>
        <w:ind w:firstLine="720"/>
        <w:jc w:val="both"/>
      </w:pPr>
      <w:r>
        <w:t>Os testes estatísticos realizados indicam que não é possível rejeitar a hipótese nula, ou seja, não há elementos para afirmar que comportamento das negações às solicitações de informação mudou após a entrada em vigor da LGPD. Essa conclusão está de acordo com o esperado</w:t>
      </w:r>
      <w:r w:rsidR="00523BCC">
        <w:t>, já que a intenção da LGPD não é ser um entrave às solicitações de informação de interesse público, mas regular o controle dos dados pessoais, para resguardá-los de terceiros não autorizados, indo ao encontro do que prevê também a LAI.</w:t>
      </w:r>
      <w:r w:rsidR="00E366CF">
        <w:t xml:space="preserve"> </w:t>
      </w:r>
    </w:p>
    <w:p w14:paraId="54AC5D67" w14:textId="2338F432" w:rsidR="00C80E81" w:rsidRDefault="00E366CF" w:rsidP="001E6D61">
      <w:pPr>
        <w:spacing w:before="120" w:after="120" w:line="360" w:lineRule="auto"/>
        <w:ind w:firstLine="720"/>
        <w:jc w:val="both"/>
      </w:pPr>
      <w:r>
        <w:t xml:space="preserve">Como a LGPD entrou em vigor em setembro de 2020, só foi possível ter 22 registros mensais até junho de 2022, o que impacta na força do teste realizado. No entanto, </w:t>
      </w:r>
      <w:r w:rsidR="001B2AA6">
        <w:t>trata-se de uma</w:t>
      </w:r>
      <w:r>
        <w:t xml:space="preserve"> pesquisa relevante, já que outros trabalhos, como </w:t>
      </w:r>
      <w:r>
        <w:rPr>
          <w:spacing w:val="-2"/>
        </w:rPr>
        <w:t xml:space="preserve">Transparência Brasil (2021) </w:t>
      </w:r>
      <w:r>
        <w:t xml:space="preserve">e </w:t>
      </w:r>
      <w:r>
        <w:rPr>
          <w:spacing w:val="-2"/>
        </w:rPr>
        <w:t xml:space="preserve">Fiquem Sabendo e </w:t>
      </w:r>
      <w:proofErr w:type="spellStart"/>
      <w:r>
        <w:rPr>
          <w:spacing w:val="-2"/>
        </w:rPr>
        <w:t>Insper</w:t>
      </w:r>
      <w:proofErr w:type="spellEnd"/>
      <w:r>
        <w:rPr>
          <w:spacing w:val="-2"/>
        </w:rPr>
        <w:t xml:space="preserve"> (2022)</w:t>
      </w:r>
      <w:r>
        <w:t>, conduziam a um impacto negativo da LGPD no acesso à informação pública.</w:t>
      </w:r>
      <w:r w:rsidR="00C80E81">
        <w:t xml:space="preserve"> </w:t>
      </w:r>
    </w:p>
    <w:p w14:paraId="690878C5" w14:textId="5623D2AD" w:rsidR="00877EC0" w:rsidRDefault="00C80E81" w:rsidP="001E6D61">
      <w:pPr>
        <w:spacing w:before="120" w:after="120" w:line="360" w:lineRule="auto"/>
        <w:ind w:firstLine="720"/>
        <w:jc w:val="both"/>
        <w:rPr>
          <w:spacing w:val="-2"/>
        </w:rPr>
      </w:pPr>
      <w:r>
        <w:t xml:space="preserve">Os resultados encontrados aqui não </w:t>
      </w:r>
      <w:r w:rsidR="00E14CC6">
        <w:t xml:space="preserve">afastam a necessidade de melhoria na compreensão do escopo da LGPD e da LAI, na disseminação do conhecimento a respeito delas e na operação dos órgãos responsáveis por responder às solicitações de informação. </w:t>
      </w:r>
      <w:r w:rsidR="00877EC0">
        <w:t xml:space="preserve">Durante o período de pandemia, ficou evidente, por exemplo, o debate acerca da publicidade da agenda dos ministros e do Presidente da República e dos registros de acesso aos ministérios e Palácio do Planalto. Nesses casos, havia suspeitas de crimes e condutas indevidas de agentes públicos, mas </w:t>
      </w:r>
      <w:r w:rsidR="00DC00B0">
        <w:t>as solicitações de informação foram negadas citando-se como uma das justificativas a LGPD (</w:t>
      </w:r>
      <w:r w:rsidR="00DC00B0">
        <w:rPr>
          <w:spacing w:val="-2"/>
        </w:rPr>
        <w:t xml:space="preserve">Fiquem Sabendo e </w:t>
      </w:r>
      <w:proofErr w:type="spellStart"/>
      <w:r w:rsidR="00DC00B0">
        <w:rPr>
          <w:spacing w:val="-2"/>
        </w:rPr>
        <w:t>Insper</w:t>
      </w:r>
      <w:proofErr w:type="spellEnd"/>
      <w:r w:rsidR="00DC00B0">
        <w:rPr>
          <w:spacing w:val="-2"/>
        </w:rPr>
        <w:t>, 2022)</w:t>
      </w:r>
    </w:p>
    <w:p w14:paraId="375618EE" w14:textId="7D1731AB" w:rsidR="00DC00B0" w:rsidRDefault="00DC00B0" w:rsidP="001E6D61">
      <w:pPr>
        <w:spacing w:before="120" w:after="120" w:line="360" w:lineRule="auto"/>
        <w:ind w:firstLine="720"/>
        <w:jc w:val="both"/>
      </w:pPr>
      <w:r>
        <w:rPr>
          <w:spacing w:val="-2"/>
        </w:rPr>
        <w:t xml:space="preserve">Trabalhos futuros podem ser realizados </w:t>
      </w:r>
      <w:r w:rsidR="004B7342">
        <w:rPr>
          <w:spacing w:val="-2"/>
        </w:rPr>
        <w:t xml:space="preserve">repetindo o teste </w:t>
      </w:r>
      <w:r>
        <w:rPr>
          <w:spacing w:val="-2"/>
        </w:rPr>
        <w:t xml:space="preserve">com mais tempo de vigência da LGPD, buscando maior robustez nos testes. Além disso, podem ser realizadas análises </w:t>
      </w:r>
      <w:r w:rsidR="00A92282">
        <w:rPr>
          <w:spacing w:val="-2"/>
        </w:rPr>
        <w:t>especializadas por</w:t>
      </w:r>
      <w:r>
        <w:rPr>
          <w:spacing w:val="-2"/>
        </w:rPr>
        <w:t xml:space="preserve"> órgão</w:t>
      </w:r>
      <w:r w:rsidR="00A92282">
        <w:rPr>
          <w:spacing w:val="-2"/>
        </w:rPr>
        <w:t>s</w:t>
      </w:r>
      <w:r>
        <w:rPr>
          <w:spacing w:val="-2"/>
        </w:rPr>
        <w:t xml:space="preserve"> </w:t>
      </w:r>
      <w:r>
        <w:rPr>
          <w:spacing w:val="-2"/>
        </w:rPr>
        <w:lastRenderedPageBreak/>
        <w:t>do executivo</w:t>
      </w:r>
      <w:r w:rsidR="00A92282">
        <w:rPr>
          <w:spacing w:val="-2"/>
        </w:rPr>
        <w:t xml:space="preserve">. </w:t>
      </w:r>
      <w:r w:rsidR="004B7342">
        <w:rPr>
          <w:spacing w:val="-2"/>
        </w:rPr>
        <w:t>Sugere-se também levar em consideração o prazo para resposta às solicitações de informação, já que</w:t>
      </w:r>
      <w:r w:rsidR="00615FAD">
        <w:rPr>
          <w:spacing w:val="-2"/>
        </w:rPr>
        <w:t xml:space="preserve"> aquelas que demoram mais para serem respondidas podem apresentar uma taxa de negação diferente, impactando o resultado do teste. Assim, poderia ser estabelecido um prazo de dois meses para a coleta dos dados.</w:t>
      </w:r>
    </w:p>
    <w:p w14:paraId="365ABE61" w14:textId="08EFFD5C" w:rsidR="00222EC5" w:rsidRPr="00935E24" w:rsidRDefault="000E5BEC" w:rsidP="1490CFBF">
      <w:pPr>
        <w:pStyle w:val="Ttulo1"/>
        <w:tabs>
          <w:tab w:val="left" w:pos="463"/>
        </w:tabs>
        <w:ind w:left="102"/>
        <w:rPr>
          <w:color w:val="auto"/>
        </w:rPr>
      </w:pPr>
      <w:r w:rsidRPr="00935E24">
        <w:rPr>
          <w:color w:val="auto"/>
        </w:rPr>
        <w:t>6. Referências</w:t>
      </w:r>
    </w:p>
    <w:p w14:paraId="6BEE21F1" w14:textId="77777777" w:rsidR="001E6D61" w:rsidRDefault="001E6D61" w:rsidP="001E6D61">
      <w:pPr>
        <w:ind w:left="244" w:right="229"/>
        <w:jc w:val="both"/>
      </w:pPr>
    </w:p>
    <w:p w14:paraId="29E922E8" w14:textId="77777777" w:rsidR="00A37F0A" w:rsidRPr="001E6D61" w:rsidRDefault="00A37F0A" w:rsidP="00A37F0A">
      <w:pPr>
        <w:tabs>
          <w:tab w:val="left" w:pos="902"/>
        </w:tabs>
        <w:ind w:left="244" w:right="225"/>
        <w:rPr>
          <w:color w:val="222222"/>
          <w:shd w:val="clear" w:color="auto" w:fill="FFFFFF"/>
        </w:rPr>
      </w:pPr>
      <w:r w:rsidRPr="001E6D61">
        <w:rPr>
          <w:color w:val="222222"/>
          <w:shd w:val="clear" w:color="auto" w:fill="FFFFFF"/>
        </w:rPr>
        <w:t xml:space="preserve">BIONI, Bruno Ricardo; DA SILVA, Paula Guedes Fernandes; MARTINS, Pedro Bastos Lobo. </w:t>
      </w:r>
      <w:r w:rsidRPr="00935E24">
        <w:rPr>
          <w:b/>
          <w:bCs/>
          <w:color w:val="222222"/>
          <w:shd w:val="clear" w:color="auto" w:fill="FFFFFF"/>
        </w:rPr>
        <w:t>Intersecções e relações entre a Lei Geral de Proteção de Dados (LGPD) e a Lei de Acesso à Informação (LAI): análise contextual pela lente do direito de acesso</w:t>
      </w:r>
      <w:r w:rsidRPr="001E6D61">
        <w:rPr>
          <w:color w:val="222222"/>
          <w:shd w:val="clear" w:color="auto" w:fill="FFFFFF"/>
        </w:rPr>
        <w:t>. </w:t>
      </w:r>
      <w:r w:rsidRPr="00935E24">
        <w:rPr>
          <w:color w:val="222222"/>
          <w:shd w:val="clear" w:color="auto" w:fill="FFFFFF"/>
        </w:rPr>
        <w:t>Cadernos Técnicos da CGU, v. 1, 2022.</w:t>
      </w:r>
    </w:p>
    <w:p w14:paraId="2574E048" w14:textId="77777777" w:rsidR="00A37F0A" w:rsidRDefault="00A37F0A" w:rsidP="00A37F0A">
      <w:pPr>
        <w:ind w:left="244" w:right="229"/>
      </w:pPr>
    </w:p>
    <w:p w14:paraId="411E2FEC" w14:textId="5734F3AC" w:rsidR="00222EC5" w:rsidRPr="001E6D61" w:rsidRDefault="000E5BEC" w:rsidP="00A37F0A">
      <w:pPr>
        <w:ind w:left="244" w:right="229"/>
      </w:pPr>
      <w:r w:rsidRPr="001E6D61">
        <w:t xml:space="preserve">BRASIL. </w:t>
      </w:r>
      <w:r w:rsidRPr="001E6D61">
        <w:rPr>
          <w:b/>
        </w:rPr>
        <w:t>Constituição da República Federativa do Brasil de 1988</w:t>
      </w:r>
      <w:r w:rsidRPr="001E6D61">
        <w:t>. Brasília, 5 de outubro de</w:t>
      </w:r>
      <w:r w:rsidRPr="001E6D61">
        <w:rPr>
          <w:spacing w:val="1"/>
        </w:rPr>
        <w:t xml:space="preserve"> </w:t>
      </w:r>
      <w:r w:rsidRPr="001E6D61">
        <w:t>1988.</w:t>
      </w:r>
      <w:r w:rsidRPr="001E6D61">
        <w:rPr>
          <w:spacing w:val="1"/>
        </w:rPr>
        <w:t xml:space="preserve"> </w:t>
      </w:r>
      <w:r w:rsidRPr="001E6D61">
        <w:t>Disponível</w:t>
      </w:r>
      <w:r w:rsidRPr="001E6D61">
        <w:rPr>
          <w:spacing w:val="1"/>
        </w:rPr>
        <w:t xml:space="preserve"> </w:t>
      </w:r>
      <w:r w:rsidRPr="001E6D61">
        <w:t>em:</w:t>
      </w:r>
      <w:r w:rsidRPr="001E6D61">
        <w:rPr>
          <w:spacing w:val="1"/>
        </w:rPr>
        <w:t xml:space="preserve"> </w:t>
      </w:r>
      <w:r w:rsidR="00A37F0A">
        <w:rPr>
          <w:spacing w:val="1"/>
        </w:rPr>
        <w:t>&lt;</w:t>
      </w:r>
      <w:r w:rsidRPr="00391E73">
        <w:t>http://www.planalto.gov.br/ccivil_03/constituicao/constituicao.htm</w:t>
      </w:r>
      <w:r w:rsidR="00A37F0A">
        <w:t>&gt;</w:t>
      </w:r>
      <w:r w:rsidRPr="001E6D61">
        <w:t xml:space="preserve">. </w:t>
      </w:r>
      <w:r w:rsidRPr="001E6D61">
        <w:rPr>
          <w:spacing w:val="-1"/>
        </w:rPr>
        <w:t xml:space="preserve"> </w:t>
      </w:r>
      <w:r w:rsidRPr="001E6D61">
        <w:t>Acesso</w:t>
      </w:r>
      <w:r w:rsidRPr="001E6D61">
        <w:rPr>
          <w:spacing w:val="-1"/>
        </w:rPr>
        <w:t xml:space="preserve"> </w:t>
      </w:r>
      <w:r w:rsidRPr="001E6D61">
        <w:t>em: 11</w:t>
      </w:r>
      <w:r w:rsidR="00A37F0A">
        <w:t xml:space="preserve"> de</w:t>
      </w:r>
      <w:r w:rsidRPr="001E6D61">
        <w:rPr>
          <w:spacing w:val="-2"/>
        </w:rPr>
        <w:t xml:space="preserve"> </w:t>
      </w:r>
      <w:r w:rsidRPr="001E6D61">
        <w:t>jun.</w:t>
      </w:r>
      <w:r w:rsidR="00A37F0A">
        <w:t xml:space="preserve"> de</w:t>
      </w:r>
      <w:r w:rsidRPr="001E6D61">
        <w:t xml:space="preserve"> 2022.</w:t>
      </w:r>
    </w:p>
    <w:p w14:paraId="6E99E1B6" w14:textId="63362AD0" w:rsidR="0024260B" w:rsidRPr="001E6D61" w:rsidRDefault="0024260B" w:rsidP="00A37F0A">
      <w:pPr>
        <w:ind w:left="244" w:right="229"/>
      </w:pPr>
    </w:p>
    <w:p w14:paraId="6CFB1CC2" w14:textId="1B34FFB4" w:rsidR="0024260B" w:rsidRPr="001E6D61" w:rsidRDefault="0024260B" w:rsidP="00A37F0A">
      <w:pPr>
        <w:ind w:left="244" w:right="229"/>
      </w:pPr>
      <w:r w:rsidRPr="001E6D61">
        <w:t xml:space="preserve">BRASIL. </w:t>
      </w:r>
      <w:r w:rsidRPr="001E6D61">
        <w:rPr>
          <w:b/>
        </w:rPr>
        <w:t>Lei Complementar nº 101, de 4 de maio de 2000</w:t>
      </w:r>
      <w:r w:rsidRPr="001E6D61">
        <w:t xml:space="preserve">. </w:t>
      </w:r>
      <w:r w:rsidRPr="001E6D61">
        <w:tab/>
        <w:t>Estabelece normas de finanças públicas voltadas para a responsabilidade na gestão fiscal e dá outras providências. Disponível</w:t>
      </w:r>
      <w:r w:rsidRPr="001E6D61">
        <w:rPr>
          <w:spacing w:val="1"/>
        </w:rPr>
        <w:t xml:space="preserve"> </w:t>
      </w:r>
      <w:r w:rsidRPr="001E6D61">
        <w:t>em:</w:t>
      </w:r>
      <w:r w:rsidRPr="001E6D61">
        <w:rPr>
          <w:spacing w:val="1"/>
        </w:rPr>
        <w:t xml:space="preserve"> </w:t>
      </w:r>
      <w:r w:rsidR="00A37F0A">
        <w:rPr>
          <w:spacing w:val="1"/>
        </w:rPr>
        <w:t>&lt;</w:t>
      </w:r>
      <w:r w:rsidRPr="001E6D61">
        <w:t>http://www.planalto.gov.br/ccivil_03/leis/</w:t>
      </w:r>
      <w:proofErr w:type="spellStart"/>
      <w:r w:rsidRPr="001E6D61">
        <w:t>lcp</w:t>
      </w:r>
      <w:proofErr w:type="spellEnd"/>
      <w:r w:rsidRPr="001E6D61">
        <w:t>/lcp101.htm</w:t>
      </w:r>
      <w:r w:rsidR="00A37F0A">
        <w:t>&gt;</w:t>
      </w:r>
      <w:r w:rsidRPr="001E6D61">
        <w:t xml:space="preserve">. </w:t>
      </w:r>
      <w:r w:rsidRPr="001E6D61">
        <w:rPr>
          <w:spacing w:val="-1"/>
        </w:rPr>
        <w:t xml:space="preserve"> </w:t>
      </w:r>
      <w:r w:rsidRPr="001E6D61">
        <w:t>Acesso</w:t>
      </w:r>
      <w:r w:rsidRPr="001E6D61">
        <w:rPr>
          <w:spacing w:val="-1"/>
        </w:rPr>
        <w:t xml:space="preserve"> </w:t>
      </w:r>
      <w:r w:rsidRPr="001E6D61">
        <w:t>em: 18 de</w:t>
      </w:r>
      <w:r w:rsidRPr="001E6D61">
        <w:rPr>
          <w:spacing w:val="-2"/>
        </w:rPr>
        <w:t xml:space="preserve"> </w:t>
      </w:r>
      <w:r w:rsidRPr="001E6D61">
        <w:t>jun. de 2022.</w:t>
      </w:r>
    </w:p>
    <w:p w14:paraId="30156680" w14:textId="0155FAFE" w:rsidR="0024260B" w:rsidRPr="001E6D61" w:rsidRDefault="0024260B" w:rsidP="00A37F0A">
      <w:pPr>
        <w:ind w:left="244" w:right="229"/>
      </w:pPr>
    </w:p>
    <w:p w14:paraId="12A82C87" w14:textId="3D2C8F61" w:rsidR="0024260B" w:rsidRPr="001E6D61" w:rsidRDefault="0024260B" w:rsidP="00A37F0A">
      <w:pPr>
        <w:ind w:left="244" w:right="229"/>
      </w:pPr>
      <w:r w:rsidRPr="001E6D61">
        <w:t xml:space="preserve">BRASIL. </w:t>
      </w:r>
      <w:r w:rsidRPr="001E6D61">
        <w:rPr>
          <w:b/>
        </w:rPr>
        <w:t>Lei Complementar nº 131, de 27 de maio de 2009</w:t>
      </w:r>
      <w:r w:rsidRPr="001E6D61">
        <w:t>. Acrescenta dispositivos à Lei Complementar nº 101, de 4 de maio de 2000, que estabelece normas de finanças públicas voltadas para a responsabilidade na gestão fiscal e dá outras providências, a fim de determinar a disponibilização, em tempo real, de informações pormenorizadas sobre a execução orçamentária e financeira da União, dos Estados, do Distrito Federal e dos Municípios. Disponível</w:t>
      </w:r>
      <w:r w:rsidRPr="001E6D61">
        <w:rPr>
          <w:spacing w:val="1"/>
        </w:rPr>
        <w:t xml:space="preserve"> </w:t>
      </w:r>
      <w:r w:rsidRPr="001E6D61">
        <w:t>em:</w:t>
      </w:r>
      <w:r w:rsidRPr="001E6D61">
        <w:rPr>
          <w:spacing w:val="1"/>
        </w:rPr>
        <w:t xml:space="preserve"> </w:t>
      </w:r>
      <w:r w:rsidR="00A37F0A">
        <w:rPr>
          <w:spacing w:val="1"/>
        </w:rPr>
        <w:t>&lt;</w:t>
      </w:r>
      <w:r w:rsidRPr="001E6D61">
        <w:t>http://www.planalto.gov.br/ccivil_03/leis/</w:t>
      </w:r>
      <w:proofErr w:type="spellStart"/>
      <w:r w:rsidRPr="001E6D61">
        <w:t>lcp</w:t>
      </w:r>
      <w:proofErr w:type="spellEnd"/>
      <w:r w:rsidRPr="001E6D61">
        <w:t>/lcp131.htm</w:t>
      </w:r>
      <w:r w:rsidR="00A37F0A">
        <w:t>&gt;</w:t>
      </w:r>
      <w:r w:rsidRPr="001E6D61">
        <w:t xml:space="preserve">. </w:t>
      </w:r>
      <w:r w:rsidRPr="001E6D61">
        <w:rPr>
          <w:spacing w:val="-1"/>
        </w:rPr>
        <w:t xml:space="preserve"> </w:t>
      </w:r>
      <w:r w:rsidRPr="001E6D61">
        <w:t>Acesso</w:t>
      </w:r>
      <w:r w:rsidRPr="001E6D61">
        <w:rPr>
          <w:spacing w:val="-1"/>
        </w:rPr>
        <w:t xml:space="preserve"> </w:t>
      </w:r>
      <w:r w:rsidRPr="001E6D61">
        <w:t>em: 18 de</w:t>
      </w:r>
      <w:r w:rsidRPr="001E6D61">
        <w:rPr>
          <w:spacing w:val="-2"/>
        </w:rPr>
        <w:t xml:space="preserve"> </w:t>
      </w:r>
      <w:r w:rsidRPr="001E6D61">
        <w:t>jun. de 2022.</w:t>
      </w:r>
    </w:p>
    <w:p w14:paraId="4163F143" w14:textId="77777777" w:rsidR="0024260B" w:rsidRPr="001E6D61" w:rsidRDefault="0024260B" w:rsidP="00A37F0A">
      <w:pPr>
        <w:ind w:left="244" w:right="229"/>
      </w:pPr>
    </w:p>
    <w:p w14:paraId="3E214E2C" w14:textId="49DD67D8" w:rsidR="00222EC5" w:rsidRPr="001E6D61" w:rsidRDefault="00913954" w:rsidP="00A37F0A">
      <w:pPr>
        <w:tabs>
          <w:tab w:val="left" w:pos="902"/>
        </w:tabs>
        <w:ind w:left="244" w:right="230"/>
      </w:pPr>
      <w:r w:rsidRPr="00391E73">
        <w:rPr>
          <w:bCs/>
        </w:rPr>
        <w:t xml:space="preserve">BRASIL, </w:t>
      </w:r>
      <w:r w:rsidR="000E5BEC" w:rsidRPr="00391E73">
        <w:rPr>
          <w:b/>
        </w:rPr>
        <w:t>Lei nº 12.527</w:t>
      </w:r>
      <w:r w:rsidR="000E5BEC" w:rsidRPr="00391E73">
        <w:rPr>
          <w:b/>
          <w:i/>
        </w:rPr>
        <w:t xml:space="preserve">, </w:t>
      </w:r>
      <w:r w:rsidR="000E5BEC" w:rsidRPr="00391E73">
        <w:rPr>
          <w:b/>
        </w:rPr>
        <w:t>de 18 de novembro de 2011</w:t>
      </w:r>
      <w:r w:rsidR="000E5BEC" w:rsidRPr="001E6D61">
        <w:rPr>
          <w:b/>
        </w:rPr>
        <w:t xml:space="preserve">. </w:t>
      </w:r>
      <w:r w:rsidRPr="001E6D61">
        <w:t>Regula o acesso a informações previsto no inciso XXXIII do art. 5</w:t>
      </w:r>
      <w:proofErr w:type="gramStart"/>
      <w:r w:rsidRPr="001E6D61">
        <w:t>º ,</w:t>
      </w:r>
      <w:proofErr w:type="gramEnd"/>
      <w:r w:rsidRPr="001E6D61">
        <w:t xml:space="preserve"> no inciso II do § 3º do art. 37 e no § 2º do art. 216 da Constituição Federal; altera a Lei nº 8.112, de 11 de dezembro de 1990; revoga a Lei nº 11.111, de 5 de maio de 2005, e dispositivos da Lei nº 8.159, de 8 de janeiro de 1991; e dá outras providências</w:t>
      </w:r>
      <w:r w:rsidR="000E5BEC" w:rsidRPr="001E6D61">
        <w:t xml:space="preserve">. Disponível em: </w:t>
      </w:r>
      <w:r w:rsidR="00A37F0A">
        <w:t>&lt;</w:t>
      </w:r>
      <w:r w:rsidR="000E5BEC" w:rsidRPr="00391E73">
        <w:t>https://www.planalto.gov.br/ccivil_03/_ato2011-2014/2011/lei/l12527.htm</w:t>
      </w:r>
      <w:r w:rsidR="00A37F0A">
        <w:t>&gt;</w:t>
      </w:r>
      <w:r w:rsidR="000E5BEC" w:rsidRPr="00391E73">
        <w:t>.</w:t>
      </w:r>
      <w:r w:rsidR="000E5BEC" w:rsidRPr="001E6D61">
        <w:t xml:space="preserve"> Acesso em: 11</w:t>
      </w:r>
      <w:r w:rsidR="00A37F0A">
        <w:t xml:space="preserve"> de</w:t>
      </w:r>
      <w:r w:rsidR="000E5BEC" w:rsidRPr="001E6D61">
        <w:t xml:space="preserve"> jun.</w:t>
      </w:r>
      <w:r w:rsidR="000E5BEC" w:rsidRPr="001E6D61">
        <w:rPr>
          <w:spacing w:val="1"/>
        </w:rPr>
        <w:t xml:space="preserve"> </w:t>
      </w:r>
      <w:r w:rsidR="000E5BEC" w:rsidRPr="001E6D61">
        <w:t>2022.</w:t>
      </w:r>
    </w:p>
    <w:p w14:paraId="0C2A2DC6" w14:textId="492ACB4A" w:rsidR="00C94585" w:rsidRPr="001E6D61" w:rsidRDefault="00C94585" w:rsidP="00A37F0A">
      <w:pPr>
        <w:tabs>
          <w:tab w:val="left" w:pos="902"/>
        </w:tabs>
        <w:ind w:left="244" w:right="230"/>
      </w:pPr>
    </w:p>
    <w:p w14:paraId="7D6C5AF9" w14:textId="2DE3011F" w:rsidR="00C94585" w:rsidRPr="001E6D61" w:rsidRDefault="00C94585" w:rsidP="00A37F0A">
      <w:pPr>
        <w:tabs>
          <w:tab w:val="left" w:pos="902"/>
        </w:tabs>
        <w:ind w:left="244" w:right="230"/>
      </w:pPr>
      <w:r w:rsidRPr="00391E73">
        <w:rPr>
          <w:bCs/>
        </w:rPr>
        <w:t xml:space="preserve">BRASIL, </w:t>
      </w:r>
      <w:r w:rsidRPr="00391E73">
        <w:rPr>
          <w:b/>
        </w:rPr>
        <w:t>Lei nº 13.709</w:t>
      </w:r>
      <w:r w:rsidRPr="00391E73">
        <w:rPr>
          <w:b/>
          <w:i/>
        </w:rPr>
        <w:t xml:space="preserve">, </w:t>
      </w:r>
      <w:r w:rsidRPr="00391E73">
        <w:rPr>
          <w:b/>
        </w:rPr>
        <w:t>de 14 de agosto de 2018</w:t>
      </w:r>
      <w:r w:rsidRPr="001E6D61">
        <w:rPr>
          <w:b/>
        </w:rPr>
        <w:t xml:space="preserve">.  </w:t>
      </w:r>
      <w:r w:rsidRPr="001E6D61">
        <w:t xml:space="preserve">Lei Geral de Proteção de Dados Pessoais (LGPD). Disponível em: </w:t>
      </w:r>
      <w:r w:rsidR="00A37F0A">
        <w:t>&lt;</w:t>
      </w:r>
      <w:r w:rsidRPr="00935E24">
        <w:t>http://www.planalto.gov.br/ccivil_03/_ato2015-2018/2018/lei/l13709.htm</w:t>
      </w:r>
      <w:r w:rsidR="00A37F0A">
        <w:t>&gt;</w:t>
      </w:r>
      <w:r w:rsidRPr="00935E24">
        <w:t>.</w:t>
      </w:r>
      <w:r w:rsidRPr="001E6D61">
        <w:t xml:space="preserve"> Acesso em: 11 </w:t>
      </w:r>
      <w:r w:rsidR="00A37F0A">
        <w:t xml:space="preserve">de </w:t>
      </w:r>
      <w:r w:rsidRPr="001E6D61">
        <w:t>jun.</w:t>
      </w:r>
      <w:r w:rsidRPr="001E6D61">
        <w:rPr>
          <w:spacing w:val="1"/>
        </w:rPr>
        <w:t xml:space="preserve"> </w:t>
      </w:r>
      <w:r w:rsidRPr="001E6D61">
        <w:t>2022.</w:t>
      </w:r>
    </w:p>
    <w:p w14:paraId="09C59EDE" w14:textId="77777777" w:rsidR="00C94585" w:rsidRPr="001E6D61" w:rsidRDefault="00C94585" w:rsidP="00A37F0A">
      <w:pPr>
        <w:tabs>
          <w:tab w:val="left" w:pos="902"/>
        </w:tabs>
        <w:ind w:left="244" w:right="230"/>
      </w:pPr>
    </w:p>
    <w:p w14:paraId="4705216C" w14:textId="40BAE012" w:rsidR="006B283F" w:rsidRPr="006B283F" w:rsidRDefault="00A37F0A" w:rsidP="00A37F0A">
      <w:pPr>
        <w:tabs>
          <w:tab w:val="left" w:pos="902"/>
        </w:tabs>
        <w:ind w:left="244" w:right="225"/>
      </w:pPr>
      <w:r>
        <w:t>FALA.BR</w:t>
      </w:r>
      <w:r w:rsidR="006B283F">
        <w:t xml:space="preserve"> – </w:t>
      </w:r>
      <w:r w:rsidR="006B283F" w:rsidRPr="00070D18">
        <w:t>Plataforma Integrada de Ouvidoria e Acesso à Informação</w:t>
      </w:r>
      <w:r w:rsidR="006B283F">
        <w:t xml:space="preserve">. </w:t>
      </w:r>
      <w:r w:rsidR="006B283F" w:rsidRPr="006B283F">
        <w:rPr>
          <w:b/>
        </w:rPr>
        <w:t>Download de Dados da LAI</w:t>
      </w:r>
      <w:r w:rsidR="006B283F">
        <w:rPr>
          <w:b/>
        </w:rPr>
        <w:t>.</w:t>
      </w:r>
      <w:r w:rsidR="006B283F">
        <w:t xml:space="preserve"> 2022. Disponível em: </w:t>
      </w:r>
      <w:r>
        <w:t>&lt;</w:t>
      </w:r>
      <w:r w:rsidR="006B283F" w:rsidRPr="00A37F0A">
        <w:t>https://falabr.cgu.gov.br/publico/DownloadDados/DownloadDadosLai.aspx</w:t>
      </w:r>
      <w:r>
        <w:t>&gt;</w:t>
      </w:r>
      <w:r w:rsidR="006B283F">
        <w:t>. Acesso em: 18 de jun. de 2022.</w:t>
      </w:r>
    </w:p>
    <w:p w14:paraId="2ADFFD9C" w14:textId="77777777" w:rsidR="006B283F" w:rsidRDefault="006B283F" w:rsidP="00A37F0A">
      <w:pPr>
        <w:tabs>
          <w:tab w:val="left" w:pos="902"/>
        </w:tabs>
        <w:ind w:left="244" w:right="225"/>
      </w:pPr>
    </w:p>
    <w:p w14:paraId="602ABF15" w14:textId="77777777" w:rsidR="00A37F0A" w:rsidRPr="001E6D61" w:rsidRDefault="00A37F0A" w:rsidP="00A37F0A">
      <w:pPr>
        <w:tabs>
          <w:tab w:val="left" w:pos="902"/>
        </w:tabs>
        <w:ind w:left="244" w:right="225"/>
        <w:rPr>
          <w:b/>
        </w:rPr>
      </w:pPr>
      <w:r w:rsidRPr="001E6D61">
        <w:t xml:space="preserve">FIQUEM SABENDO, INSPER: </w:t>
      </w:r>
      <w:r w:rsidRPr="00935E24">
        <w:rPr>
          <w:b/>
          <w:bCs/>
        </w:rPr>
        <w:t>Impactos da LGPD nos pedidos de LAI ao governo federal</w:t>
      </w:r>
      <w:r w:rsidRPr="001E6D61">
        <w:t xml:space="preserve">. 2022. Disponível em: </w:t>
      </w:r>
      <w:r>
        <w:t>&lt;</w:t>
      </w:r>
      <w:r w:rsidRPr="001E6D61">
        <w:t>https://br.boell.org/sites/default/files/2022-05/Relat%C3%B3rio%20LAI%20x%20LGPD%20v.2.0.pdf</w:t>
      </w:r>
      <w:r>
        <w:t>&gt;</w:t>
      </w:r>
      <w:r w:rsidRPr="001E6D61">
        <w:t xml:space="preserve">. Acesso em 18 de </w:t>
      </w:r>
      <w:r>
        <w:t>jun.</w:t>
      </w:r>
      <w:r w:rsidRPr="001E6D61">
        <w:t xml:space="preserve"> de 2022</w:t>
      </w:r>
    </w:p>
    <w:p w14:paraId="41DBC330" w14:textId="77777777" w:rsidR="00A37F0A" w:rsidRDefault="00A37F0A" w:rsidP="00A37F0A">
      <w:pPr>
        <w:tabs>
          <w:tab w:val="left" w:pos="902"/>
        </w:tabs>
        <w:ind w:left="244" w:right="225"/>
      </w:pPr>
    </w:p>
    <w:p w14:paraId="6AA6C33B" w14:textId="750E54E5" w:rsidR="007140DF" w:rsidRPr="001E6D61" w:rsidRDefault="007140DF" w:rsidP="00A37F0A">
      <w:pPr>
        <w:tabs>
          <w:tab w:val="left" w:pos="902"/>
        </w:tabs>
        <w:ind w:left="244" w:right="225"/>
      </w:pPr>
      <w:r w:rsidRPr="001E6D61">
        <w:t xml:space="preserve">TEIXEIRA, </w:t>
      </w:r>
      <w:proofErr w:type="spellStart"/>
      <w:r w:rsidRPr="001E6D61">
        <w:t>Ilderlândio</w:t>
      </w:r>
      <w:proofErr w:type="spellEnd"/>
      <w:r w:rsidRPr="001E6D61">
        <w:t xml:space="preserve">. </w:t>
      </w:r>
      <w:r w:rsidRPr="00935E24">
        <w:rPr>
          <w:b/>
          <w:bCs/>
        </w:rPr>
        <w:t>LGPD e LAI: uma análise sobre a relação entre elas</w:t>
      </w:r>
      <w:r w:rsidRPr="001E6D61">
        <w:t xml:space="preserve">. Notícias e artigos SERPRO. Nov. 2020. Disponível em: </w:t>
      </w:r>
      <w:r w:rsidR="00A37F0A">
        <w:t>&lt;</w:t>
      </w:r>
      <w:r w:rsidRPr="001E6D61">
        <w:t>https://www.serpro.gov.br/lgpd/noticias/2020/lei-acesso-informacao-lai-lei-geral-protecao-dados-pessoais-lgpd</w:t>
      </w:r>
      <w:r w:rsidR="00A37F0A">
        <w:t>&gt;</w:t>
      </w:r>
      <w:r w:rsidRPr="001E6D61">
        <w:t xml:space="preserve">. Acesso em: 16 </w:t>
      </w:r>
      <w:r w:rsidR="00A37F0A">
        <w:t xml:space="preserve">de </w:t>
      </w:r>
      <w:r w:rsidRPr="001E6D61">
        <w:t>maio 20</w:t>
      </w:r>
      <w:r w:rsidR="00A37F0A">
        <w:t>20.</w:t>
      </w:r>
    </w:p>
    <w:p w14:paraId="0C701F98" w14:textId="77777777" w:rsidR="00935E24" w:rsidRDefault="00935E24" w:rsidP="00A37F0A">
      <w:pPr>
        <w:tabs>
          <w:tab w:val="left" w:pos="902"/>
        </w:tabs>
        <w:ind w:left="244" w:right="225"/>
        <w:rPr>
          <w:color w:val="222222"/>
          <w:shd w:val="clear" w:color="auto" w:fill="FFFFFF"/>
        </w:rPr>
      </w:pPr>
    </w:p>
    <w:p w14:paraId="4C360C0F" w14:textId="77777777" w:rsidR="00615FAD" w:rsidRDefault="00615FAD" w:rsidP="00A37F0A">
      <w:pPr>
        <w:tabs>
          <w:tab w:val="left" w:pos="902"/>
        </w:tabs>
        <w:ind w:left="244" w:right="225"/>
      </w:pPr>
    </w:p>
    <w:p w14:paraId="55303418" w14:textId="1A410A55" w:rsidR="00085FE1" w:rsidRPr="001E6D61" w:rsidRDefault="00085FE1" w:rsidP="00A37F0A">
      <w:pPr>
        <w:tabs>
          <w:tab w:val="left" w:pos="902"/>
        </w:tabs>
        <w:ind w:left="244" w:right="225"/>
      </w:pPr>
      <w:r w:rsidRPr="001E6D61">
        <w:lastRenderedPageBreak/>
        <w:t xml:space="preserve">TRANSPARÊNCIA BRASIL. </w:t>
      </w:r>
      <w:r w:rsidRPr="00935E24">
        <w:rPr>
          <w:b/>
          <w:bCs/>
        </w:rPr>
        <w:t>LGPD: reforço a respostas negativas</w:t>
      </w:r>
      <w:r w:rsidRPr="001E6D61">
        <w:t xml:space="preserve">. São Paulo, 2021. Disponível em: &lt;https://www.transparencia.org.br/downloads/publicacoes/lgpd_reforco_respostas_negativas_dez_2021.pdf&gt;. Acesso em: 18 de </w:t>
      </w:r>
      <w:r w:rsidR="00A37F0A">
        <w:t>jun.</w:t>
      </w:r>
      <w:r w:rsidRPr="001E6D61">
        <w:t xml:space="preserve"> de 2022.</w:t>
      </w:r>
    </w:p>
    <w:p w14:paraId="7FB992CB" w14:textId="77777777" w:rsidR="00A37F0A" w:rsidRDefault="00A37F0A" w:rsidP="00A37F0A">
      <w:pPr>
        <w:tabs>
          <w:tab w:val="left" w:pos="902"/>
        </w:tabs>
        <w:ind w:left="244" w:right="225"/>
      </w:pPr>
    </w:p>
    <w:p w14:paraId="20C469B7" w14:textId="1140830B" w:rsidR="00A37F0A" w:rsidRPr="00A37F0A" w:rsidRDefault="00A37F0A" w:rsidP="00A37F0A">
      <w:pPr>
        <w:tabs>
          <w:tab w:val="left" w:pos="902"/>
        </w:tabs>
        <w:ind w:left="244" w:right="225"/>
        <w:rPr>
          <w:bCs/>
        </w:rPr>
      </w:pPr>
      <w:r>
        <w:rPr>
          <w:bCs/>
        </w:rPr>
        <w:t>WICKHAM</w:t>
      </w:r>
      <w:r w:rsidRPr="00A37F0A">
        <w:rPr>
          <w:bCs/>
        </w:rPr>
        <w:t xml:space="preserve">, </w:t>
      </w:r>
      <w:proofErr w:type="spellStart"/>
      <w:r w:rsidRPr="00A37F0A">
        <w:rPr>
          <w:bCs/>
        </w:rPr>
        <w:t>Hadley</w:t>
      </w:r>
      <w:proofErr w:type="spellEnd"/>
      <w:r w:rsidRPr="00A37F0A">
        <w:rPr>
          <w:bCs/>
        </w:rPr>
        <w:t xml:space="preserve">. </w:t>
      </w:r>
      <w:proofErr w:type="spellStart"/>
      <w:r w:rsidRPr="00A37F0A">
        <w:rPr>
          <w:b/>
          <w:i/>
          <w:iCs/>
        </w:rPr>
        <w:t>Tidy</w:t>
      </w:r>
      <w:proofErr w:type="spellEnd"/>
      <w:r w:rsidRPr="00A37F0A">
        <w:rPr>
          <w:b/>
          <w:i/>
          <w:iCs/>
        </w:rPr>
        <w:t xml:space="preserve"> Data</w:t>
      </w:r>
      <w:r>
        <w:rPr>
          <w:bCs/>
        </w:rPr>
        <w:t>.</w:t>
      </w:r>
      <w:r w:rsidRPr="00A37F0A">
        <w:rPr>
          <w:bCs/>
        </w:rPr>
        <w:t xml:space="preserve"> </w:t>
      </w:r>
      <w:proofErr w:type="spellStart"/>
      <w:r w:rsidRPr="00A37F0A">
        <w:rPr>
          <w:bCs/>
        </w:rPr>
        <w:t>Journal</w:t>
      </w:r>
      <w:proofErr w:type="spellEnd"/>
      <w:r w:rsidRPr="00A37F0A">
        <w:rPr>
          <w:bCs/>
        </w:rPr>
        <w:t xml:space="preserve"> </w:t>
      </w:r>
      <w:proofErr w:type="spellStart"/>
      <w:r w:rsidRPr="00A37F0A">
        <w:rPr>
          <w:bCs/>
        </w:rPr>
        <w:t>of</w:t>
      </w:r>
      <w:proofErr w:type="spellEnd"/>
      <w:r w:rsidRPr="00A37F0A">
        <w:rPr>
          <w:bCs/>
        </w:rPr>
        <w:t xml:space="preserve"> </w:t>
      </w:r>
      <w:proofErr w:type="spellStart"/>
      <w:r w:rsidRPr="00A37F0A">
        <w:rPr>
          <w:bCs/>
        </w:rPr>
        <w:t>Statistical</w:t>
      </w:r>
      <w:proofErr w:type="spellEnd"/>
      <w:r w:rsidRPr="00A37F0A">
        <w:rPr>
          <w:bCs/>
        </w:rPr>
        <w:t xml:space="preserve"> Software, Foundation for Open Access </w:t>
      </w:r>
      <w:proofErr w:type="spellStart"/>
      <w:r w:rsidRPr="00A37F0A">
        <w:rPr>
          <w:bCs/>
        </w:rPr>
        <w:t>Statistics</w:t>
      </w:r>
      <w:proofErr w:type="spellEnd"/>
      <w:r w:rsidRPr="00A37F0A">
        <w:rPr>
          <w:bCs/>
        </w:rPr>
        <w:t>, vol. 59(i10).</w:t>
      </w:r>
      <w:r>
        <w:rPr>
          <w:bCs/>
        </w:rPr>
        <w:t xml:space="preserve"> 2014. Disponível em: &lt;</w:t>
      </w:r>
      <w:r w:rsidRPr="00A37F0A">
        <w:rPr>
          <w:bCs/>
        </w:rPr>
        <w:t>https://www.jstatsoft.org/</w:t>
      </w:r>
      <w:proofErr w:type="spellStart"/>
      <w:r w:rsidRPr="00A37F0A">
        <w:rPr>
          <w:bCs/>
        </w:rPr>
        <w:t>article</w:t>
      </w:r>
      <w:proofErr w:type="spellEnd"/>
      <w:r w:rsidRPr="00A37F0A">
        <w:rPr>
          <w:bCs/>
        </w:rPr>
        <w:t>/</w:t>
      </w:r>
      <w:proofErr w:type="spellStart"/>
      <w:r w:rsidRPr="00A37F0A">
        <w:rPr>
          <w:bCs/>
        </w:rPr>
        <w:t>view</w:t>
      </w:r>
      <w:proofErr w:type="spellEnd"/>
      <w:r w:rsidRPr="00A37F0A">
        <w:rPr>
          <w:bCs/>
        </w:rPr>
        <w:t>/v059i10</w:t>
      </w:r>
      <w:r>
        <w:rPr>
          <w:bCs/>
        </w:rPr>
        <w:t>&gt;. Acesso em: 18 de jun. de 2022</w:t>
      </w:r>
    </w:p>
    <w:p w14:paraId="61AAB3B7" w14:textId="71E3DDC6" w:rsidR="00222EC5" w:rsidRPr="00F1687E" w:rsidRDefault="00917482" w:rsidP="00D67407">
      <w:pPr>
        <w:pStyle w:val="Corpodetexto"/>
        <w:spacing w:before="133" w:line="256" w:lineRule="auto"/>
        <w:ind w:left="0" w:right="229"/>
        <w:jc w:val="both"/>
      </w:pPr>
    </w:p>
    <w:sectPr w:rsidR="00222EC5" w:rsidRPr="00F1687E" w:rsidSect="00425CE7">
      <w:footerReference w:type="even" r:id="rId17"/>
      <w:footerReference w:type="default" r:id="rId18"/>
      <w:pgSz w:w="11920" w:h="16860"/>
      <w:pgMar w:top="1340" w:right="1480" w:bottom="900" w:left="1460" w:header="740" w:footer="71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27E3" w14:textId="77777777" w:rsidR="00917482" w:rsidRDefault="00917482">
      <w:r>
        <w:separator/>
      </w:r>
    </w:p>
  </w:endnote>
  <w:endnote w:type="continuationSeparator" w:id="0">
    <w:p w14:paraId="5A94D255" w14:textId="77777777" w:rsidR="00917482" w:rsidRDefault="00917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5D005" w14:textId="43EEEB96" w:rsidR="00222EC5" w:rsidRDefault="00917482">
    <w:pPr>
      <w:pStyle w:val="Corpodetexto"/>
      <w:spacing w:before="0"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DAD" w14:textId="4CE1627A" w:rsidR="00425CE7" w:rsidRDefault="00425CE7">
    <w:pPr>
      <w:pStyle w:val="Rodap"/>
      <w:jc w:val="right"/>
    </w:pPr>
  </w:p>
  <w:p w14:paraId="745BAEE1" w14:textId="02DC66EA" w:rsidR="00222EC5" w:rsidRDefault="00917482">
    <w:pPr>
      <w:pStyle w:val="Corpodetexto"/>
      <w:spacing w:before="0"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366088"/>
      <w:docPartObj>
        <w:docPartGallery w:val="Page Numbers (Bottom of Page)"/>
        <w:docPartUnique/>
      </w:docPartObj>
    </w:sdtPr>
    <w:sdtEndPr/>
    <w:sdtContent>
      <w:p w14:paraId="7A72488E" w14:textId="7EF88883" w:rsidR="00425CE7" w:rsidRDefault="00425CE7">
        <w:pPr>
          <w:pStyle w:val="Rodap"/>
          <w:jc w:val="right"/>
        </w:pPr>
        <w:r>
          <w:fldChar w:fldCharType="begin"/>
        </w:r>
        <w:r>
          <w:instrText>PAGE   \* MERGEFORMAT</w:instrText>
        </w:r>
        <w:r>
          <w:fldChar w:fldCharType="separate"/>
        </w:r>
        <w:r>
          <w:t>2</w:t>
        </w:r>
        <w:r>
          <w:fldChar w:fldCharType="end"/>
        </w:r>
      </w:p>
    </w:sdtContent>
  </w:sdt>
  <w:p w14:paraId="7206A0C9" w14:textId="77777777" w:rsidR="00425CE7" w:rsidRDefault="00425CE7">
    <w:pPr>
      <w:pStyle w:val="Corpodetexto"/>
      <w:spacing w:before="0" w:line="14" w:lineRule="auto"/>
      <w:ind w:left="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104537"/>
      <w:docPartObj>
        <w:docPartGallery w:val="Page Numbers (Bottom of Page)"/>
        <w:docPartUnique/>
      </w:docPartObj>
    </w:sdtPr>
    <w:sdtEndPr/>
    <w:sdtContent>
      <w:p w14:paraId="03CB0DC4" w14:textId="77777777" w:rsidR="00425CE7" w:rsidRDefault="00425CE7">
        <w:pPr>
          <w:pStyle w:val="Rodap"/>
          <w:jc w:val="right"/>
        </w:pPr>
        <w:r>
          <w:fldChar w:fldCharType="begin"/>
        </w:r>
        <w:r>
          <w:instrText>PAGE   \* MERGEFORMAT</w:instrText>
        </w:r>
        <w:r>
          <w:fldChar w:fldCharType="separate"/>
        </w:r>
        <w:r>
          <w:t>2</w:t>
        </w:r>
        <w:r>
          <w:fldChar w:fldCharType="end"/>
        </w:r>
      </w:p>
    </w:sdtContent>
  </w:sdt>
  <w:p w14:paraId="1FDBC862" w14:textId="77777777" w:rsidR="00425CE7" w:rsidRDefault="00425CE7">
    <w:pPr>
      <w:pStyle w:val="Corpodetexto"/>
      <w:spacing w:before="0"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9D877" w14:textId="77777777" w:rsidR="00917482" w:rsidRDefault="00917482">
      <w:r>
        <w:separator/>
      </w:r>
    </w:p>
  </w:footnote>
  <w:footnote w:type="continuationSeparator" w:id="0">
    <w:p w14:paraId="233C9149" w14:textId="77777777" w:rsidR="00917482" w:rsidRDefault="00917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F08F" w14:textId="0E15CF05" w:rsidR="00222EC5" w:rsidRDefault="00917482">
    <w:pPr>
      <w:pStyle w:val="Corpodetexto"/>
      <w:spacing w:before="0"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37670" w14:textId="75B399DA" w:rsidR="00222EC5" w:rsidRDefault="00917482">
    <w:pPr>
      <w:pStyle w:val="Corpodetexto"/>
      <w:spacing w:before="0"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214A89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6B5811"/>
    <w:multiLevelType w:val="hybridMultilevel"/>
    <w:tmpl w:val="AD7886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FC1A95"/>
    <w:multiLevelType w:val="hybridMultilevel"/>
    <w:tmpl w:val="13D4FB2C"/>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A8608AB"/>
    <w:multiLevelType w:val="hybridMultilevel"/>
    <w:tmpl w:val="781099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5E4C4F"/>
    <w:multiLevelType w:val="hybridMultilevel"/>
    <w:tmpl w:val="803A8F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2977B03"/>
    <w:multiLevelType w:val="hybridMultilevel"/>
    <w:tmpl w:val="F112C358"/>
    <w:lvl w:ilvl="0" w:tplc="1D8A9284">
      <w:start w:val="3"/>
      <w:numFmt w:val="decimal"/>
      <w:lvlText w:val="%1."/>
      <w:lvlJc w:val="left"/>
      <w:pPr>
        <w:ind w:left="843" w:hanging="360"/>
      </w:pPr>
      <w:rPr>
        <w:rFonts w:hint="default"/>
      </w:rPr>
    </w:lvl>
    <w:lvl w:ilvl="1" w:tplc="04160019" w:tentative="1">
      <w:start w:val="1"/>
      <w:numFmt w:val="lowerLetter"/>
      <w:lvlText w:val="%2."/>
      <w:lvlJc w:val="left"/>
      <w:pPr>
        <w:ind w:left="1682" w:hanging="360"/>
      </w:pPr>
    </w:lvl>
    <w:lvl w:ilvl="2" w:tplc="0416001B" w:tentative="1">
      <w:start w:val="1"/>
      <w:numFmt w:val="lowerRoman"/>
      <w:lvlText w:val="%3."/>
      <w:lvlJc w:val="right"/>
      <w:pPr>
        <w:ind w:left="2402" w:hanging="180"/>
      </w:pPr>
    </w:lvl>
    <w:lvl w:ilvl="3" w:tplc="0416000F" w:tentative="1">
      <w:start w:val="1"/>
      <w:numFmt w:val="decimal"/>
      <w:lvlText w:val="%4."/>
      <w:lvlJc w:val="left"/>
      <w:pPr>
        <w:ind w:left="3122" w:hanging="360"/>
      </w:pPr>
    </w:lvl>
    <w:lvl w:ilvl="4" w:tplc="04160019" w:tentative="1">
      <w:start w:val="1"/>
      <w:numFmt w:val="lowerLetter"/>
      <w:lvlText w:val="%5."/>
      <w:lvlJc w:val="left"/>
      <w:pPr>
        <w:ind w:left="3842" w:hanging="360"/>
      </w:pPr>
    </w:lvl>
    <w:lvl w:ilvl="5" w:tplc="0416001B" w:tentative="1">
      <w:start w:val="1"/>
      <w:numFmt w:val="lowerRoman"/>
      <w:lvlText w:val="%6."/>
      <w:lvlJc w:val="right"/>
      <w:pPr>
        <w:ind w:left="4562" w:hanging="180"/>
      </w:pPr>
    </w:lvl>
    <w:lvl w:ilvl="6" w:tplc="0416000F" w:tentative="1">
      <w:start w:val="1"/>
      <w:numFmt w:val="decimal"/>
      <w:lvlText w:val="%7."/>
      <w:lvlJc w:val="left"/>
      <w:pPr>
        <w:ind w:left="5282" w:hanging="360"/>
      </w:pPr>
    </w:lvl>
    <w:lvl w:ilvl="7" w:tplc="04160019" w:tentative="1">
      <w:start w:val="1"/>
      <w:numFmt w:val="lowerLetter"/>
      <w:lvlText w:val="%8."/>
      <w:lvlJc w:val="left"/>
      <w:pPr>
        <w:ind w:left="6002" w:hanging="360"/>
      </w:pPr>
    </w:lvl>
    <w:lvl w:ilvl="8" w:tplc="0416001B" w:tentative="1">
      <w:start w:val="1"/>
      <w:numFmt w:val="lowerRoman"/>
      <w:lvlText w:val="%9."/>
      <w:lvlJc w:val="right"/>
      <w:pPr>
        <w:ind w:left="6722" w:hanging="180"/>
      </w:pPr>
    </w:lvl>
  </w:abstractNum>
  <w:abstractNum w:abstractNumId="6" w15:restartNumberingAfterBreak="0">
    <w:nsid w:val="33EF0754"/>
    <w:multiLevelType w:val="multilevel"/>
    <w:tmpl w:val="0B0072E0"/>
    <w:lvl w:ilvl="0">
      <w:start w:val="2"/>
      <w:numFmt w:val="decimal"/>
      <w:lvlText w:val="%1."/>
      <w:lvlJc w:val="left"/>
      <w:pPr>
        <w:ind w:left="462" w:hanging="221"/>
      </w:pPr>
      <w:rPr>
        <w:rFonts w:ascii="Times New Roman" w:eastAsia="Times New Roman" w:hAnsi="Times New Roman" w:cs="Times New Roman" w:hint="default"/>
        <w:b/>
        <w:bCs/>
        <w:spacing w:val="-1"/>
        <w:w w:val="100"/>
        <w:sz w:val="22"/>
        <w:szCs w:val="22"/>
        <w:lang w:val="pt-PT" w:eastAsia="en-US" w:bidi="ar-SA"/>
      </w:rPr>
    </w:lvl>
    <w:lvl w:ilvl="1">
      <w:start w:val="1"/>
      <w:numFmt w:val="decimal"/>
      <w:lvlText w:val="%1.%2."/>
      <w:lvlJc w:val="left"/>
      <w:pPr>
        <w:ind w:left="627" w:hanging="386"/>
      </w:pPr>
      <w:rPr>
        <w:rFonts w:ascii="Times New Roman" w:eastAsia="Times New Roman" w:hAnsi="Times New Roman" w:cs="Times New Roman" w:hint="default"/>
        <w:b/>
        <w:bCs/>
        <w:spacing w:val="-1"/>
        <w:w w:val="100"/>
        <w:sz w:val="22"/>
        <w:szCs w:val="22"/>
        <w:lang w:val="pt-PT" w:eastAsia="en-US" w:bidi="ar-SA"/>
      </w:rPr>
    </w:lvl>
    <w:lvl w:ilvl="2">
      <w:numFmt w:val="bullet"/>
      <w:lvlText w:val="•"/>
      <w:lvlJc w:val="left"/>
      <w:pPr>
        <w:ind w:left="3080" w:hanging="386"/>
      </w:pPr>
      <w:rPr>
        <w:rFonts w:hint="default"/>
        <w:lang w:val="pt-PT" w:eastAsia="en-US" w:bidi="ar-SA"/>
      </w:rPr>
    </w:lvl>
    <w:lvl w:ilvl="3">
      <w:numFmt w:val="bullet"/>
      <w:lvlText w:val="•"/>
      <w:lvlJc w:val="left"/>
      <w:pPr>
        <w:ind w:left="3817" w:hanging="386"/>
      </w:pPr>
      <w:rPr>
        <w:rFonts w:hint="default"/>
        <w:lang w:val="pt-PT" w:eastAsia="en-US" w:bidi="ar-SA"/>
      </w:rPr>
    </w:lvl>
    <w:lvl w:ilvl="4">
      <w:numFmt w:val="bullet"/>
      <w:lvlText w:val="•"/>
      <w:lvlJc w:val="left"/>
      <w:pPr>
        <w:ind w:left="4555" w:hanging="386"/>
      </w:pPr>
      <w:rPr>
        <w:rFonts w:hint="default"/>
        <w:lang w:val="pt-PT" w:eastAsia="en-US" w:bidi="ar-SA"/>
      </w:rPr>
    </w:lvl>
    <w:lvl w:ilvl="5">
      <w:numFmt w:val="bullet"/>
      <w:lvlText w:val="•"/>
      <w:lvlJc w:val="left"/>
      <w:pPr>
        <w:ind w:left="5292" w:hanging="386"/>
      </w:pPr>
      <w:rPr>
        <w:rFonts w:hint="default"/>
        <w:lang w:val="pt-PT" w:eastAsia="en-US" w:bidi="ar-SA"/>
      </w:rPr>
    </w:lvl>
    <w:lvl w:ilvl="6">
      <w:numFmt w:val="bullet"/>
      <w:lvlText w:val="•"/>
      <w:lvlJc w:val="left"/>
      <w:pPr>
        <w:ind w:left="6030" w:hanging="386"/>
      </w:pPr>
      <w:rPr>
        <w:rFonts w:hint="default"/>
        <w:lang w:val="pt-PT" w:eastAsia="en-US" w:bidi="ar-SA"/>
      </w:rPr>
    </w:lvl>
    <w:lvl w:ilvl="7">
      <w:numFmt w:val="bullet"/>
      <w:lvlText w:val="•"/>
      <w:lvlJc w:val="left"/>
      <w:pPr>
        <w:ind w:left="6767" w:hanging="386"/>
      </w:pPr>
      <w:rPr>
        <w:rFonts w:hint="default"/>
        <w:lang w:val="pt-PT" w:eastAsia="en-US" w:bidi="ar-SA"/>
      </w:rPr>
    </w:lvl>
    <w:lvl w:ilvl="8">
      <w:numFmt w:val="bullet"/>
      <w:lvlText w:val="•"/>
      <w:lvlJc w:val="left"/>
      <w:pPr>
        <w:ind w:left="7505" w:hanging="386"/>
      </w:pPr>
      <w:rPr>
        <w:rFonts w:hint="default"/>
        <w:lang w:val="pt-PT" w:eastAsia="en-US" w:bidi="ar-SA"/>
      </w:rPr>
    </w:lvl>
  </w:abstractNum>
  <w:abstractNum w:abstractNumId="7" w15:restartNumberingAfterBreak="0">
    <w:nsid w:val="3BDD4C29"/>
    <w:multiLevelType w:val="hybridMultilevel"/>
    <w:tmpl w:val="C96A786C"/>
    <w:lvl w:ilvl="0" w:tplc="1D8A9284">
      <w:start w:val="3"/>
      <w:numFmt w:val="decimal"/>
      <w:lvlText w:val="%1."/>
      <w:lvlJc w:val="left"/>
      <w:pPr>
        <w:ind w:left="601" w:hanging="360"/>
      </w:pPr>
      <w:rPr>
        <w:rFonts w:hint="default"/>
      </w:rPr>
    </w:lvl>
    <w:lvl w:ilvl="1" w:tplc="04160019" w:tentative="1">
      <w:start w:val="1"/>
      <w:numFmt w:val="lowerLetter"/>
      <w:lvlText w:val="%2."/>
      <w:lvlJc w:val="left"/>
      <w:pPr>
        <w:ind w:left="1321" w:hanging="360"/>
      </w:pPr>
    </w:lvl>
    <w:lvl w:ilvl="2" w:tplc="0416001B" w:tentative="1">
      <w:start w:val="1"/>
      <w:numFmt w:val="lowerRoman"/>
      <w:lvlText w:val="%3."/>
      <w:lvlJc w:val="right"/>
      <w:pPr>
        <w:ind w:left="2041" w:hanging="180"/>
      </w:pPr>
    </w:lvl>
    <w:lvl w:ilvl="3" w:tplc="0416000F" w:tentative="1">
      <w:start w:val="1"/>
      <w:numFmt w:val="decimal"/>
      <w:lvlText w:val="%4."/>
      <w:lvlJc w:val="left"/>
      <w:pPr>
        <w:ind w:left="2761" w:hanging="360"/>
      </w:pPr>
    </w:lvl>
    <w:lvl w:ilvl="4" w:tplc="04160019" w:tentative="1">
      <w:start w:val="1"/>
      <w:numFmt w:val="lowerLetter"/>
      <w:lvlText w:val="%5."/>
      <w:lvlJc w:val="left"/>
      <w:pPr>
        <w:ind w:left="3481" w:hanging="360"/>
      </w:pPr>
    </w:lvl>
    <w:lvl w:ilvl="5" w:tplc="0416001B" w:tentative="1">
      <w:start w:val="1"/>
      <w:numFmt w:val="lowerRoman"/>
      <w:lvlText w:val="%6."/>
      <w:lvlJc w:val="right"/>
      <w:pPr>
        <w:ind w:left="4201" w:hanging="180"/>
      </w:pPr>
    </w:lvl>
    <w:lvl w:ilvl="6" w:tplc="0416000F" w:tentative="1">
      <w:start w:val="1"/>
      <w:numFmt w:val="decimal"/>
      <w:lvlText w:val="%7."/>
      <w:lvlJc w:val="left"/>
      <w:pPr>
        <w:ind w:left="4921" w:hanging="360"/>
      </w:pPr>
    </w:lvl>
    <w:lvl w:ilvl="7" w:tplc="04160019" w:tentative="1">
      <w:start w:val="1"/>
      <w:numFmt w:val="lowerLetter"/>
      <w:lvlText w:val="%8."/>
      <w:lvlJc w:val="left"/>
      <w:pPr>
        <w:ind w:left="5641" w:hanging="360"/>
      </w:pPr>
    </w:lvl>
    <w:lvl w:ilvl="8" w:tplc="0416001B" w:tentative="1">
      <w:start w:val="1"/>
      <w:numFmt w:val="lowerRoman"/>
      <w:lvlText w:val="%9."/>
      <w:lvlJc w:val="right"/>
      <w:pPr>
        <w:ind w:left="6361" w:hanging="180"/>
      </w:pPr>
    </w:lvl>
  </w:abstractNum>
  <w:abstractNum w:abstractNumId="8" w15:restartNumberingAfterBreak="0">
    <w:nsid w:val="3F62460A"/>
    <w:multiLevelType w:val="hybridMultilevel"/>
    <w:tmpl w:val="7A8A94D6"/>
    <w:lvl w:ilvl="0" w:tplc="1D8A9284">
      <w:start w:val="3"/>
      <w:numFmt w:val="decimal"/>
      <w:lvlText w:val="%1."/>
      <w:lvlJc w:val="left"/>
      <w:pPr>
        <w:ind w:left="843" w:hanging="360"/>
      </w:pPr>
      <w:rPr>
        <w:rFonts w:hint="default"/>
      </w:rPr>
    </w:lvl>
    <w:lvl w:ilvl="1" w:tplc="04160019" w:tentative="1">
      <w:start w:val="1"/>
      <w:numFmt w:val="lowerLetter"/>
      <w:lvlText w:val="%2."/>
      <w:lvlJc w:val="left"/>
      <w:pPr>
        <w:ind w:left="1682" w:hanging="360"/>
      </w:pPr>
    </w:lvl>
    <w:lvl w:ilvl="2" w:tplc="0416001B" w:tentative="1">
      <w:start w:val="1"/>
      <w:numFmt w:val="lowerRoman"/>
      <w:lvlText w:val="%3."/>
      <w:lvlJc w:val="right"/>
      <w:pPr>
        <w:ind w:left="2402" w:hanging="180"/>
      </w:pPr>
    </w:lvl>
    <w:lvl w:ilvl="3" w:tplc="0416000F" w:tentative="1">
      <w:start w:val="1"/>
      <w:numFmt w:val="decimal"/>
      <w:lvlText w:val="%4."/>
      <w:lvlJc w:val="left"/>
      <w:pPr>
        <w:ind w:left="3122" w:hanging="360"/>
      </w:pPr>
    </w:lvl>
    <w:lvl w:ilvl="4" w:tplc="04160019" w:tentative="1">
      <w:start w:val="1"/>
      <w:numFmt w:val="lowerLetter"/>
      <w:lvlText w:val="%5."/>
      <w:lvlJc w:val="left"/>
      <w:pPr>
        <w:ind w:left="3842" w:hanging="360"/>
      </w:pPr>
    </w:lvl>
    <w:lvl w:ilvl="5" w:tplc="0416001B" w:tentative="1">
      <w:start w:val="1"/>
      <w:numFmt w:val="lowerRoman"/>
      <w:lvlText w:val="%6."/>
      <w:lvlJc w:val="right"/>
      <w:pPr>
        <w:ind w:left="4562" w:hanging="180"/>
      </w:pPr>
    </w:lvl>
    <w:lvl w:ilvl="6" w:tplc="0416000F" w:tentative="1">
      <w:start w:val="1"/>
      <w:numFmt w:val="decimal"/>
      <w:lvlText w:val="%7."/>
      <w:lvlJc w:val="left"/>
      <w:pPr>
        <w:ind w:left="5282" w:hanging="360"/>
      </w:pPr>
    </w:lvl>
    <w:lvl w:ilvl="7" w:tplc="04160019" w:tentative="1">
      <w:start w:val="1"/>
      <w:numFmt w:val="lowerLetter"/>
      <w:lvlText w:val="%8."/>
      <w:lvlJc w:val="left"/>
      <w:pPr>
        <w:ind w:left="6002" w:hanging="360"/>
      </w:pPr>
    </w:lvl>
    <w:lvl w:ilvl="8" w:tplc="0416001B" w:tentative="1">
      <w:start w:val="1"/>
      <w:numFmt w:val="lowerRoman"/>
      <w:lvlText w:val="%9."/>
      <w:lvlJc w:val="right"/>
      <w:pPr>
        <w:ind w:left="6722" w:hanging="180"/>
      </w:pPr>
    </w:lvl>
  </w:abstractNum>
  <w:abstractNum w:abstractNumId="9" w15:restartNumberingAfterBreak="0">
    <w:nsid w:val="4B05C947"/>
    <w:multiLevelType w:val="hybridMultilevel"/>
    <w:tmpl w:val="7DDE346C"/>
    <w:lvl w:ilvl="0" w:tplc="87F8D0EE">
      <w:start w:val="1"/>
      <w:numFmt w:val="decimal"/>
      <w:lvlText w:val="%1."/>
      <w:lvlJc w:val="left"/>
      <w:pPr>
        <w:ind w:left="720" w:hanging="360"/>
      </w:pPr>
    </w:lvl>
    <w:lvl w:ilvl="1" w:tplc="DB8E9662">
      <w:start w:val="1"/>
      <w:numFmt w:val="decimal"/>
      <w:lvlText w:val="%2."/>
      <w:lvlJc w:val="left"/>
      <w:pPr>
        <w:ind w:left="1440" w:hanging="1080"/>
      </w:pPr>
    </w:lvl>
    <w:lvl w:ilvl="2" w:tplc="BABA06A6">
      <w:start w:val="1"/>
      <w:numFmt w:val="decimal"/>
      <w:lvlText w:val="%3."/>
      <w:lvlJc w:val="left"/>
      <w:pPr>
        <w:ind w:left="2160" w:hanging="1980"/>
      </w:pPr>
    </w:lvl>
    <w:lvl w:ilvl="3" w:tplc="605E4D86">
      <w:start w:val="1"/>
      <w:numFmt w:val="decimal"/>
      <w:lvlText w:val="%4."/>
      <w:lvlJc w:val="left"/>
      <w:pPr>
        <w:ind w:left="2880" w:hanging="2520"/>
      </w:pPr>
    </w:lvl>
    <w:lvl w:ilvl="4" w:tplc="92927104">
      <w:start w:val="1"/>
      <w:numFmt w:val="decimal"/>
      <w:lvlText w:val="%5."/>
      <w:lvlJc w:val="left"/>
      <w:pPr>
        <w:ind w:left="3600" w:hanging="3240"/>
      </w:pPr>
    </w:lvl>
    <w:lvl w:ilvl="5" w:tplc="2B70B1E6">
      <w:start w:val="1"/>
      <w:numFmt w:val="decimal"/>
      <w:lvlText w:val="%6."/>
      <w:lvlJc w:val="left"/>
      <w:pPr>
        <w:ind w:left="4320" w:hanging="4140"/>
      </w:pPr>
    </w:lvl>
    <w:lvl w:ilvl="6" w:tplc="66E032CC">
      <w:start w:val="1"/>
      <w:numFmt w:val="decimal"/>
      <w:lvlText w:val="%7."/>
      <w:lvlJc w:val="left"/>
      <w:pPr>
        <w:ind w:left="5040" w:hanging="4680"/>
      </w:pPr>
    </w:lvl>
    <w:lvl w:ilvl="7" w:tplc="1102CEF8">
      <w:start w:val="1"/>
      <w:numFmt w:val="decimal"/>
      <w:lvlText w:val="%8."/>
      <w:lvlJc w:val="left"/>
      <w:pPr>
        <w:ind w:left="5760" w:hanging="5400"/>
      </w:pPr>
    </w:lvl>
    <w:lvl w:ilvl="8" w:tplc="8F787444">
      <w:start w:val="1"/>
      <w:numFmt w:val="decimal"/>
      <w:lvlText w:val="%9."/>
      <w:lvlJc w:val="left"/>
      <w:pPr>
        <w:ind w:left="6480" w:hanging="6300"/>
      </w:pPr>
    </w:lvl>
  </w:abstractNum>
  <w:abstractNum w:abstractNumId="10" w15:restartNumberingAfterBreak="0">
    <w:nsid w:val="4C470BEE"/>
    <w:multiLevelType w:val="hybridMultilevel"/>
    <w:tmpl w:val="B026416E"/>
    <w:lvl w:ilvl="0" w:tplc="0416000F">
      <w:start w:val="1"/>
      <w:numFmt w:val="decimal"/>
      <w:lvlText w:val="%1."/>
      <w:lvlJc w:val="left"/>
      <w:pPr>
        <w:ind w:left="962" w:hanging="360"/>
      </w:pPr>
    </w:lvl>
    <w:lvl w:ilvl="1" w:tplc="04160019" w:tentative="1">
      <w:start w:val="1"/>
      <w:numFmt w:val="lowerLetter"/>
      <w:lvlText w:val="%2."/>
      <w:lvlJc w:val="left"/>
      <w:pPr>
        <w:ind w:left="1682" w:hanging="360"/>
      </w:pPr>
    </w:lvl>
    <w:lvl w:ilvl="2" w:tplc="0416001B" w:tentative="1">
      <w:start w:val="1"/>
      <w:numFmt w:val="lowerRoman"/>
      <w:lvlText w:val="%3."/>
      <w:lvlJc w:val="right"/>
      <w:pPr>
        <w:ind w:left="2402" w:hanging="180"/>
      </w:pPr>
    </w:lvl>
    <w:lvl w:ilvl="3" w:tplc="0416000F" w:tentative="1">
      <w:start w:val="1"/>
      <w:numFmt w:val="decimal"/>
      <w:lvlText w:val="%4."/>
      <w:lvlJc w:val="left"/>
      <w:pPr>
        <w:ind w:left="3122" w:hanging="360"/>
      </w:pPr>
    </w:lvl>
    <w:lvl w:ilvl="4" w:tplc="04160019" w:tentative="1">
      <w:start w:val="1"/>
      <w:numFmt w:val="lowerLetter"/>
      <w:lvlText w:val="%5."/>
      <w:lvlJc w:val="left"/>
      <w:pPr>
        <w:ind w:left="3842" w:hanging="360"/>
      </w:pPr>
    </w:lvl>
    <w:lvl w:ilvl="5" w:tplc="0416001B" w:tentative="1">
      <w:start w:val="1"/>
      <w:numFmt w:val="lowerRoman"/>
      <w:lvlText w:val="%6."/>
      <w:lvlJc w:val="right"/>
      <w:pPr>
        <w:ind w:left="4562" w:hanging="180"/>
      </w:pPr>
    </w:lvl>
    <w:lvl w:ilvl="6" w:tplc="0416000F" w:tentative="1">
      <w:start w:val="1"/>
      <w:numFmt w:val="decimal"/>
      <w:lvlText w:val="%7."/>
      <w:lvlJc w:val="left"/>
      <w:pPr>
        <w:ind w:left="5282" w:hanging="360"/>
      </w:pPr>
    </w:lvl>
    <w:lvl w:ilvl="7" w:tplc="04160019" w:tentative="1">
      <w:start w:val="1"/>
      <w:numFmt w:val="lowerLetter"/>
      <w:lvlText w:val="%8."/>
      <w:lvlJc w:val="left"/>
      <w:pPr>
        <w:ind w:left="6002" w:hanging="360"/>
      </w:pPr>
    </w:lvl>
    <w:lvl w:ilvl="8" w:tplc="0416001B" w:tentative="1">
      <w:start w:val="1"/>
      <w:numFmt w:val="lowerRoman"/>
      <w:lvlText w:val="%9."/>
      <w:lvlJc w:val="right"/>
      <w:pPr>
        <w:ind w:left="6722" w:hanging="180"/>
      </w:pPr>
    </w:lvl>
  </w:abstractNum>
  <w:abstractNum w:abstractNumId="11" w15:restartNumberingAfterBreak="0">
    <w:nsid w:val="5D9021D5"/>
    <w:multiLevelType w:val="hybridMultilevel"/>
    <w:tmpl w:val="A3B4A20C"/>
    <w:lvl w:ilvl="0" w:tplc="1D8A9284">
      <w:start w:val="2"/>
      <w:numFmt w:val="decimal"/>
      <w:lvlText w:val="%1."/>
      <w:lvlJc w:val="left"/>
      <w:pPr>
        <w:ind w:left="601" w:hanging="360"/>
      </w:pPr>
      <w:rPr>
        <w:rFonts w:hint="default"/>
      </w:rPr>
    </w:lvl>
    <w:lvl w:ilvl="1" w:tplc="04160019" w:tentative="1">
      <w:start w:val="1"/>
      <w:numFmt w:val="lowerLetter"/>
      <w:lvlText w:val="%2."/>
      <w:lvlJc w:val="left"/>
      <w:pPr>
        <w:ind w:left="1321" w:hanging="360"/>
      </w:pPr>
    </w:lvl>
    <w:lvl w:ilvl="2" w:tplc="0416001B" w:tentative="1">
      <w:start w:val="1"/>
      <w:numFmt w:val="lowerRoman"/>
      <w:lvlText w:val="%3."/>
      <w:lvlJc w:val="right"/>
      <w:pPr>
        <w:ind w:left="2041" w:hanging="180"/>
      </w:pPr>
    </w:lvl>
    <w:lvl w:ilvl="3" w:tplc="0416000F" w:tentative="1">
      <w:start w:val="1"/>
      <w:numFmt w:val="decimal"/>
      <w:lvlText w:val="%4."/>
      <w:lvlJc w:val="left"/>
      <w:pPr>
        <w:ind w:left="2761" w:hanging="360"/>
      </w:pPr>
    </w:lvl>
    <w:lvl w:ilvl="4" w:tplc="04160019" w:tentative="1">
      <w:start w:val="1"/>
      <w:numFmt w:val="lowerLetter"/>
      <w:lvlText w:val="%5."/>
      <w:lvlJc w:val="left"/>
      <w:pPr>
        <w:ind w:left="3481" w:hanging="360"/>
      </w:pPr>
    </w:lvl>
    <w:lvl w:ilvl="5" w:tplc="0416001B" w:tentative="1">
      <w:start w:val="1"/>
      <w:numFmt w:val="lowerRoman"/>
      <w:lvlText w:val="%6."/>
      <w:lvlJc w:val="right"/>
      <w:pPr>
        <w:ind w:left="4201" w:hanging="180"/>
      </w:pPr>
    </w:lvl>
    <w:lvl w:ilvl="6" w:tplc="0416000F" w:tentative="1">
      <w:start w:val="1"/>
      <w:numFmt w:val="decimal"/>
      <w:lvlText w:val="%7."/>
      <w:lvlJc w:val="left"/>
      <w:pPr>
        <w:ind w:left="4921" w:hanging="360"/>
      </w:pPr>
    </w:lvl>
    <w:lvl w:ilvl="7" w:tplc="04160019" w:tentative="1">
      <w:start w:val="1"/>
      <w:numFmt w:val="lowerLetter"/>
      <w:lvlText w:val="%8."/>
      <w:lvlJc w:val="left"/>
      <w:pPr>
        <w:ind w:left="5641" w:hanging="360"/>
      </w:pPr>
    </w:lvl>
    <w:lvl w:ilvl="8" w:tplc="0416001B" w:tentative="1">
      <w:start w:val="1"/>
      <w:numFmt w:val="lowerRoman"/>
      <w:lvlText w:val="%9."/>
      <w:lvlJc w:val="right"/>
      <w:pPr>
        <w:ind w:left="6361" w:hanging="180"/>
      </w:pPr>
    </w:lvl>
  </w:abstractNum>
  <w:abstractNum w:abstractNumId="12" w15:restartNumberingAfterBreak="0">
    <w:nsid w:val="5DAF4B9D"/>
    <w:multiLevelType w:val="hybridMultilevel"/>
    <w:tmpl w:val="6D249EC0"/>
    <w:lvl w:ilvl="0" w:tplc="1D8A9284">
      <w:start w:val="3"/>
      <w:numFmt w:val="decimal"/>
      <w:lvlText w:val="%1."/>
      <w:lvlJc w:val="left"/>
      <w:pPr>
        <w:ind w:left="601" w:hanging="360"/>
      </w:pPr>
      <w:rPr>
        <w:rFonts w:hint="default"/>
      </w:rPr>
    </w:lvl>
    <w:lvl w:ilvl="1" w:tplc="04160019" w:tentative="1">
      <w:start w:val="1"/>
      <w:numFmt w:val="lowerLetter"/>
      <w:lvlText w:val="%2."/>
      <w:lvlJc w:val="left"/>
      <w:pPr>
        <w:ind w:left="1321" w:hanging="360"/>
      </w:pPr>
    </w:lvl>
    <w:lvl w:ilvl="2" w:tplc="0416001B" w:tentative="1">
      <w:start w:val="1"/>
      <w:numFmt w:val="lowerRoman"/>
      <w:lvlText w:val="%3."/>
      <w:lvlJc w:val="right"/>
      <w:pPr>
        <w:ind w:left="2041" w:hanging="180"/>
      </w:pPr>
    </w:lvl>
    <w:lvl w:ilvl="3" w:tplc="0416000F" w:tentative="1">
      <w:start w:val="1"/>
      <w:numFmt w:val="decimal"/>
      <w:lvlText w:val="%4."/>
      <w:lvlJc w:val="left"/>
      <w:pPr>
        <w:ind w:left="2761" w:hanging="360"/>
      </w:pPr>
    </w:lvl>
    <w:lvl w:ilvl="4" w:tplc="04160019" w:tentative="1">
      <w:start w:val="1"/>
      <w:numFmt w:val="lowerLetter"/>
      <w:lvlText w:val="%5."/>
      <w:lvlJc w:val="left"/>
      <w:pPr>
        <w:ind w:left="3481" w:hanging="360"/>
      </w:pPr>
    </w:lvl>
    <w:lvl w:ilvl="5" w:tplc="0416001B" w:tentative="1">
      <w:start w:val="1"/>
      <w:numFmt w:val="lowerRoman"/>
      <w:lvlText w:val="%6."/>
      <w:lvlJc w:val="right"/>
      <w:pPr>
        <w:ind w:left="4201" w:hanging="180"/>
      </w:pPr>
    </w:lvl>
    <w:lvl w:ilvl="6" w:tplc="0416000F" w:tentative="1">
      <w:start w:val="1"/>
      <w:numFmt w:val="decimal"/>
      <w:lvlText w:val="%7."/>
      <w:lvlJc w:val="left"/>
      <w:pPr>
        <w:ind w:left="4921" w:hanging="360"/>
      </w:pPr>
    </w:lvl>
    <w:lvl w:ilvl="7" w:tplc="04160019" w:tentative="1">
      <w:start w:val="1"/>
      <w:numFmt w:val="lowerLetter"/>
      <w:lvlText w:val="%8."/>
      <w:lvlJc w:val="left"/>
      <w:pPr>
        <w:ind w:left="5641" w:hanging="360"/>
      </w:pPr>
    </w:lvl>
    <w:lvl w:ilvl="8" w:tplc="0416001B" w:tentative="1">
      <w:start w:val="1"/>
      <w:numFmt w:val="lowerRoman"/>
      <w:lvlText w:val="%9."/>
      <w:lvlJc w:val="right"/>
      <w:pPr>
        <w:ind w:left="6361" w:hanging="180"/>
      </w:pPr>
    </w:lvl>
  </w:abstractNum>
  <w:abstractNum w:abstractNumId="13" w15:restartNumberingAfterBreak="0">
    <w:nsid w:val="66F50985"/>
    <w:multiLevelType w:val="hybridMultilevel"/>
    <w:tmpl w:val="E514DC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7F02A20"/>
    <w:multiLevelType w:val="hybridMultilevel"/>
    <w:tmpl w:val="57B40078"/>
    <w:lvl w:ilvl="0" w:tplc="1D8A9284">
      <w:start w:val="4"/>
      <w:numFmt w:val="decimal"/>
      <w:lvlText w:val="%1."/>
      <w:lvlJc w:val="left"/>
      <w:pPr>
        <w:ind w:left="601" w:hanging="360"/>
      </w:pPr>
      <w:rPr>
        <w:rFonts w:hint="default"/>
      </w:rPr>
    </w:lvl>
    <w:lvl w:ilvl="1" w:tplc="04160019" w:tentative="1">
      <w:start w:val="1"/>
      <w:numFmt w:val="lowerLetter"/>
      <w:lvlText w:val="%2."/>
      <w:lvlJc w:val="left"/>
      <w:pPr>
        <w:ind w:left="1321" w:hanging="360"/>
      </w:pPr>
    </w:lvl>
    <w:lvl w:ilvl="2" w:tplc="0416001B" w:tentative="1">
      <w:start w:val="1"/>
      <w:numFmt w:val="lowerRoman"/>
      <w:lvlText w:val="%3."/>
      <w:lvlJc w:val="right"/>
      <w:pPr>
        <w:ind w:left="2041" w:hanging="180"/>
      </w:pPr>
    </w:lvl>
    <w:lvl w:ilvl="3" w:tplc="0416000F" w:tentative="1">
      <w:start w:val="1"/>
      <w:numFmt w:val="decimal"/>
      <w:lvlText w:val="%4."/>
      <w:lvlJc w:val="left"/>
      <w:pPr>
        <w:ind w:left="2761" w:hanging="360"/>
      </w:pPr>
    </w:lvl>
    <w:lvl w:ilvl="4" w:tplc="04160019" w:tentative="1">
      <w:start w:val="1"/>
      <w:numFmt w:val="lowerLetter"/>
      <w:lvlText w:val="%5."/>
      <w:lvlJc w:val="left"/>
      <w:pPr>
        <w:ind w:left="3481" w:hanging="360"/>
      </w:pPr>
    </w:lvl>
    <w:lvl w:ilvl="5" w:tplc="0416001B" w:tentative="1">
      <w:start w:val="1"/>
      <w:numFmt w:val="lowerRoman"/>
      <w:lvlText w:val="%6."/>
      <w:lvlJc w:val="right"/>
      <w:pPr>
        <w:ind w:left="4201" w:hanging="180"/>
      </w:pPr>
    </w:lvl>
    <w:lvl w:ilvl="6" w:tplc="0416000F" w:tentative="1">
      <w:start w:val="1"/>
      <w:numFmt w:val="decimal"/>
      <w:lvlText w:val="%7."/>
      <w:lvlJc w:val="left"/>
      <w:pPr>
        <w:ind w:left="4921" w:hanging="360"/>
      </w:pPr>
    </w:lvl>
    <w:lvl w:ilvl="7" w:tplc="04160019" w:tentative="1">
      <w:start w:val="1"/>
      <w:numFmt w:val="lowerLetter"/>
      <w:lvlText w:val="%8."/>
      <w:lvlJc w:val="left"/>
      <w:pPr>
        <w:ind w:left="5641" w:hanging="360"/>
      </w:pPr>
    </w:lvl>
    <w:lvl w:ilvl="8" w:tplc="0416001B" w:tentative="1">
      <w:start w:val="1"/>
      <w:numFmt w:val="lowerRoman"/>
      <w:lvlText w:val="%9."/>
      <w:lvlJc w:val="right"/>
      <w:pPr>
        <w:ind w:left="6361" w:hanging="180"/>
      </w:pPr>
    </w:lvl>
  </w:abstractNum>
  <w:abstractNum w:abstractNumId="15" w15:restartNumberingAfterBreak="0">
    <w:nsid w:val="6D2D1C59"/>
    <w:multiLevelType w:val="hybridMultilevel"/>
    <w:tmpl w:val="95F2E9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FAB1F42"/>
    <w:multiLevelType w:val="hybridMultilevel"/>
    <w:tmpl w:val="A8EA9B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38846972">
    <w:abstractNumId w:val="6"/>
  </w:num>
  <w:num w:numId="2" w16cid:durableId="1272929783">
    <w:abstractNumId w:val="0"/>
  </w:num>
  <w:num w:numId="3" w16cid:durableId="949120916">
    <w:abstractNumId w:val="1"/>
  </w:num>
  <w:num w:numId="4" w16cid:durableId="1415785888">
    <w:abstractNumId w:val="16"/>
  </w:num>
  <w:num w:numId="5" w16cid:durableId="153836824">
    <w:abstractNumId w:val="2"/>
  </w:num>
  <w:num w:numId="6" w16cid:durableId="1459032768">
    <w:abstractNumId w:val="12"/>
  </w:num>
  <w:num w:numId="7" w16cid:durableId="1442148170">
    <w:abstractNumId w:val="5"/>
  </w:num>
  <w:num w:numId="8" w16cid:durableId="1945921717">
    <w:abstractNumId w:val="8"/>
  </w:num>
  <w:num w:numId="9" w16cid:durableId="1316181803">
    <w:abstractNumId w:val="14"/>
  </w:num>
  <w:num w:numId="10" w16cid:durableId="1669093738">
    <w:abstractNumId w:val="7"/>
  </w:num>
  <w:num w:numId="11" w16cid:durableId="452555509">
    <w:abstractNumId w:val="11"/>
  </w:num>
  <w:num w:numId="12" w16cid:durableId="2066368094">
    <w:abstractNumId w:val="4"/>
  </w:num>
  <w:num w:numId="13" w16cid:durableId="765925700">
    <w:abstractNumId w:val="9"/>
  </w:num>
  <w:num w:numId="14" w16cid:durableId="709375268">
    <w:abstractNumId w:val="3"/>
  </w:num>
  <w:num w:numId="15" w16cid:durableId="1442264667">
    <w:abstractNumId w:val="13"/>
  </w:num>
  <w:num w:numId="16" w16cid:durableId="2085569036">
    <w:abstractNumId w:val="10"/>
  </w:num>
  <w:num w:numId="17" w16cid:durableId="20617841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C18"/>
    <w:rsid w:val="00014D62"/>
    <w:rsid w:val="0001675D"/>
    <w:rsid w:val="000252A0"/>
    <w:rsid w:val="0003162C"/>
    <w:rsid w:val="00042150"/>
    <w:rsid w:val="0006740E"/>
    <w:rsid w:val="00070D18"/>
    <w:rsid w:val="00075B15"/>
    <w:rsid w:val="000818AF"/>
    <w:rsid w:val="00081C18"/>
    <w:rsid w:val="00085FE1"/>
    <w:rsid w:val="000B6ADE"/>
    <w:rsid w:val="000C6CB1"/>
    <w:rsid w:val="000E3C2F"/>
    <w:rsid w:val="000E5BEC"/>
    <w:rsid w:val="00103A40"/>
    <w:rsid w:val="0012148D"/>
    <w:rsid w:val="0015270E"/>
    <w:rsid w:val="001741BF"/>
    <w:rsid w:val="00180309"/>
    <w:rsid w:val="001A410B"/>
    <w:rsid w:val="001A5283"/>
    <w:rsid w:val="001A52DC"/>
    <w:rsid w:val="001B2AA6"/>
    <w:rsid w:val="001D3804"/>
    <w:rsid w:val="001E6D61"/>
    <w:rsid w:val="00222657"/>
    <w:rsid w:val="0024260B"/>
    <w:rsid w:val="002528C5"/>
    <w:rsid w:val="002643AE"/>
    <w:rsid w:val="002B6179"/>
    <w:rsid w:val="002D10E3"/>
    <w:rsid w:val="00313E29"/>
    <w:rsid w:val="00322001"/>
    <w:rsid w:val="003247C6"/>
    <w:rsid w:val="00332C9B"/>
    <w:rsid w:val="0036041F"/>
    <w:rsid w:val="00391E73"/>
    <w:rsid w:val="003A5702"/>
    <w:rsid w:val="003A67F1"/>
    <w:rsid w:val="003C51EE"/>
    <w:rsid w:val="003E4987"/>
    <w:rsid w:val="00425CE7"/>
    <w:rsid w:val="0043075C"/>
    <w:rsid w:val="00433F49"/>
    <w:rsid w:val="004931A3"/>
    <w:rsid w:val="004B7342"/>
    <w:rsid w:val="004C57DA"/>
    <w:rsid w:val="004F5D64"/>
    <w:rsid w:val="00513406"/>
    <w:rsid w:val="00516219"/>
    <w:rsid w:val="00523BCC"/>
    <w:rsid w:val="00551730"/>
    <w:rsid w:val="00587510"/>
    <w:rsid w:val="005A3FF4"/>
    <w:rsid w:val="005B4603"/>
    <w:rsid w:val="005C6C3F"/>
    <w:rsid w:val="005E0D3A"/>
    <w:rsid w:val="00615FAD"/>
    <w:rsid w:val="0062115E"/>
    <w:rsid w:val="006243E3"/>
    <w:rsid w:val="00633CD8"/>
    <w:rsid w:val="00634CD6"/>
    <w:rsid w:val="006534AF"/>
    <w:rsid w:val="0065484B"/>
    <w:rsid w:val="00666D4E"/>
    <w:rsid w:val="0068667B"/>
    <w:rsid w:val="00693513"/>
    <w:rsid w:val="00695440"/>
    <w:rsid w:val="006964FF"/>
    <w:rsid w:val="006A5C02"/>
    <w:rsid w:val="006B283F"/>
    <w:rsid w:val="006F6553"/>
    <w:rsid w:val="007140DF"/>
    <w:rsid w:val="00756B01"/>
    <w:rsid w:val="0077000F"/>
    <w:rsid w:val="00782D34"/>
    <w:rsid w:val="007972D0"/>
    <w:rsid w:val="007A0A9E"/>
    <w:rsid w:val="007C306A"/>
    <w:rsid w:val="007E1400"/>
    <w:rsid w:val="007F295F"/>
    <w:rsid w:val="008004CF"/>
    <w:rsid w:val="00810781"/>
    <w:rsid w:val="00811294"/>
    <w:rsid w:val="00811B14"/>
    <w:rsid w:val="0083603A"/>
    <w:rsid w:val="00850334"/>
    <w:rsid w:val="00861B41"/>
    <w:rsid w:val="00872FB0"/>
    <w:rsid w:val="00877EC0"/>
    <w:rsid w:val="008D1F12"/>
    <w:rsid w:val="008F692B"/>
    <w:rsid w:val="008F7543"/>
    <w:rsid w:val="00913954"/>
    <w:rsid w:val="00917482"/>
    <w:rsid w:val="00926F58"/>
    <w:rsid w:val="00935E24"/>
    <w:rsid w:val="0094778F"/>
    <w:rsid w:val="00956906"/>
    <w:rsid w:val="00970A91"/>
    <w:rsid w:val="00972DEB"/>
    <w:rsid w:val="009741CA"/>
    <w:rsid w:val="009C1005"/>
    <w:rsid w:val="009D4634"/>
    <w:rsid w:val="009E5DC7"/>
    <w:rsid w:val="00A322DD"/>
    <w:rsid w:val="00A35F67"/>
    <w:rsid w:val="00A37F0A"/>
    <w:rsid w:val="00A40E42"/>
    <w:rsid w:val="00A43EC3"/>
    <w:rsid w:val="00A92282"/>
    <w:rsid w:val="00AA3B48"/>
    <w:rsid w:val="00AC08FF"/>
    <w:rsid w:val="00AF5607"/>
    <w:rsid w:val="00B03492"/>
    <w:rsid w:val="00B178A4"/>
    <w:rsid w:val="00B342AF"/>
    <w:rsid w:val="00B42A00"/>
    <w:rsid w:val="00B57FF3"/>
    <w:rsid w:val="00B63763"/>
    <w:rsid w:val="00BA1D7E"/>
    <w:rsid w:val="00BB7C81"/>
    <w:rsid w:val="00BD4AB1"/>
    <w:rsid w:val="00BF777B"/>
    <w:rsid w:val="00C10920"/>
    <w:rsid w:val="00C1505D"/>
    <w:rsid w:val="00C25113"/>
    <w:rsid w:val="00C2589C"/>
    <w:rsid w:val="00C402DE"/>
    <w:rsid w:val="00C52B38"/>
    <w:rsid w:val="00C80E81"/>
    <w:rsid w:val="00C872E0"/>
    <w:rsid w:val="00C909C5"/>
    <w:rsid w:val="00C925A6"/>
    <w:rsid w:val="00C94585"/>
    <w:rsid w:val="00C97E1A"/>
    <w:rsid w:val="00CB7B5A"/>
    <w:rsid w:val="00CD695D"/>
    <w:rsid w:val="00CE60E8"/>
    <w:rsid w:val="00CF63AD"/>
    <w:rsid w:val="00D07F43"/>
    <w:rsid w:val="00D64C83"/>
    <w:rsid w:val="00D67B3D"/>
    <w:rsid w:val="00D96ADA"/>
    <w:rsid w:val="00DC00B0"/>
    <w:rsid w:val="00DE2720"/>
    <w:rsid w:val="00DE557D"/>
    <w:rsid w:val="00E14CC6"/>
    <w:rsid w:val="00E26FFA"/>
    <w:rsid w:val="00E35B10"/>
    <w:rsid w:val="00E366CF"/>
    <w:rsid w:val="00E44C0F"/>
    <w:rsid w:val="00E46822"/>
    <w:rsid w:val="00E61D9C"/>
    <w:rsid w:val="00E92E47"/>
    <w:rsid w:val="00EA0CDF"/>
    <w:rsid w:val="00EA4C88"/>
    <w:rsid w:val="00EF70AE"/>
    <w:rsid w:val="00F1111F"/>
    <w:rsid w:val="00F11404"/>
    <w:rsid w:val="00F276A8"/>
    <w:rsid w:val="00F43B28"/>
    <w:rsid w:val="00F552BD"/>
    <w:rsid w:val="00F63E51"/>
    <w:rsid w:val="00FC30E1"/>
    <w:rsid w:val="00FC7D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4F0D6"/>
  <w15:docId w15:val="{706EDAF0-3707-453D-AF11-D472C774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BR"/>
    </w:rPr>
  </w:style>
  <w:style w:type="paragraph" w:styleId="Ttulo1">
    <w:name w:val="heading 1"/>
    <w:basedOn w:val="Normal"/>
    <w:pPr>
      <w:spacing w:before="480"/>
      <w:outlineLvl w:val="0"/>
    </w:pPr>
    <w:rPr>
      <w:b/>
      <w:color w:val="345A8A"/>
      <w:sz w:val="32"/>
    </w:rPr>
  </w:style>
  <w:style w:type="paragraph" w:styleId="Ttulo2">
    <w:name w:val="heading 2"/>
    <w:basedOn w:val="Normal"/>
    <w:pPr>
      <w:spacing w:before="200"/>
      <w:outlineLvl w:val="1"/>
    </w:pPr>
    <w:rPr>
      <w:b/>
      <w:color w:val="4F81BD"/>
      <w:sz w:val="26"/>
    </w:rPr>
  </w:style>
  <w:style w:type="paragraph" w:styleId="Ttulo3">
    <w:name w:val="heading 3"/>
    <w:basedOn w:val="Normal"/>
    <w:pPr>
      <w:spacing w:before="200"/>
      <w:outlineLvl w:val="2"/>
    </w:pPr>
    <w:rPr>
      <w:b/>
      <w:color w:val="4F81BD"/>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16"/>
      <w:ind w:left="242"/>
    </w:pPr>
  </w:style>
  <w:style w:type="paragraph" w:styleId="PargrafodaLista">
    <w:name w:val="List Paragraph"/>
    <w:basedOn w:val="Normal"/>
    <w:uiPriority w:val="1"/>
    <w:qFormat/>
    <w:pPr>
      <w:ind w:left="462" w:hanging="221"/>
    </w:pPr>
  </w:style>
  <w:style w:type="paragraph" w:customStyle="1" w:styleId="TableParagraph">
    <w:name w:val="Table Paragraph"/>
    <w:basedOn w:val="Normal"/>
    <w:uiPriority w:val="1"/>
    <w:qFormat/>
    <w:pPr>
      <w:spacing w:before="114"/>
      <w:ind w:left="176"/>
    </w:pPr>
  </w:style>
  <w:style w:type="paragraph" w:styleId="Textodenotaderodap">
    <w:name w:val="footnote text"/>
    <w:basedOn w:val="Normal"/>
    <w:link w:val="TextodenotaderodapChar"/>
    <w:uiPriority w:val="99"/>
    <w:semiHidden/>
    <w:unhideWhenUsed/>
    <w:rsid w:val="00583161"/>
    <w:rPr>
      <w:sz w:val="20"/>
      <w:szCs w:val="20"/>
    </w:rPr>
  </w:style>
  <w:style w:type="character" w:customStyle="1" w:styleId="TextodenotaderodapChar">
    <w:name w:val="Texto de nota de rodapé Char"/>
    <w:basedOn w:val="Fontepargpadro"/>
    <w:link w:val="Textodenotaderodap"/>
    <w:uiPriority w:val="99"/>
    <w:semiHidden/>
    <w:rsid w:val="00583161"/>
    <w:rPr>
      <w:rFonts w:ascii="Times New Roman" w:eastAsia="Times New Roman" w:hAnsi="Times New Roman" w:cs="Times New Roman"/>
      <w:sz w:val="20"/>
      <w:szCs w:val="20"/>
      <w:lang w:val="pt-PT"/>
    </w:rPr>
  </w:style>
  <w:style w:type="character" w:styleId="Refdenotaderodap">
    <w:name w:val="footnote reference"/>
    <w:basedOn w:val="Fontepargpadro"/>
    <w:uiPriority w:val="99"/>
    <w:semiHidden/>
    <w:unhideWhenUsed/>
    <w:rsid w:val="00583161"/>
    <w:rPr>
      <w:vertAlign w:val="superscript"/>
    </w:rPr>
  </w:style>
  <w:style w:type="character" w:styleId="Hyperlink">
    <w:name w:val="Hyperlink"/>
    <w:basedOn w:val="Fontepargpadro"/>
    <w:uiPriority w:val="99"/>
    <w:unhideWhenUsed/>
    <w:rsid w:val="00904EEC"/>
    <w:rPr>
      <w:color w:val="0000FF"/>
      <w:u w:val="single"/>
    </w:rPr>
  </w:style>
  <w:style w:type="character" w:customStyle="1" w:styleId="MenoPendente1">
    <w:name w:val="Menção Pendente1"/>
    <w:basedOn w:val="Fontepargpadro"/>
    <w:uiPriority w:val="99"/>
    <w:semiHidden/>
    <w:unhideWhenUsed/>
    <w:rsid w:val="00904EEC"/>
    <w:rPr>
      <w:color w:val="605E5C"/>
      <w:shd w:val="clear" w:color="auto" w:fill="E1DFDD"/>
    </w:rPr>
  </w:style>
  <w:style w:type="paragraph" w:styleId="Cabealho">
    <w:name w:val="header"/>
    <w:basedOn w:val="Normal"/>
    <w:link w:val="CabealhoChar"/>
    <w:uiPriority w:val="99"/>
    <w:unhideWhenUsed/>
    <w:rsid w:val="000B292E"/>
    <w:pPr>
      <w:tabs>
        <w:tab w:val="center" w:pos="4252"/>
        <w:tab w:val="right" w:pos="8504"/>
      </w:tabs>
    </w:pPr>
  </w:style>
  <w:style w:type="character" w:customStyle="1" w:styleId="CabealhoChar">
    <w:name w:val="Cabeçalho Char"/>
    <w:basedOn w:val="Fontepargpadro"/>
    <w:link w:val="Cabealho"/>
    <w:uiPriority w:val="99"/>
    <w:rsid w:val="000B292E"/>
    <w:rPr>
      <w:rFonts w:ascii="Times New Roman" w:eastAsia="Times New Roman" w:hAnsi="Times New Roman" w:cs="Times New Roman"/>
      <w:lang w:val="pt-BR"/>
    </w:rPr>
  </w:style>
  <w:style w:type="paragraph" w:styleId="Rodap">
    <w:name w:val="footer"/>
    <w:basedOn w:val="Normal"/>
    <w:link w:val="RodapChar"/>
    <w:uiPriority w:val="99"/>
    <w:unhideWhenUsed/>
    <w:rsid w:val="000B292E"/>
    <w:pPr>
      <w:tabs>
        <w:tab w:val="center" w:pos="4252"/>
        <w:tab w:val="right" w:pos="8504"/>
      </w:tabs>
    </w:pPr>
  </w:style>
  <w:style w:type="character" w:customStyle="1" w:styleId="RodapChar">
    <w:name w:val="Rodapé Char"/>
    <w:basedOn w:val="Fontepargpadro"/>
    <w:link w:val="Rodap"/>
    <w:uiPriority w:val="99"/>
    <w:rsid w:val="000B292E"/>
    <w:rPr>
      <w:rFonts w:ascii="Times New Roman" w:eastAsia="Times New Roman" w:hAnsi="Times New Roman" w:cs="Times New Roman"/>
      <w:lang w:val="pt-BR"/>
    </w:rPr>
  </w:style>
  <w:style w:type="character" w:styleId="Forte">
    <w:name w:val="Strong"/>
    <w:basedOn w:val="Fontepargpadro"/>
    <w:uiPriority w:val="22"/>
    <w:qFormat/>
    <w:rsid w:val="009E755B"/>
    <w:rPr>
      <w:b/>
      <w:bCs/>
    </w:rPr>
  </w:style>
  <w:style w:type="paragraph" w:styleId="Commarcadores">
    <w:name w:val="List Bullet"/>
    <w:basedOn w:val="Normal"/>
    <w:uiPriority w:val="99"/>
    <w:unhideWhenUsed/>
    <w:rsid w:val="0052272C"/>
    <w:pPr>
      <w:contextualSpacing/>
    </w:pPr>
  </w:style>
  <w:style w:type="character" w:styleId="HiperlinkVisitado">
    <w:name w:val="FollowedHyperlink"/>
    <w:basedOn w:val="Fontepargpadro"/>
    <w:uiPriority w:val="99"/>
    <w:semiHidden/>
    <w:unhideWhenUsed/>
    <w:rsid w:val="00D67407"/>
    <w:rPr>
      <w:color w:val="800080"/>
      <w:u w:val="single"/>
    </w:rPr>
  </w:style>
  <w:style w:type="paragraph" w:styleId="NormalWeb">
    <w:name w:val="Normal (Web)"/>
    <w:basedOn w:val="Normal"/>
    <w:uiPriority w:val="99"/>
    <w:semiHidden/>
    <w:unhideWhenUsed/>
    <w:rsid w:val="00A12790"/>
    <w:pPr>
      <w:widowControl/>
      <w:autoSpaceDE/>
      <w:autoSpaceDN/>
      <w:spacing w:before="100" w:beforeAutospacing="1" w:after="100" w:afterAutospacing="1"/>
    </w:pPr>
    <w:rPr>
      <w:sz w:val="24"/>
      <w:szCs w:val="24"/>
      <w:lang w:eastAsia="pt-BR"/>
    </w:rPr>
  </w:style>
  <w:style w:type="paragraph" w:styleId="Ttulo">
    <w:name w:val="Title"/>
    <w:basedOn w:val="Normal"/>
    <w:pPr>
      <w:spacing w:after="300"/>
    </w:pPr>
    <w:rPr>
      <w:color w:val="17365D"/>
      <w:sz w:val="52"/>
    </w:rPr>
  </w:style>
  <w:style w:type="paragraph" w:styleId="Subttulo">
    <w:name w:val="Subtitle"/>
    <w:basedOn w:val="Normal"/>
    <w:rPr>
      <w:i/>
      <w:color w:val="4F81BD"/>
      <w:sz w:val="24"/>
    </w:rPr>
  </w:style>
  <w:style w:type="table" w:styleId="Tabelacomgrade">
    <w:name w:val="Table Grid"/>
    <w:basedOn w:val="Tabelanormal"/>
    <w:uiPriority w:val="39"/>
    <w:rsid w:val="004C5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3-nfase1">
    <w:name w:val="List Table 3 Accent 1"/>
    <w:basedOn w:val="Tabelanormal"/>
    <w:uiPriority w:val="48"/>
    <w:rsid w:val="004C57D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aClara-nfase1">
    <w:name w:val="Light List Accent 1"/>
    <w:basedOn w:val="Tabelanormal"/>
    <w:uiPriority w:val="61"/>
    <w:rsid w:val="004C57D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egenda">
    <w:name w:val="caption"/>
    <w:basedOn w:val="Normal"/>
    <w:next w:val="Normal"/>
    <w:uiPriority w:val="35"/>
    <w:unhideWhenUsed/>
    <w:qFormat/>
    <w:rsid w:val="004C57DA"/>
    <w:pPr>
      <w:spacing w:after="200"/>
    </w:pPr>
    <w:rPr>
      <w:i/>
      <w:iCs/>
      <w:color w:val="1F497D" w:themeColor="text2"/>
      <w:sz w:val="18"/>
      <w:szCs w:val="18"/>
    </w:rPr>
  </w:style>
  <w:style w:type="table" w:styleId="TabeladeGrade4-nfase1">
    <w:name w:val="Grid Table 4 Accent 1"/>
    <w:basedOn w:val="Tabelanormal"/>
    <w:uiPriority w:val="49"/>
    <w:rsid w:val="0083603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
    <w:name w:val="Grid Table 4"/>
    <w:basedOn w:val="Tabelanormal"/>
    <w:uiPriority w:val="49"/>
    <w:rsid w:val="00633CD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3">
    <w:name w:val="List Table 3"/>
    <w:basedOn w:val="Tabelanormal"/>
    <w:uiPriority w:val="48"/>
    <w:rsid w:val="00633CD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doEspaoReservado">
    <w:name w:val="Placeholder Text"/>
    <w:basedOn w:val="Fontepargpadro"/>
    <w:uiPriority w:val="99"/>
    <w:semiHidden/>
    <w:rsid w:val="00A35F67"/>
    <w:rPr>
      <w:color w:val="808080"/>
    </w:rPr>
  </w:style>
  <w:style w:type="paragraph" w:styleId="Recuodecorpodetexto">
    <w:name w:val="Body Text Indent"/>
    <w:basedOn w:val="Normal"/>
    <w:link w:val="RecuodecorpodetextoChar"/>
    <w:uiPriority w:val="99"/>
    <w:semiHidden/>
    <w:unhideWhenUsed/>
    <w:rsid w:val="0024260B"/>
    <w:pPr>
      <w:spacing w:after="120"/>
      <w:ind w:left="283"/>
    </w:pPr>
  </w:style>
  <w:style w:type="character" w:customStyle="1" w:styleId="RecuodecorpodetextoChar">
    <w:name w:val="Recuo de corpo de texto Char"/>
    <w:basedOn w:val="Fontepargpadro"/>
    <w:link w:val="Recuodecorpodetexto"/>
    <w:uiPriority w:val="99"/>
    <w:semiHidden/>
    <w:rsid w:val="0024260B"/>
    <w:rPr>
      <w:rFonts w:ascii="Times New Roman" w:eastAsia="Times New Roman" w:hAnsi="Times New Roman" w:cs="Times New Roman"/>
      <w:lang w:val="pt-BR"/>
    </w:rPr>
  </w:style>
  <w:style w:type="character" w:styleId="MenoPendente">
    <w:name w:val="Unresolved Mention"/>
    <w:basedOn w:val="Fontepargpadro"/>
    <w:uiPriority w:val="99"/>
    <w:semiHidden/>
    <w:unhideWhenUsed/>
    <w:rsid w:val="00A37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414">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82387059">
      <w:bodyDiv w:val="1"/>
      <w:marLeft w:val="0"/>
      <w:marRight w:val="0"/>
      <w:marTop w:val="0"/>
      <w:marBottom w:val="0"/>
      <w:divBdr>
        <w:top w:val="none" w:sz="0" w:space="0" w:color="auto"/>
        <w:left w:val="none" w:sz="0" w:space="0" w:color="auto"/>
        <w:bottom w:val="none" w:sz="0" w:space="0" w:color="auto"/>
        <w:right w:val="none" w:sz="0" w:space="0" w:color="auto"/>
      </w:divBdr>
      <w:divsChild>
        <w:div w:id="792217205">
          <w:marLeft w:val="0"/>
          <w:marRight w:val="0"/>
          <w:marTop w:val="0"/>
          <w:marBottom w:val="0"/>
          <w:divBdr>
            <w:top w:val="none" w:sz="0" w:space="0" w:color="auto"/>
            <w:left w:val="none" w:sz="0" w:space="0" w:color="auto"/>
            <w:bottom w:val="none" w:sz="0" w:space="0" w:color="auto"/>
            <w:right w:val="none" w:sz="0" w:space="0" w:color="auto"/>
          </w:divBdr>
          <w:divsChild>
            <w:div w:id="2092268604">
              <w:marLeft w:val="0"/>
              <w:marRight w:val="0"/>
              <w:marTop w:val="75"/>
              <w:marBottom w:val="0"/>
              <w:divBdr>
                <w:top w:val="none" w:sz="0" w:space="0" w:color="auto"/>
                <w:left w:val="none" w:sz="0" w:space="0" w:color="auto"/>
                <w:bottom w:val="none" w:sz="0" w:space="0" w:color="auto"/>
                <w:right w:val="none" w:sz="0" w:space="0" w:color="auto"/>
              </w:divBdr>
              <w:divsChild>
                <w:div w:id="195775473">
                  <w:marLeft w:val="0"/>
                  <w:marRight w:val="0"/>
                  <w:marTop w:val="0"/>
                  <w:marBottom w:val="0"/>
                  <w:divBdr>
                    <w:top w:val="none" w:sz="0" w:space="0" w:color="auto"/>
                    <w:left w:val="none" w:sz="0" w:space="0" w:color="auto"/>
                    <w:bottom w:val="none" w:sz="0" w:space="0" w:color="auto"/>
                    <w:right w:val="none" w:sz="0" w:space="0" w:color="auto"/>
                  </w:divBdr>
                  <w:divsChild>
                    <w:div w:id="7482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7264">
          <w:marLeft w:val="0"/>
          <w:marRight w:val="0"/>
          <w:marTop w:val="0"/>
          <w:marBottom w:val="0"/>
          <w:divBdr>
            <w:top w:val="none" w:sz="0" w:space="0" w:color="auto"/>
            <w:left w:val="none" w:sz="0" w:space="0" w:color="auto"/>
            <w:bottom w:val="none" w:sz="0" w:space="0" w:color="auto"/>
            <w:right w:val="none" w:sz="0" w:space="0" w:color="auto"/>
          </w:divBdr>
          <w:divsChild>
            <w:div w:id="660233807">
              <w:marLeft w:val="0"/>
              <w:marRight w:val="0"/>
              <w:marTop w:val="0"/>
              <w:marBottom w:val="0"/>
              <w:divBdr>
                <w:top w:val="none" w:sz="0" w:space="0" w:color="auto"/>
                <w:left w:val="none" w:sz="0" w:space="0" w:color="auto"/>
                <w:bottom w:val="none" w:sz="0" w:space="0" w:color="auto"/>
                <w:right w:val="none" w:sz="0" w:space="0" w:color="auto"/>
              </w:divBdr>
              <w:divsChild>
                <w:div w:id="1208909390">
                  <w:marLeft w:val="0"/>
                  <w:marRight w:val="0"/>
                  <w:marTop w:val="0"/>
                  <w:marBottom w:val="0"/>
                  <w:divBdr>
                    <w:top w:val="none" w:sz="0" w:space="0" w:color="auto"/>
                    <w:left w:val="none" w:sz="0" w:space="0" w:color="auto"/>
                    <w:bottom w:val="none" w:sz="0" w:space="0" w:color="auto"/>
                    <w:right w:val="none" w:sz="0" w:space="0" w:color="auto"/>
                  </w:divBdr>
                  <w:divsChild>
                    <w:div w:id="5144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97317">
      <w:bodyDiv w:val="1"/>
      <w:marLeft w:val="0"/>
      <w:marRight w:val="0"/>
      <w:marTop w:val="0"/>
      <w:marBottom w:val="0"/>
      <w:divBdr>
        <w:top w:val="none" w:sz="0" w:space="0" w:color="auto"/>
        <w:left w:val="none" w:sz="0" w:space="0" w:color="auto"/>
        <w:bottom w:val="none" w:sz="0" w:space="0" w:color="auto"/>
        <w:right w:val="none" w:sz="0" w:space="0" w:color="auto"/>
      </w:divBdr>
    </w:div>
    <w:div w:id="292371823">
      <w:bodyDiv w:val="1"/>
      <w:marLeft w:val="0"/>
      <w:marRight w:val="0"/>
      <w:marTop w:val="0"/>
      <w:marBottom w:val="0"/>
      <w:divBdr>
        <w:top w:val="none" w:sz="0" w:space="0" w:color="auto"/>
        <w:left w:val="none" w:sz="0" w:space="0" w:color="auto"/>
        <w:bottom w:val="none" w:sz="0" w:space="0" w:color="auto"/>
        <w:right w:val="none" w:sz="0" w:space="0" w:color="auto"/>
      </w:divBdr>
      <w:divsChild>
        <w:div w:id="349722520">
          <w:marLeft w:val="0"/>
          <w:marRight w:val="0"/>
          <w:marTop w:val="0"/>
          <w:marBottom w:val="0"/>
          <w:divBdr>
            <w:top w:val="none" w:sz="0" w:space="0" w:color="auto"/>
            <w:left w:val="none" w:sz="0" w:space="0" w:color="auto"/>
            <w:bottom w:val="none" w:sz="0" w:space="0" w:color="auto"/>
            <w:right w:val="none" w:sz="0" w:space="0" w:color="auto"/>
          </w:divBdr>
          <w:divsChild>
            <w:div w:id="1770002174">
              <w:marLeft w:val="0"/>
              <w:marRight w:val="0"/>
              <w:marTop w:val="75"/>
              <w:marBottom w:val="0"/>
              <w:divBdr>
                <w:top w:val="none" w:sz="0" w:space="0" w:color="auto"/>
                <w:left w:val="none" w:sz="0" w:space="0" w:color="auto"/>
                <w:bottom w:val="none" w:sz="0" w:space="0" w:color="auto"/>
                <w:right w:val="none" w:sz="0" w:space="0" w:color="auto"/>
              </w:divBdr>
              <w:divsChild>
                <w:div w:id="1754669808">
                  <w:marLeft w:val="0"/>
                  <w:marRight w:val="0"/>
                  <w:marTop w:val="0"/>
                  <w:marBottom w:val="0"/>
                  <w:divBdr>
                    <w:top w:val="none" w:sz="0" w:space="0" w:color="auto"/>
                    <w:left w:val="none" w:sz="0" w:space="0" w:color="auto"/>
                    <w:bottom w:val="none" w:sz="0" w:space="0" w:color="auto"/>
                    <w:right w:val="none" w:sz="0" w:space="0" w:color="auto"/>
                  </w:divBdr>
                  <w:divsChild>
                    <w:div w:id="8620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4150">
          <w:marLeft w:val="0"/>
          <w:marRight w:val="0"/>
          <w:marTop w:val="0"/>
          <w:marBottom w:val="0"/>
          <w:divBdr>
            <w:top w:val="none" w:sz="0" w:space="0" w:color="auto"/>
            <w:left w:val="none" w:sz="0" w:space="0" w:color="auto"/>
            <w:bottom w:val="none" w:sz="0" w:space="0" w:color="auto"/>
            <w:right w:val="none" w:sz="0" w:space="0" w:color="auto"/>
          </w:divBdr>
          <w:divsChild>
            <w:div w:id="640812392">
              <w:marLeft w:val="0"/>
              <w:marRight w:val="0"/>
              <w:marTop w:val="0"/>
              <w:marBottom w:val="0"/>
              <w:divBdr>
                <w:top w:val="none" w:sz="0" w:space="0" w:color="auto"/>
                <w:left w:val="none" w:sz="0" w:space="0" w:color="auto"/>
                <w:bottom w:val="none" w:sz="0" w:space="0" w:color="auto"/>
                <w:right w:val="none" w:sz="0" w:space="0" w:color="auto"/>
              </w:divBdr>
              <w:divsChild>
                <w:div w:id="1813012644">
                  <w:marLeft w:val="0"/>
                  <w:marRight w:val="0"/>
                  <w:marTop w:val="0"/>
                  <w:marBottom w:val="0"/>
                  <w:divBdr>
                    <w:top w:val="none" w:sz="0" w:space="0" w:color="auto"/>
                    <w:left w:val="none" w:sz="0" w:space="0" w:color="auto"/>
                    <w:bottom w:val="none" w:sz="0" w:space="0" w:color="auto"/>
                    <w:right w:val="none" w:sz="0" w:space="0" w:color="auto"/>
                  </w:divBdr>
                  <w:divsChild>
                    <w:div w:id="1686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56948">
      <w:bodyDiv w:val="1"/>
      <w:marLeft w:val="0"/>
      <w:marRight w:val="0"/>
      <w:marTop w:val="0"/>
      <w:marBottom w:val="0"/>
      <w:divBdr>
        <w:top w:val="none" w:sz="0" w:space="0" w:color="auto"/>
        <w:left w:val="none" w:sz="0" w:space="0" w:color="auto"/>
        <w:bottom w:val="none" w:sz="0" w:space="0" w:color="auto"/>
        <w:right w:val="none" w:sz="0" w:space="0" w:color="auto"/>
      </w:divBdr>
    </w:div>
    <w:div w:id="328409421">
      <w:bodyDiv w:val="1"/>
      <w:marLeft w:val="0"/>
      <w:marRight w:val="0"/>
      <w:marTop w:val="0"/>
      <w:marBottom w:val="0"/>
      <w:divBdr>
        <w:top w:val="none" w:sz="0" w:space="0" w:color="auto"/>
        <w:left w:val="none" w:sz="0" w:space="0" w:color="auto"/>
        <w:bottom w:val="none" w:sz="0" w:space="0" w:color="auto"/>
        <w:right w:val="none" w:sz="0" w:space="0" w:color="auto"/>
      </w:divBdr>
    </w:div>
    <w:div w:id="503783662">
      <w:bodyDiv w:val="1"/>
      <w:marLeft w:val="0"/>
      <w:marRight w:val="0"/>
      <w:marTop w:val="0"/>
      <w:marBottom w:val="0"/>
      <w:divBdr>
        <w:top w:val="none" w:sz="0" w:space="0" w:color="auto"/>
        <w:left w:val="none" w:sz="0" w:space="0" w:color="auto"/>
        <w:bottom w:val="none" w:sz="0" w:space="0" w:color="auto"/>
        <w:right w:val="none" w:sz="0" w:space="0" w:color="auto"/>
      </w:divBdr>
    </w:div>
    <w:div w:id="521823169">
      <w:bodyDiv w:val="1"/>
      <w:marLeft w:val="0"/>
      <w:marRight w:val="0"/>
      <w:marTop w:val="0"/>
      <w:marBottom w:val="0"/>
      <w:divBdr>
        <w:top w:val="none" w:sz="0" w:space="0" w:color="auto"/>
        <w:left w:val="none" w:sz="0" w:space="0" w:color="auto"/>
        <w:bottom w:val="none" w:sz="0" w:space="0" w:color="auto"/>
        <w:right w:val="none" w:sz="0" w:space="0" w:color="auto"/>
      </w:divBdr>
    </w:div>
    <w:div w:id="550775492">
      <w:bodyDiv w:val="1"/>
      <w:marLeft w:val="0"/>
      <w:marRight w:val="0"/>
      <w:marTop w:val="0"/>
      <w:marBottom w:val="0"/>
      <w:divBdr>
        <w:top w:val="none" w:sz="0" w:space="0" w:color="auto"/>
        <w:left w:val="none" w:sz="0" w:space="0" w:color="auto"/>
        <w:bottom w:val="none" w:sz="0" w:space="0" w:color="auto"/>
        <w:right w:val="none" w:sz="0" w:space="0" w:color="auto"/>
      </w:divBdr>
    </w:div>
    <w:div w:id="575171846">
      <w:bodyDiv w:val="1"/>
      <w:marLeft w:val="0"/>
      <w:marRight w:val="0"/>
      <w:marTop w:val="0"/>
      <w:marBottom w:val="0"/>
      <w:divBdr>
        <w:top w:val="none" w:sz="0" w:space="0" w:color="auto"/>
        <w:left w:val="none" w:sz="0" w:space="0" w:color="auto"/>
        <w:bottom w:val="none" w:sz="0" w:space="0" w:color="auto"/>
        <w:right w:val="none" w:sz="0" w:space="0" w:color="auto"/>
      </w:divBdr>
    </w:div>
    <w:div w:id="585529142">
      <w:bodyDiv w:val="1"/>
      <w:marLeft w:val="0"/>
      <w:marRight w:val="0"/>
      <w:marTop w:val="0"/>
      <w:marBottom w:val="0"/>
      <w:divBdr>
        <w:top w:val="none" w:sz="0" w:space="0" w:color="auto"/>
        <w:left w:val="none" w:sz="0" w:space="0" w:color="auto"/>
        <w:bottom w:val="none" w:sz="0" w:space="0" w:color="auto"/>
        <w:right w:val="none" w:sz="0" w:space="0" w:color="auto"/>
      </w:divBdr>
    </w:div>
    <w:div w:id="750080411">
      <w:bodyDiv w:val="1"/>
      <w:marLeft w:val="0"/>
      <w:marRight w:val="0"/>
      <w:marTop w:val="0"/>
      <w:marBottom w:val="0"/>
      <w:divBdr>
        <w:top w:val="none" w:sz="0" w:space="0" w:color="auto"/>
        <w:left w:val="none" w:sz="0" w:space="0" w:color="auto"/>
        <w:bottom w:val="none" w:sz="0" w:space="0" w:color="auto"/>
        <w:right w:val="none" w:sz="0" w:space="0" w:color="auto"/>
      </w:divBdr>
    </w:div>
    <w:div w:id="782728575">
      <w:bodyDiv w:val="1"/>
      <w:marLeft w:val="0"/>
      <w:marRight w:val="0"/>
      <w:marTop w:val="0"/>
      <w:marBottom w:val="0"/>
      <w:divBdr>
        <w:top w:val="none" w:sz="0" w:space="0" w:color="auto"/>
        <w:left w:val="none" w:sz="0" w:space="0" w:color="auto"/>
        <w:bottom w:val="none" w:sz="0" w:space="0" w:color="auto"/>
        <w:right w:val="none" w:sz="0" w:space="0" w:color="auto"/>
      </w:divBdr>
    </w:div>
    <w:div w:id="853811255">
      <w:bodyDiv w:val="1"/>
      <w:marLeft w:val="0"/>
      <w:marRight w:val="0"/>
      <w:marTop w:val="0"/>
      <w:marBottom w:val="0"/>
      <w:divBdr>
        <w:top w:val="none" w:sz="0" w:space="0" w:color="auto"/>
        <w:left w:val="none" w:sz="0" w:space="0" w:color="auto"/>
        <w:bottom w:val="none" w:sz="0" w:space="0" w:color="auto"/>
        <w:right w:val="none" w:sz="0" w:space="0" w:color="auto"/>
      </w:divBdr>
    </w:div>
    <w:div w:id="930315952">
      <w:bodyDiv w:val="1"/>
      <w:marLeft w:val="0"/>
      <w:marRight w:val="0"/>
      <w:marTop w:val="0"/>
      <w:marBottom w:val="0"/>
      <w:divBdr>
        <w:top w:val="none" w:sz="0" w:space="0" w:color="auto"/>
        <w:left w:val="none" w:sz="0" w:space="0" w:color="auto"/>
        <w:bottom w:val="none" w:sz="0" w:space="0" w:color="auto"/>
        <w:right w:val="none" w:sz="0" w:space="0" w:color="auto"/>
      </w:divBdr>
    </w:div>
    <w:div w:id="1059283771">
      <w:bodyDiv w:val="1"/>
      <w:marLeft w:val="0"/>
      <w:marRight w:val="0"/>
      <w:marTop w:val="0"/>
      <w:marBottom w:val="0"/>
      <w:divBdr>
        <w:top w:val="none" w:sz="0" w:space="0" w:color="auto"/>
        <w:left w:val="none" w:sz="0" w:space="0" w:color="auto"/>
        <w:bottom w:val="none" w:sz="0" w:space="0" w:color="auto"/>
        <w:right w:val="none" w:sz="0" w:space="0" w:color="auto"/>
      </w:divBdr>
    </w:div>
    <w:div w:id="1068504103">
      <w:bodyDiv w:val="1"/>
      <w:marLeft w:val="0"/>
      <w:marRight w:val="0"/>
      <w:marTop w:val="0"/>
      <w:marBottom w:val="0"/>
      <w:divBdr>
        <w:top w:val="none" w:sz="0" w:space="0" w:color="auto"/>
        <w:left w:val="none" w:sz="0" w:space="0" w:color="auto"/>
        <w:bottom w:val="none" w:sz="0" w:space="0" w:color="auto"/>
        <w:right w:val="none" w:sz="0" w:space="0" w:color="auto"/>
      </w:divBdr>
    </w:div>
    <w:div w:id="1116144438">
      <w:bodyDiv w:val="1"/>
      <w:marLeft w:val="0"/>
      <w:marRight w:val="0"/>
      <w:marTop w:val="0"/>
      <w:marBottom w:val="0"/>
      <w:divBdr>
        <w:top w:val="none" w:sz="0" w:space="0" w:color="auto"/>
        <w:left w:val="none" w:sz="0" w:space="0" w:color="auto"/>
        <w:bottom w:val="none" w:sz="0" w:space="0" w:color="auto"/>
        <w:right w:val="none" w:sz="0" w:space="0" w:color="auto"/>
      </w:divBdr>
    </w:div>
    <w:div w:id="1162745559">
      <w:bodyDiv w:val="1"/>
      <w:marLeft w:val="0"/>
      <w:marRight w:val="0"/>
      <w:marTop w:val="0"/>
      <w:marBottom w:val="0"/>
      <w:divBdr>
        <w:top w:val="none" w:sz="0" w:space="0" w:color="auto"/>
        <w:left w:val="none" w:sz="0" w:space="0" w:color="auto"/>
        <w:bottom w:val="none" w:sz="0" w:space="0" w:color="auto"/>
        <w:right w:val="none" w:sz="0" w:space="0" w:color="auto"/>
      </w:divBdr>
    </w:div>
    <w:div w:id="1189025371">
      <w:bodyDiv w:val="1"/>
      <w:marLeft w:val="0"/>
      <w:marRight w:val="0"/>
      <w:marTop w:val="0"/>
      <w:marBottom w:val="0"/>
      <w:divBdr>
        <w:top w:val="none" w:sz="0" w:space="0" w:color="auto"/>
        <w:left w:val="none" w:sz="0" w:space="0" w:color="auto"/>
        <w:bottom w:val="none" w:sz="0" w:space="0" w:color="auto"/>
        <w:right w:val="none" w:sz="0" w:space="0" w:color="auto"/>
      </w:divBdr>
    </w:div>
    <w:div w:id="1298561871">
      <w:bodyDiv w:val="1"/>
      <w:marLeft w:val="0"/>
      <w:marRight w:val="0"/>
      <w:marTop w:val="0"/>
      <w:marBottom w:val="0"/>
      <w:divBdr>
        <w:top w:val="none" w:sz="0" w:space="0" w:color="auto"/>
        <w:left w:val="none" w:sz="0" w:space="0" w:color="auto"/>
        <w:bottom w:val="none" w:sz="0" w:space="0" w:color="auto"/>
        <w:right w:val="none" w:sz="0" w:space="0" w:color="auto"/>
      </w:divBdr>
    </w:div>
    <w:div w:id="1312445799">
      <w:bodyDiv w:val="1"/>
      <w:marLeft w:val="0"/>
      <w:marRight w:val="0"/>
      <w:marTop w:val="0"/>
      <w:marBottom w:val="0"/>
      <w:divBdr>
        <w:top w:val="none" w:sz="0" w:space="0" w:color="auto"/>
        <w:left w:val="none" w:sz="0" w:space="0" w:color="auto"/>
        <w:bottom w:val="none" w:sz="0" w:space="0" w:color="auto"/>
        <w:right w:val="none" w:sz="0" w:space="0" w:color="auto"/>
      </w:divBdr>
    </w:div>
    <w:div w:id="1417946320">
      <w:bodyDiv w:val="1"/>
      <w:marLeft w:val="0"/>
      <w:marRight w:val="0"/>
      <w:marTop w:val="0"/>
      <w:marBottom w:val="0"/>
      <w:divBdr>
        <w:top w:val="none" w:sz="0" w:space="0" w:color="auto"/>
        <w:left w:val="none" w:sz="0" w:space="0" w:color="auto"/>
        <w:bottom w:val="none" w:sz="0" w:space="0" w:color="auto"/>
        <w:right w:val="none" w:sz="0" w:space="0" w:color="auto"/>
      </w:divBdr>
    </w:div>
    <w:div w:id="1481539130">
      <w:bodyDiv w:val="1"/>
      <w:marLeft w:val="0"/>
      <w:marRight w:val="0"/>
      <w:marTop w:val="0"/>
      <w:marBottom w:val="0"/>
      <w:divBdr>
        <w:top w:val="none" w:sz="0" w:space="0" w:color="auto"/>
        <w:left w:val="none" w:sz="0" w:space="0" w:color="auto"/>
        <w:bottom w:val="none" w:sz="0" w:space="0" w:color="auto"/>
        <w:right w:val="none" w:sz="0" w:space="0" w:color="auto"/>
      </w:divBdr>
    </w:div>
    <w:div w:id="1484540927">
      <w:bodyDiv w:val="1"/>
      <w:marLeft w:val="0"/>
      <w:marRight w:val="0"/>
      <w:marTop w:val="0"/>
      <w:marBottom w:val="0"/>
      <w:divBdr>
        <w:top w:val="none" w:sz="0" w:space="0" w:color="auto"/>
        <w:left w:val="none" w:sz="0" w:space="0" w:color="auto"/>
        <w:bottom w:val="none" w:sz="0" w:space="0" w:color="auto"/>
        <w:right w:val="none" w:sz="0" w:space="0" w:color="auto"/>
      </w:divBdr>
    </w:div>
    <w:div w:id="1525749268">
      <w:bodyDiv w:val="1"/>
      <w:marLeft w:val="0"/>
      <w:marRight w:val="0"/>
      <w:marTop w:val="0"/>
      <w:marBottom w:val="0"/>
      <w:divBdr>
        <w:top w:val="none" w:sz="0" w:space="0" w:color="auto"/>
        <w:left w:val="none" w:sz="0" w:space="0" w:color="auto"/>
        <w:bottom w:val="none" w:sz="0" w:space="0" w:color="auto"/>
        <w:right w:val="none" w:sz="0" w:space="0" w:color="auto"/>
      </w:divBdr>
    </w:div>
    <w:div w:id="1600718286">
      <w:bodyDiv w:val="1"/>
      <w:marLeft w:val="0"/>
      <w:marRight w:val="0"/>
      <w:marTop w:val="0"/>
      <w:marBottom w:val="0"/>
      <w:divBdr>
        <w:top w:val="none" w:sz="0" w:space="0" w:color="auto"/>
        <w:left w:val="none" w:sz="0" w:space="0" w:color="auto"/>
        <w:bottom w:val="none" w:sz="0" w:space="0" w:color="auto"/>
        <w:right w:val="none" w:sz="0" w:space="0" w:color="auto"/>
      </w:divBdr>
    </w:div>
    <w:div w:id="1663654870">
      <w:bodyDiv w:val="1"/>
      <w:marLeft w:val="0"/>
      <w:marRight w:val="0"/>
      <w:marTop w:val="0"/>
      <w:marBottom w:val="0"/>
      <w:divBdr>
        <w:top w:val="none" w:sz="0" w:space="0" w:color="auto"/>
        <w:left w:val="none" w:sz="0" w:space="0" w:color="auto"/>
        <w:bottom w:val="none" w:sz="0" w:space="0" w:color="auto"/>
        <w:right w:val="none" w:sz="0" w:space="0" w:color="auto"/>
      </w:divBdr>
    </w:div>
    <w:div w:id="1678074280">
      <w:bodyDiv w:val="1"/>
      <w:marLeft w:val="0"/>
      <w:marRight w:val="0"/>
      <w:marTop w:val="0"/>
      <w:marBottom w:val="0"/>
      <w:divBdr>
        <w:top w:val="none" w:sz="0" w:space="0" w:color="auto"/>
        <w:left w:val="none" w:sz="0" w:space="0" w:color="auto"/>
        <w:bottom w:val="none" w:sz="0" w:space="0" w:color="auto"/>
        <w:right w:val="none" w:sz="0" w:space="0" w:color="auto"/>
      </w:divBdr>
    </w:div>
    <w:div w:id="1759518079">
      <w:bodyDiv w:val="1"/>
      <w:marLeft w:val="0"/>
      <w:marRight w:val="0"/>
      <w:marTop w:val="0"/>
      <w:marBottom w:val="0"/>
      <w:divBdr>
        <w:top w:val="none" w:sz="0" w:space="0" w:color="auto"/>
        <w:left w:val="none" w:sz="0" w:space="0" w:color="auto"/>
        <w:bottom w:val="none" w:sz="0" w:space="0" w:color="auto"/>
        <w:right w:val="none" w:sz="0" w:space="0" w:color="auto"/>
      </w:divBdr>
    </w:div>
    <w:div w:id="2031107423">
      <w:bodyDiv w:val="1"/>
      <w:marLeft w:val="0"/>
      <w:marRight w:val="0"/>
      <w:marTop w:val="0"/>
      <w:marBottom w:val="0"/>
      <w:divBdr>
        <w:top w:val="none" w:sz="0" w:space="0" w:color="auto"/>
        <w:left w:val="none" w:sz="0" w:space="0" w:color="auto"/>
        <w:bottom w:val="none" w:sz="0" w:space="0" w:color="auto"/>
        <w:right w:val="none" w:sz="0" w:space="0" w:color="auto"/>
      </w:divBdr>
    </w:div>
    <w:div w:id="2092775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154FF-9D6D-4E8E-B7A9-FBECA22F4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10</Pages>
  <Words>3017</Words>
  <Characters>16297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sembongi</dc:creator>
  <cp:lastModifiedBy>Carlos Nery</cp:lastModifiedBy>
  <cp:revision>6</cp:revision>
  <dcterms:created xsi:type="dcterms:W3CDTF">2022-06-23T03:55:00Z</dcterms:created>
  <dcterms:modified xsi:type="dcterms:W3CDTF">2022-06-24T12:07:00Z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2020-06-26T00:00:00Z</vt:filetime>
  </property>
  <property fmtid="{D5CDD505-2E9C-101B-9397-08002B2CF9AE}" pid="3" name="LastSaved">
    <vt:filetime>2022-06-10T00:00:00Z</vt:filetime>
  </property>
</Properties>
</file>