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aps/>
          <w:color w:val="7F7F7F"/>
          <w:spacing w:val="20"/>
          <w:sz w:val="17"/>
          <w:szCs w:val="17"/>
        </w:rPr>
        <w:t xml:space="preserve">Handreichung · Lehrkraft · C. Blumenhagen</w:t>
      </w:r>
    </w:p>
    <w:p>
      <w:pPr>
        <w:pBdr>
          <w:bottom w:val="single" w:color="1F3864" w:sz="8" w:space="8"/>
        </w:pBdr>
        <w:spacing w:after="160"/>
      </w:pPr>
      <w:r>
        <w:rPr>
          <w:b/>
          <w:bCs/>
          <w:color w:val="1F3864"/>
          <w:sz w:val="30"/>
          <w:szCs w:val="30"/>
        </w:rPr>
        <w:t xml:space="preserve">Selbstlernphase GK Bio 11 · 16.09. bis 07.10.2026</w:t>
      </w:r>
    </w:p>
    <w:p>
      <w:pPr>
        <w:spacing w:after="110" w:before="0"/>
        <w:jc w:val="both"/>
      </w:pPr>
      <w:r>
        <w:rPr>
          <w:b/>
          <w:bCs/>
        </w:rPr>
        <w:t xml:space="preserve">Anlass:</w:t>
      </w:r>
      <w:r>
        <w:t xml:space="preserve"> Abwesenheit ab 16.09.2026. Die Blöcke 5 bis 8 (16.09., 23.09., 30.09., 07.10.) finden als freie Selbstlernzeit ohne Aufsicht statt; danach liegen die Herbstferien. </w:t>
      </w:r>
      <w:r>
        <w:rPr>
          <w:b/>
          <w:bCs/>
        </w:rPr>
        <w:t xml:space="preserve">Erster eigener Block ist der 28.10.</w:t>
      </w:r>
      <w:r>
        <w:t xml:space="preserve"> – zwischen Block 4 und der Rückkehr liegen damit sieben Wochen. Der Stoffverteilungsplan liegt in Fassung 4 vor; diese Handreichung enthält nur das Operative.</w:t>
      </w:r>
    </w:p>
    <w:p>
      <w:pPr>
        <w:pBdr>
          <w:left w:val="single" w:color="BFBFBF" w:sz="12" w:space="10"/>
        </w:pBdr>
        <w:spacing w:after="130" w:before="130"/>
        <w:ind w:left="160"/>
      </w:pPr>
      <w:r>
        <w:rPr>
          <w:b/>
          <w:bCs/>
          <w:color w:val="404040"/>
          <w:sz w:val="19"/>
          <w:szCs w:val="19"/>
        </w:rPr>
        <w:t xml:space="preserve">Zuerst und ohne Ausnahme: die Seite freigeben.</w:t>
      </w:r>
      <w:r>
        <w:rPr>
          <w:color w:val="404040"/>
          <w:sz w:val="19"/>
          <w:szCs w:val="19"/>
        </w:rPr>
        <w:t xml:space="preserve"> Das Artefakt ist standardmäßig privat – nur Sie können es öffnen. Wenn Sie es nicht über das Teilen-Menü auf der Seite freigeben, landen 18 Schüler*innen am 16.09. auf einer Fehlermeldung und die ganze Phase fällt aus. Bitte am 09.09. freigeben, den QR-Code auf einem zweiten Gerät testen und erst dann die Laufzettel ausgeben.</w:t>
      </w:r>
    </w:p>
    <w:p>
      <w:pPr>
        <w:spacing w:after="90" w:before="260"/>
      </w:pPr>
      <w:r>
        <w:rPr>
          <w:b/>
          <w:bCs/>
          <w:color w:val="1F3864"/>
          <w:sz w:val="24"/>
          <w:szCs w:val="24"/>
        </w:rPr>
        <w:t xml:space="preserve">1 · Was am 09.09. zu tun ist</w:t>
      </w:r>
    </w:p>
    <w:p>
      <w:pPr>
        <w:pStyle w:val="ListParagraph"/>
        <w:numPr>
          <w:ilvl w:val="0"/>
          <w:numId w:val="2"/>
        </w:numPr>
        <w:spacing w:after="60"/>
      </w:pPr>
      <w:r>
        <w:t xml:space="preserve">Seite freigeben und QR-Code auf einem fremden Gerät testen (siehe oben).</w:t>
      </w:r>
    </w:p>
    <w:p>
      <w:pPr>
        <w:pStyle w:val="ListParagraph"/>
        <w:numPr>
          <w:ilvl w:val="0"/>
          <w:numId w:val="2"/>
        </w:numPr>
        <w:spacing w:after="60"/>
      </w:pPr>
      <w:r>
        <w:t xml:space="preserve">Laufzettel ausgeben, 20 ×, ein Blatt im Duplexdruck. Er deckt alle vier Einheiten ab.</w:t>
      </w:r>
    </w:p>
    <w:p>
      <w:pPr>
        <w:pStyle w:val="ListParagraph"/>
        <w:numPr>
          <w:ilvl w:val="0"/>
          <w:numId w:val="2"/>
        </w:numPr>
        <w:spacing w:after="60"/>
      </w:pPr>
      <w:r>
        <w:rPr>
          <w:b/>
          <w:bCs/>
        </w:rPr>
        <w:t xml:space="preserve">Dreiergruppen festlegen und aufschreiben.</w:t>
      </w:r>
      <w:r>
        <w:t xml:space="preserve"> Ohne Aufsicht ist die Gruppe die einzige Verbindlichkeit. Nicht die SuS wählen lassen – sonst bleiben die übrig, die am meisten Struktur brauchen.</w:t>
      </w:r>
    </w:p>
    <w:p>
      <w:pPr>
        <w:pStyle w:val="ListParagraph"/>
        <w:numPr>
          <w:ilvl w:val="0"/>
          <w:numId w:val="2"/>
        </w:numPr>
        <w:spacing w:after="60"/>
      </w:pPr>
      <w:r>
        <w:t xml:space="preserve">Die sechs Regeln vom Laufzettel einmal vorlesen und </w:t>
      </w:r>
      <w:r>
        <w:rPr>
          <w:b/>
          <w:bCs/>
        </w:rPr>
        <w:t xml:space="preserve">die Sache mit der Selbstkontrolle betonen</w:t>
      </w:r>
      <w:r>
        <w:t xml:space="preserve">: erst rechnen, dann aufklappen. Das ist der Punkt, an dem die Phase kippt oder trägt.</w:t>
      </w:r>
    </w:p>
    <w:p>
      <w:pPr>
        <w:pStyle w:val="ListParagraph"/>
        <w:numPr>
          <w:ilvl w:val="0"/>
          <w:numId w:val="2"/>
        </w:numPr>
        <w:spacing w:after="60"/>
      </w:pPr>
      <w:r>
        <w:rPr>
          <w:b/>
          <w:bCs/>
        </w:rPr>
        <w:t xml:space="preserve">Den 28.10. ankündigen</w:t>
      </w:r>
      <w:r>
        <w:t xml:space="preserve"> – nicht den 07.10.: Laufzettel und Hefter werden durchgesehen, es gibt einen Lernstandscheck. Keine Note, aber sichtbar. Und ausdrücklich sagen, dass Sie am 07.10. noch nicht da sind, damit niemand darauf wartet.</w:t>
      </w:r>
    </w:p>
    <w:p>
      <w:pPr>
        <w:pStyle w:val="ListParagraph"/>
        <w:numPr>
          <w:ilvl w:val="0"/>
          <w:numId w:val="2"/>
        </w:numPr>
        <w:spacing w:after="60"/>
      </w:pPr>
      <w:r>
        <w:t xml:space="preserve">Sagen, dass die Einheiten 1 bis 3 am selben DNA-Abschnitt arbeiten und Einheit 4 mit einer Selbstdiagnose beginnt. Das ist der Grund, die Notizen zu behalten.</w:t>
      </w:r>
    </w:p>
    <w:p>
      <w:pPr>
        <w:spacing w:after="90" w:before="260"/>
      </w:pPr>
      <w:r>
        <w:rPr>
          <w:b/>
          <w:bCs/>
          <w:color w:val="1F3864"/>
          <w:sz w:val="24"/>
          <w:szCs w:val="24"/>
        </w:rPr>
        <w:t xml:space="preserve">2 · Text für den Vertretungsplan</w:t>
      </w:r>
    </w:p>
    <w:p>
      <w:pPr>
        <w:spacing w:after="110" w:before="0"/>
        <w:jc w:val="both"/>
      </w:pPr>
      <w:r>
        <w:t xml:space="preserve">Zum Kopieren. Bewusst ohne Fachinhalt – die Aufsicht braucht keine Biologie, nur den Ablauf:</w:t>
      </w:r>
    </w:p>
    <w:p>
      <w:pPr>
        <w:pBdr>
          <w:left w:val="single" w:color="BFBFBF" w:sz="12" w:space="10"/>
        </w:pBdr>
        <w:spacing w:after="130" w:before="130"/>
        <w:ind w:left="160"/>
      </w:pPr>
      <w:r>
        <w:rPr>
          <w:b/>
          <w:bCs/>
          <w:color w:val="404040"/>
          <w:sz w:val="19"/>
          <w:szCs w:val="19"/>
        </w:rPr>
        <w:t xml:space="preserve">GK Bio 11, 1. Block (Mi 16.09. / 23.09. / 30.09. / 07.10.): Selbstlernzeit.</w:t>
      </w:r>
      <w:r>
        <w:rPr>
          <w:color w:val="404040"/>
          <w:sz w:val="19"/>
          <w:szCs w:val="19"/>
        </w:rPr>
        <w:t xml:space="preserve"> Die Schüler*innen arbeiten in festen Dreiergruppen an einer Selbstlernseite; Aufgaben, Lösungen und Zeitvorgaben stehen dort. Material liegt vor, es ist nichts vorzubereiten. Hilfreich ist nur: darauf achten, dass in Gruppen und nicht einzeln gearbeitet wird, und dass die Zeitangaben auf dem Laufzettel eingehalten werden. Fachfragen werden am 28.10. geklärt und auf dem Laufzettel notiert. Kontakt: C. Blumenhagen (in Abwesenheit über das Sekretariat).</w:t>
      </w:r>
    </w:p>
    <w:p>
      <w:pPr>
        <w:spacing w:after="90" w:before="260"/>
      </w:pPr>
      <w:r>
        <w:rPr>
          <w:b/>
          <w:bCs/>
          <w:color w:val="1F3864"/>
          <w:sz w:val="24"/>
          <w:szCs w:val="24"/>
        </w:rPr>
        <w:t xml:space="preserve">3 · Was die Seite leistet – und was nicht</w:t>
      </w:r>
    </w:p>
    <w:tbl>
      <w:tblPr>
        <w:tblW w:type="dxa" w:w="9600"/>
        <w:tblBorders>
          <w:top w:val="single" w:color="A6A6A6" w:sz="4"/>
          <w:left w:val="single" w:color="A6A6A6" w:sz="4"/>
          <w:bottom w:val="single" w:color="A6A6A6" w:sz="4"/>
          <w:right w:val="single" w:color="A6A6A6" w:sz="4"/>
          <w:insideH w:val="single" w:color="D0D0D0" w:sz="4"/>
          <w:insideV w:val="single" w:color="D0D0D0" w:sz="4"/>
        </w:tblBorders>
        <w:tblLayout w:type="fixed"/>
      </w:tblPr>
      <w:tblGrid>
        <w:gridCol w:w="2900"/>
        <w:gridCol w:w="6700"/>
      </w:tblGrid>
      <w:tr>
        <w:trPr>
          <w:tblHeader/>
        </w:trPr>
        <w:tc>
          <w:tcPr>
            <w:tcW w:type="dxa" w:w="2900"/>
            <w:shd w:fill="DCE3F0" w:val="clear"/>
            <w:tcMar>
              <w:top w:type="dxa" w:w="70"/>
              <w:left w:type="dxa" w:w="110"/>
              <w:bottom w:type="dxa" w:w="70"/>
              <w:right w:type="dxa" w:w="110"/>
            </w:tcMar>
          </w:tcPr>
          <w:p>
            <w:pPr>
              <w:spacing w:after="0"/>
            </w:pPr>
            <w:r>
              <w:rPr>
                <w:b/>
                <w:bCs/>
                <w:sz w:val="19"/>
                <w:szCs w:val="19"/>
              </w:rPr>
              <w:t xml:space="preserve">Sonst die Lehrkraft</w:t>
            </w:r>
          </w:p>
        </w:tc>
        <w:tc>
          <w:tcPr>
            <w:tcW w:type="dxa" w:w="6700"/>
            <w:shd w:fill="DCE3F0" w:val="clear"/>
            <w:tcMar>
              <w:top w:type="dxa" w:w="70"/>
              <w:left w:type="dxa" w:w="110"/>
              <w:bottom w:type="dxa" w:w="70"/>
              <w:right w:type="dxa" w:w="110"/>
            </w:tcMar>
          </w:tcPr>
          <w:p>
            <w:pPr>
              <w:spacing w:after="0"/>
            </w:pPr>
            <w:r>
              <w:rPr>
                <w:b/>
                <w:bCs/>
                <w:sz w:val="19"/>
                <w:szCs w:val="19"/>
              </w:rPr>
              <w:t xml:space="preserve">Jetzt im Material</w:t>
            </w:r>
          </w:p>
        </w:tc>
      </w:tr>
      <w:tr>
        <w:trPr>
          <w:tblHeader w:val="false"/>
        </w:trPr>
        <w:tc>
          <w:tcPr>
            <w:tcW w:type="dxa" w:w="2900"/>
            <w:tcMar>
              <w:top w:type="dxa" w:w="70"/>
              <w:left w:type="dxa" w:w="110"/>
              <w:bottom w:type="dxa" w:w="70"/>
              <w:right w:type="dxa" w:w="110"/>
            </w:tcMar>
          </w:tcPr>
          <w:p>
            <w:pPr>
              <w:spacing w:after="0"/>
            </w:pPr>
            <w:r>
              <w:rPr>
                <w:sz w:val="19"/>
                <w:szCs w:val="19"/>
              </w:rPr>
              <w:t xml:space="preserve">Takt und Tempo</w:t>
            </w:r>
          </w:p>
        </w:tc>
        <w:tc>
          <w:tcPr>
            <w:tcW w:type="dxa" w:w="6700"/>
            <w:tcMar>
              <w:top w:type="dxa" w:w="70"/>
              <w:left w:type="dxa" w:w="110"/>
              <w:bottom w:type="dxa" w:w="70"/>
              <w:right w:type="dxa" w:w="110"/>
            </w:tcMar>
          </w:tcPr>
          <w:p>
            <w:pPr>
              <w:spacing w:after="0"/>
            </w:pPr>
            <w:r>
              <w:rPr>
                <w:sz w:val="19"/>
                <w:szCs w:val="19"/>
              </w:rPr>
              <w:t xml:space="preserve">Minutenbudget je Aufgabe, gedruckt und auf der Seite; Zeitplanstreifen mit Marken bei 30 und 60 min</w:t>
            </w:r>
          </w:p>
        </w:tc>
      </w:tr>
      <w:tr>
        <w:trPr>
          <w:tblHeader w:val="false"/>
        </w:trPr>
        <w:tc>
          <w:tcPr>
            <w:tcW w:type="dxa" w:w="2900"/>
            <w:tcMar>
              <w:top w:type="dxa" w:w="70"/>
              <w:left w:type="dxa" w:w="110"/>
              <w:bottom w:type="dxa" w:w="70"/>
              <w:right w:type="dxa" w:w="110"/>
            </w:tcMar>
          </w:tcPr>
          <w:p>
            <w:pPr>
              <w:spacing w:after="0"/>
            </w:pPr>
            <w:r>
              <w:rPr>
                <w:sz w:val="19"/>
                <w:szCs w:val="19"/>
              </w:rPr>
              <w:t xml:space="preserve">Zwischensicherung</w:t>
            </w:r>
          </w:p>
        </w:tc>
        <w:tc>
          <w:tcPr>
            <w:tcW w:type="dxa" w:w="6700"/>
            <w:tcMar>
              <w:top w:type="dxa" w:w="70"/>
              <w:left w:type="dxa" w:w="110"/>
              <w:bottom w:type="dxa" w:w="70"/>
              <w:right w:type="dxa" w:w="110"/>
            </w:tcMar>
          </w:tcPr>
          <w:p>
            <w:pPr>
              <w:spacing w:after="0"/>
            </w:pPr>
            <w:r>
              <w:rPr>
                <w:sz w:val="19"/>
                <w:szCs w:val="19"/>
              </w:rPr>
              <w:t xml:space="preserve">Aufklappbare Selbstkontrolle unter jeder Aufgabe – mit Begründung, nicht nur Ergebnis</w:t>
            </w:r>
          </w:p>
        </w:tc>
      </w:tr>
      <w:tr>
        <w:trPr>
          <w:tblHeader w:val="false"/>
        </w:trPr>
        <w:tc>
          <w:tcPr>
            <w:tcW w:type="dxa" w:w="2900"/>
            <w:tcMar>
              <w:top w:type="dxa" w:w="70"/>
              <w:left w:type="dxa" w:w="110"/>
              <w:bottom w:type="dxa" w:w="70"/>
              <w:right w:type="dxa" w:w="110"/>
            </w:tcMar>
          </w:tcPr>
          <w:p>
            <w:pPr>
              <w:spacing w:after="0"/>
            </w:pPr>
            <w:r>
              <w:rPr>
                <w:sz w:val="19"/>
                <w:szCs w:val="19"/>
              </w:rPr>
              <w:t xml:space="preserve">Rückmeldung bei Fehlern</w:t>
            </w:r>
          </w:p>
        </w:tc>
        <w:tc>
          <w:tcPr>
            <w:tcW w:type="dxa" w:w="6700"/>
            <w:tcMar>
              <w:top w:type="dxa" w:w="70"/>
              <w:left w:type="dxa" w:w="110"/>
              <w:bottom w:type="dxa" w:w="70"/>
              <w:right w:type="dxa" w:w="110"/>
            </w:tcMar>
          </w:tcPr>
          <w:p>
            <w:pPr>
              <w:spacing w:after="0"/>
            </w:pPr>
            <w:r>
              <w:rPr>
                <w:sz w:val="19"/>
                <w:szCs w:val="19"/>
              </w:rPr>
              <w:t xml:space="preserve">Quiz je Einheit: erklärt auch, </w:t>
            </w:r>
            <w:r>
              <w:rPr>
                <w:b/>
                <w:bCs/>
                <w:sz w:val="19"/>
                <w:szCs w:val="19"/>
              </w:rPr>
              <w:t xml:space="preserve">warum</w:t>
            </w:r>
            <w:r>
              <w:rPr>
                <w:sz w:val="19"/>
                <w:szCs w:val="19"/>
              </w:rPr>
              <w:t xml:space="preserve"> eine falsche Antwort falsch ist, und benennt die häufigste Falle</w:t>
            </w:r>
          </w:p>
        </w:tc>
      </w:tr>
      <w:tr>
        <w:trPr>
          <w:tblHeader w:val="false"/>
        </w:trPr>
        <w:tc>
          <w:tcPr>
            <w:tcW w:type="dxa" w:w="2900"/>
            <w:tcMar>
              <w:top w:type="dxa" w:w="70"/>
              <w:left w:type="dxa" w:w="110"/>
              <w:bottom w:type="dxa" w:w="70"/>
              <w:right w:type="dxa" w:w="110"/>
            </w:tcMar>
          </w:tcPr>
          <w:p>
            <w:pPr>
              <w:spacing w:after="0"/>
            </w:pPr>
            <w:r>
              <w:rPr>
                <w:sz w:val="19"/>
                <w:szCs w:val="19"/>
              </w:rPr>
              <w:t xml:space="preserve">Verbindlichkeit</w:t>
            </w:r>
          </w:p>
        </w:tc>
        <w:tc>
          <w:tcPr>
            <w:tcW w:type="dxa" w:w="6700"/>
            <w:tcMar>
              <w:top w:type="dxa" w:w="70"/>
              <w:left w:type="dxa" w:w="110"/>
              <w:bottom w:type="dxa" w:w="70"/>
              <w:right w:type="dxa" w:w="110"/>
            </w:tcMar>
          </w:tcPr>
          <w:p>
            <w:pPr>
              <w:spacing w:after="0"/>
            </w:pPr>
            <w:r>
              <w:rPr>
                <w:sz w:val="19"/>
                <w:szCs w:val="19"/>
              </w:rPr>
              <w:t xml:space="preserve">Laufzettel plus feste Dreiergruppen. Beides schwächer als Ihre Anwesenheit – das ist die Lücke</w:t>
            </w:r>
          </w:p>
        </w:tc>
      </w:tr>
      <w:tr>
        <w:trPr>
          <w:tblHeader w:val="false"/>
        </w:trPr>
        <w:tc>
          <w:tcPr>
            <w:tcW w:type="dxa" w:w="2900"/>
            <w:tcMar>
              <w:top w:type="dxa" w:w="70"/>
              <w:left w:type="dxa" w:w="110"/>
              <w:bottom w:type="dxa" w:w="70"/>
              <w:right w:type="dxa" w:w="110"/>
            </w:tcMar>
          </w:tcPr>
          <w:p>
            <w:pPr>
              <w:spacing w:after="0"/>
            </w:pPr>
            <w:r>
              <w:rPr>
                <w:sz w:val="19"/>
                <w:szCs w:val="19"/>
              </w:rPr>
              <w:t xml:space="preserve">Diagnose</w:t>
            </w:r>
          </w:p>
        </w:tc>
        <w:tc>
          <w:tcPr>
            <w:tcW w:type="dxa" w:w="6700"/>
            <w:tcMar>
              <w:top w:type="dxa" w:w="70"/>
              <w:left w:type="dxa" w:w="110"/>
              <w:bottom w:type="dxa" w:w="70"/>
              <w:right w:type="dxa" w:w="110"/>
            </w:tcMar>
          </w:tcPr>
          <w:p>
            <w:pPr>
              <w:spacing w:after="0"/>
            </w:pPr>
            <w:r>
              <w:rPr>
                <w:sz w:val="19"/>
                <w:szCs w:val="19"/>
              </w:rPr>
              <w:t xml:space="preserve">Teilweise: Einheit 4 beginnt mit einer Selbstdiagnose über die Einheiten 1–3, samt Auswertungsregel. Die echte Diagnose bleibt der 28.10.</w:t>
            </w:r>
          </w:p>
        </w:tc>
      </w:tr>
    </w:tbl>
    <w:p>
      <w:pPr>
        <w:spacing w:after="70" w:before="190"/>
      </w:pPr>
      <w:r>
        <w:rPr>
          <w:b/>
          <w:bCs/>
          <w:color w:val="2E5395"/>
          <w:sz w:val="21"/>
          <w:szCs w:val="21"/>
        </w:rPr>
        <w:t xml:space="preserve">Die Lücke, die bleibt</w:t>
      </w:r>
    </w:p>
    <w:p>
      <w:pPr>
        <w:spacing w:after="110" w:before="0"/>
        <w:jc w:val="both"/>
      </w:pPr>
      <w:r>
        <w:t xml:space="preserve">Vier Blöcke unbeaufsichtigte Selbstlernzeit liefern nicht den Ertrag von vier Präsenzblöcken. Ein Teil der Klasse wird wenig tun, und die Klasse ist im eigenständigen Arbeiten aus Block 3 heraus ohnehin langsam. Verschärfend: Zwischen Block 4 und dem 28.10. liegen </w:t>
      </w:r>
      <w:r>
        <w:rPr>
          <w:b/>
          <w:bCs/>
        </w:rPr>
        <w:t xml:space="preserve">sieben Wochen ohne jede Rückmeldung von außen</w:t>
      </w:r>
      <w:r>
        <w:t xml:space="preserve"> – die längste Strecke des Schuljahres. Deshalb steht die Selbstdiagnose in Einheit 4 und deshalb ist der 28.10. vollständig für Lernstandscheck und Lückenschluss reserviert, nicht für neuen Inhalt.</w:t>
      </w:r>
    </w:p>
    <w:p>
      <w:pPr>
        <w:spacing w:after="110" w:before="0"/>
        <w:jc w:val="both"/>
      </w:pPr>
      <w:r>
        <w:rPr>
          <w:b/>
          <w:bCs/>
        </w:rPr>
        <w:t xml:space="preserve">Die härteste Folge betrifft die Klausur.</w:t>
      </w:r>
      <w:r>
        <w:t xml:space="preserve"> Sie liegt in der Woche 04.–08.01. und wird die Erbinformation abfragen – einen Stoff, den die Klasse vollständig unbeaufsichtigt erarbeitet hat. Empfehlung: die Erbinformation in der Klausur auf Reproduktions- und einfaches Anwendungsniveau begrenzen und die Genregulation ganz herauslassen. Transferaufgaben gehören auf den Stoff, den Sie selbst unterrichtet haben.</w:t>
      </w:r>
    </w:p>
    <w:p>
      <w:pPr>
        <w:spacing w:after="90" w:before="260"/>
      </w:pPr>
      <w:r>
        <w:rPr>
          <w:b/>
          <w:bCs/>
          <w:color w:val="1F3864"/>
          <w:sz w:val="24"/>
          <w:szCs w:val="24"/>
        </w:rPr>
        <w:t xml:space="preserve">4 · Der Lernstandscheck am 28.10.</w:t>
      </w:r>
    </w:p>
    <w:p>
      <w:pPr>
        <w:spacing w:after="110" w:before="0"/>
        <w:jc w:val="both"/>
      </w:pPr>
      <w:r>
        <w:t xml:space="preserve">Vorschlag für die 90 Minuten. Kein neuer Inhalt.</w:t>
      </w:r>
    </w:p>
    <w:tbl>
      <w:tblPr>
        <w:tblW w:type="dxa" w:w="9600"/>
        <w:tblBorders>
          <w:top w:val="single" w:color="A6A6A6" w:sz="4"/>
          <w:left w:val="single" w:color="A6A6A6" w:sz="4"/>
          <w:bottom w:val="single" w:color="A6A6A6" w:sz="4"/>
          <w:right w:val="single" w:color="A6A6A6" w:sz="4"/>
          <w:insideH w:val="single" w:color="D0D0D0" w:sz="4"/>
          <w:insideV w:val="single" w:color="D0D0D0" w:sz="4"/>
        </w:tblBorders>
        <w:tblLayout w:type="fixed"/>
      </w:tblPr>
      <w:tblGrid>
        <w:gridCol w:w="820"/>
        <w:gridCol w:w="1560"/>
        <w:gridCol w:w="7220"/>
      </w:tblGrid>
      <w:tr>
        <w:trPr>
          <w:tblHeader/>
        </w:trPr>
        <w:tc>
          <w:tcPr>
            <w:tcW w:type="dxa" w:w="820"/>
            <w:shd w:fill="DCE3F0" w:val="clear"/>
            <w:tcMar>
              <w:top w:type="dxa" w:w="70"/>
              <w:left w:type="dxa" w:w="110"/>
              <w:bottom w:type="dxa" w:w="70"/>
              <w:right w:type="dxa" w:w="110"/>
            </w:tcMar>
          </w:tcPr>
          <w:p>
            <w:pPr>
              <w:spacing w:after="0"/>
            </w:pPr>
            <w:r>
              <w:rPr>
                <w:b/>
                <w:bCs/>
                <w:sz w:val="19"/>
                <w:szCs w:val="19"/>
              </w:rPr>
              <w:t xml:space="preserve">min</w:t>
            </w:r>
          </w:p>
        </w:tc>
        <w:tc>
          <w:tcPr>
            <w:tcW w:type="dxa" w:w="1560"/>
            <w:shd w:fill="DCE3F0" w:val="clear"/>
            <w:tcMar>
              <w:top w:type="dxa" w:w="70"/>
              <w:left w:type="dxa" w:w="110"/>
              <w:bottom w:type="dxa" w:w="70"/>
              <w:right w:type="dxa" w:w="110"/>
            </w:tcMar>
          </w:tcPr>
          <w:p>
            <w:pPr>
              <w:spacing w:after="0"/>
            </w:pPr>
            <w:r>
              <w:rPr>
                <w:b/>
                <w:bCs/>
                <w:sz w:val="19"/>
                <w:szCs w:val="19"/>
              </w:rPr>
              <w:t xml:space="preserve">Phase</w:t>
            </w:r>
          </w:p>
        </w:tc>
        <w:tc>
          <w:tcPr>
            <w:tcW w:type="dxa" w:w="7220"/>
            <w:shd w:fill="DCE3F0" w:val="clear"/>
            <w:tcMar>
              <w:top w:type="dxa" w:w="70"/>
              <w:left w:type="dxa" w:w="110"/>
              <w:bottom w:type="dxa" w:w="70"/>
              <w:right w:type="dxa" w:w="110"/>
            </w:tcMar>
          </w:tcPr>
          <w:p>
            <w:pPr>
              <w:spacing w:after="0"/>
            </w:pPr>
            <w:r>
              <w:rPr>
                <w:b/>
                <w:bCs/>
                <w:sz w:val="19"/>
                <w:szCs w:val="19"/>
              </w:rPr>
              <w:t xml:space="preserve">Inhalt</w:t>
            </w:r>
          </w:p>
        </w:tc>
      </w:tr>
      <w:tr>
        <w:trPr>
          <w:tblHeader w:val="false"/>
        </w:trPr>
        <w:tc>
          <w:tcPr>
            <w:tcW w:type="dxa" w:w="820"/>
            <w:tcMar>
              <w:top w:type="dxa" w:w="70"/>
              <w:left w:type="dxa" w:w="110"/>
              <w:bottom w:type="dxa" w:w="70"/>
              <w:right w:type="dxa" w:w="110"/>
            </w:tcMar>
          </w:tcPr>
          <w:p>
            <w:pPr>
              <w:spacing w:after="0"/>
            </w:pPr>
            <w:r>
              <w:rPr>
                <w:sz w:val="19"/>
                <w:szCs w:val="19"/>
              </w:rPr>
              <w:t xml:space="preserve">0–10</w:t>
            </w:r>
          </w:p>
        </w:tc>
        <w:tc>
          <w:tcPr>
            <w:tcW w:type="dxa" w:w="1560"/>
            <w:tcMar>
              <w:top w:type="dxa" w:w="70"/>
              <w:left w:type="dxa" w:w="110"/>
              <w:bottom w:type="dxa" w:w="70"/>
              <w:right w:type="dxa" w:w="110"/>
            </w:tcMar>
          </w:tcPr>
          <w:p>
            <w:pPr>
              <w:spacing w:after="0"/>
            </w:pPr>
            <w:r>
              <w:rPr>
                <w:sz w:val="19"/>
                <w:szCs w:val="19"/>
              </w:rPr>
              <w:t xml:space="preserve">Ankommen</w:t>
            </w:r>
          </w:p>
        </w:tc>
        <w:tc>
          <w:tcPr>
            <w:tcW w:type="dxa" w:w="7220"/>
            <w:tcMar>
              <w:top w:type="dxa" w:w="70"/>
              <w:left w:type="dxa" w:w="110"/>
              <w:bottom w:type="dxa" w:w="70"/>
              <w:right w:type="dxa" w:w="110"/>
            </w:tcMar>
          </w:tcPr>
          <w:p>
            <w:pPr>
              <w:spacing w:after="0"/>
            </w:pPr>
            <w:r>
              <w:rPr>
                <w:sz w:val="19"/>
                <w:szCs w:val="19"/>
              </w:rPr>
              <w:t xml:space="preserve">Laufzettel einsammeln oder durchgehen. Die offenen Fragen aus vier Blöcken an der Tafel sammeln – das ist die Tagesordnung.</w:t>
            </w:r>
          </w:p>
        </w:tc>
      </w:tr>
      <w:tr>
        <w:trPr>
          <w:tblHeader w:val="false"/>
        </w:trPr>
        <w:tc>
          <w:tcPr>
            <w:tcW w:type="dxa" w:w="820"/>
            <w:tcMar>
              <w:top w:type="dxa" w:w="70"/>
              <w:left w:type="dxa" w:w="110"/>
              <w:bottom w:type="dxa" w:w="70"/>
              <w:right w:type="dxa" w:w="110"/>
            </w:tcMar>
          </w:tcPr>
          <w:p>
            <w:pPr>
              <w:spacing w:after="0"/>
            </w:pPr>
            <w:r>
              <w:rPr>
                <w:sz w:val="19"/>
                <w:szCs w:val="19"/>
              </w:rPr>
              <w:t xml:space="preserve">10–28</w:t>
            </w:r>
          </w:p>
        </w:tc>
        <w:tc>
          <w:tcPr>
            <w:tcW w:type="dxa" w:w="1560"/>
            <w:tcMar>
              <w:top w:type="dxa" w:w="70"/>
              <w:left w:type="dxa" w:w="110"/>
              <w:bottom w:type="dxa" w:w="70"/>
              <w:right w:type="dxa" w:w="110"/>
            </w:tcMar>
          </w:tcPr>
          <w:p>
            <w:pPr>
              <w:spacing w:after="0"/>
            </w:pPr>
            <w:r>
              <w:rPr>
                <w:sz w:val="19"/>
                <w:szCs w:val="19"/>
              </w:rPr>
              <w:t xml:space="preserve">Check</w:t>
            </w:r>
          </w:p>
        </w:tc>
        <w:tc>
          <w:tcPr>
            <w:tcW w:type="dxa" w:w="7220"/>
            <w:tcMar>
              <w:top w:type="dxa" w:w="70"/>
              <w:left w:type="dxa" w:w="110"/>
              <w:bottom w:type="dxa" w:w="70"/>
              <w:right w:type="dxa" w:w="110"/>
            </w:tcMar>
          </w:tcPr>
          <w:p>
            <w:pPr>
              <w:spacing w:after="0"/>
            </w:pPr>
            <w:r>
              <w:rPr>
                <w:sz w:val="19"/>
                <w:szCs w:val="19"/>
              </w:rPr>
              <w:t xml:space="preserve">Stille Einzelarbeit, fünf Aufgaben: (a) Gegenstrang schreiben, (b) mRNA dazu, (c) mit der Codetabelle übersetzen, (d) in einem Satz sagen, was semikonservativ bedeutet, (e) begründen, warum Methylierung keine Mutation ist. Deckt alle vier Einheiten ab und zeigt in 18 min, wer gearbeitet hat.</w:t>
            </w:r>
          </w:p>
        </w:tc>
      </w:tr>
      <w:tr>
        <w:trPr>
          <w:tblHeader w:val="false"/>
        </w:trPr>
        <w:tc>
          <w:tcPr>
            <w:tcW w:type="dxa" w:w="820"/>
            <w:tcMar>
              <w:top w:type="dxa" w:w="70"/>
              <w:left w:type="dxa" w:w="110"/>
              <w:bottom w:type="dxa" w:w="70"/>
              <w:right w:type="dxa" w:w="110"/>
            </w:tcMar>
          </w:tcPr>
          <w:p>
            <w:pPr>
              <w:spacing w:after="0"/>
            </w:pPr>
            <w:r>
              <w:rPr>
                <w:sz w:val="19"/>
                <w:szCs w:val="19"/>
              </w:rPr>
              <w:t xml:space="preserve">28–48</w:t>
            </w:r>
          </w:p>
        </w:tc>
        <w:tc>
          <w:tcPr>
            <w:tcW w:type="dxa" w:w="1560"/>
            <w:tcMar>
              <w:top w:type="dxa" w:w="70"/>
              <w:left w:type="dxa" w:w="110"/>
              <w:bottom w:type="dxa" w:w="70"/>
              <w:right w:type="dxa" w:w="110"/>
            </w:tcMar>
          </w:tcPr>
          <w:p>
            <w:pPr>
              <w:spacing w:after="0"/>
            </w:pPr>
            <w:r>
              <w:rPr>
                <w:sz w:val="19"/>
                <w:szCs w:val="19"/>
              </w:rPr>
              <w:t xml:space="preserve">Auswertung</w:t>
            </w:r>
          </w:p>
        </w:tc>
        <w:tc>
          <w:tcPr>
            <w:tcW w:type="dxa" w:w="7220"/>
            <w:tcMar>
              <w:top w:type="dxa" w:w="70"/>
              <w:left w:type="dxa" w:w="110"/>
              <w:bottom w:type="dxa" w:w="70"/>
              <w:right w:type="dxa" w:w="110"/>
            </w:tcMar>
          </w:tcPr>
          <w:p>
            <w:pPr>
              <w:spacing w:after="0"/>
            </w:pPr>
            <w:r>
              <w:rPr>
                <w:sz w:val="19"/>
                <w:szCs w:val="19"/>
              </w:rPr>
              <w:t xml:space="preserve">Lösungen abgleichen. Die Fehler, die mehrfach vorkommen, gemeinsam aufarbeiten – nicht alles.</w:t>
            </w:r>
          </w:p>
        </w:tc>
      </w:tr>
      <w:tr>
        <w:trPr>
          <w:tblHeader w:val="false"/>
        </w:trPr>
        <w:tc>
          <w:tcPr>
            <w:tcW w:type="dxa" w:w="820"/>
            <w:tcMar>
              <w:top w:type="dxa" w:w="70"/>
              <w:left w:type="dxa" w:w="110"/>
              <w:bottom w:type="dxa" w:w="70"/>
              <w:right w:type="dxa" w:w="110"/>
            </w:tcMar>
          </w:tcPr>
          <w:p>
            <w:pPr>
              <w:spacing w:after="0"/>
            </w:pPr>
            <w:r>
              <w:rPr>
                <w:sz w:val="19"/>
                <w:szCs w:val="19"/>
              </w:rPr>
              <w:t xml:space="preserve">48–70</w:t>
            </w:r>
          </w:p>
        </w:tc>
        <w:tc>
          <w:tcPr>
            <w:tcW w:type="dxa" w:w="1560"/>
            <w:tcMar>
              <w:top w:type="dxa" w:w="70"/>
              <w:left w:type="dxa" w:w="110"/>
              <w:bottom w:type="dxa" w:w="70"/>
              <w:right w:type="dxa" w:w="110"/>
            </w:tcMar>
          </w:tcPr>
          <w:p>
            <w:pPr>
              <w:spacing w:after="0"/>
            </w:pPr>
            <w:r>
              <w:rPr>
                <w:sz w:val="19"/>
                <w:szCs w:val="19"/>
              </w:rPr>
              <w:t xml:space="preserve">Lücken</w:t>
            </w:r>
          </w:p>
        </w:tc>
        <w:tc>
          <w:tcPr>
            <w:tcW w:type="dxa" w:w="7220"/>
            <w:tcMar>
              <w:top w:type="dxa" w:w="70"/>
              <w:left w:type="dxa" w:w="110"/>
              <w:bottom w:type="dxa" w:w="70"/>
              <w:right w:type="dxa" w:w="110"/>
            </w:tcMar>
          </w:tcPr>
          <w:p>
            <w:pPr>
              <w:spacing w:after="0"/>
            </w:pPr>
            <w:r>
              <w:rPr>
                <w:sz w:val="19"/>
                <w:szCs w:val="19"/>
              </w:rPr>
              <w:t xml:space="preserve">Die gesammelten offenen Fragen der Reihe nach. Wer sicher ist, arbeitet an Aufgabe 5 aus Einheit 4 weiter (Schema mit den vier Steuerstellen) – das ist die Systematisierung der ganzen Sequenz.</w:t>
            </w:r>
          </w:p>
        </w:tc>
      </w:tr>
      <w:tr>
        <w:trPr>
          <w:tblHeader w:val="false"/>
        </w:trPr>
        <w:tc>
          <w:tcPr>
            <w:tcW w:type="dxa" w:w="820"/>
            <w:tcMar>
              <w:top w:type="dxa" w:w="70"/>
              <w:left w:type="dxa" w:w="110"/>
              <w:bottom w:type="dxa" w:w="70"/>
              <w:right w:type="dxa" w:w="110"/>
            </w:tcMar>
          </w:tcPr>
          <w:p>
            <w:pPr>
              <w:spacing w:after="0"/>
            </w:pPr>
            <w:r>
              <w:rPr>
                <w:sz w:val="19"/>
                <w:szCs w:val="19"/>
              </w:rPr>
              <w:t xml:space="preserve">70–86</w:t>
            </w:r>
          </w:p>
        </w:tc>
        <w:tc>
          <w:tcPr>
            <w:tcW w:type="dxa" w:w="1560"/>
            <w:tcMar>
              <w:top w:type="dxa" w:w="70"/>
              <w:left w:type="dxa" w:w="110"/>
              <w:bottom w:type="dxa" w:w="70"/>
              <w:right w:type="dxa" w:w="110"/>
            </w:tcMar>
          </w:tcPr>
          <w:p>
            <w:pPr>
              <w:spacing w:after="0"/>
            </w:pPr>
            <w:r>
              <w:rPr>
                <w:sz w:val="19"/>
                <w:szCs w:val="19"/>
              </w:rPr>
              <w:t xml:space="preserve">Einstieg</w:t>
            </w:r>
          </w:p>
        </w:tc>
        <w:tc>
          <w:tcPr>
            <w:tcW w:type="dxa" w:w="7220"/>
            <w:tcMar>
              <w:top w:type="dxa" w:w="70"/>
              <w:left w:type="dxa" w:w="110"/>
              <w:bottom w:type="dxa" w:w="70"/>
              <w:right w:type="dxa" w:w="110"/>
            </w:tcMar>
          </w:tcPr>
          <w:p>
            <w:pPr>
              <w:spacing w:after="0"/>
            </w:pPr>
            <w:r>
              <w:rPr>
                <w:sz w:val="19"/>
                <w:szCs w:val="19"/>
              </w:rPr>
              <w:t xml:space="preserve">Diffusion: Demonstration, Beobachtung, Fragestellung für Block 10. Damit ist die Membransequenz nach sieben Wochen wieder aufgenommen.</w:t>
            </w:r>
          </w:p>
        </w:tc>
      </w:tr>
      <w:tr>
        <w:trPr>
          <w:tblHeader w:val="false"/>
        </w:trPr>
        <w:tc>
          <w:tcPr>
            <w:tcW w:type="dxa" w:w="820"/>
            <w:tcMar>
              <w:top w:type="dxa" w:w="70"/>
              <w:left w:type="dxa" w:w="110"/>
              <w:bottom w:type="dxa" w:w="70"/>
              <w:right w:type="dxa" w:w="110"/>
            </w:tcMar>
          </w:tcPr>
          <w:p>
            <w:pPr>
              <w:spacing w:after="0"/>
            </w:pPr>
            <w:r>
              <w:rPr>
                <w:sz w:val="19"/>
                <w:szCs w:val="19"/>
              </w:rPr>
              <w:t xml:space="preserve">86–90</w:t>
            </w:r>
          </w:p>
        </w:tc>
        <w:tc>
          <w:tcPr>
            <w:tcW w:type="dxa" w:w="1560"/>
            <w:tcMar>
              <w:top w:type="dxa" w:w="70"/>
              <w:left w:type="dxa" w:w="110"/>
              <w:bottom w:type="dxa" w:w="70"/>
              <w:right w:type="dxa" w:w="110"/>
            </w:tcMar>
          </w:tcPr>
          <w:p>
            <w:pPr>
              <w:spacing w:after="0"/>
            </w:pPr>
            <w:r>
              <w:rPr>
                <w:sz w:val="19"/>
                <w:szCs w:val="19"/>
              </w:rPr>
              <w:t xml:space="preserve">Abschluss</w:t>
            </w:r>
          </w:p>
        </w:tc>
        <w:tc>
          <w:tcPr>
            <w:tcW w:type="dxa" w:w="7220"/>
            <w:tcMar>
              <w:top w:type="dxa" w:w="70"/>
              <w:left w:type="dxa" w:w="110"/>
              <w:bottom w:type="dxa" w:w="70"/>
              <w:right w:type="dxa" w:w="110"/>
            </w:tcMar>
          </w:tcPr>
          <w:p>
            <w:pPr>
              <w:spacing w:after="0"/>
            </w:pPr>
            <w:r>
              <w:rPr>
                <w:sz w:val="19"/>
                <w:szCs w:val="19"/>
              </w:rPr>
              <w:t xml:space="preserve">Prüfungsrelevanz benennen: Erbinformation zählt für die Klausur in der Woche 04.–08.01. Kurztest 1 am 25.11. prüft Zellbau, Membran, Osmose und Transport.</w:t>
            </w:r>
          </w:p>
        </w:tc>
      </w:tr>
    </w:tbl>
    <w:p>
      <w:pPr>
        <w:spacing w:after="110" w:before="130"/>
        <w:jc w:val="both"/>
      </w:pPr>
      <w:r>
        <w:rPr>
          <w:b/>
          <w:bCs/>
        </w:rPr>
        <w:t xml:space="preserve">Der Check ist unbewertet.</w:t>
      </w:r>
      <w:r>
        <w:t xml:space="preserve"> Er dient der Diagnose, nicht der Note. Wird er bewertet, arbeiten die SuS in den vier Wochen auf die Note statt auf das Verständnis – und wer nichts getan hat, ist zusätzlich abgestraft, obwohl die Bedingungen nicht seine Schuld waren.</w:t>
      </w:r>
    </w:p>
    <w:p>
      <w:r>
        <w:br w:type="page"/>
      </w:r>
    </w:p>
    <w:p>
      <w:pPr>
        <w:spacing w:after="90" w:before="260"/>
      </w:pPr>
      <w:r>
        <w:rPr>
          <w:b/>
          <w:bCs/>
          <w:color w:val="1F3864"/>
          <w:sz w:val="24"/>
          <w:szCs w:val="24"/>
        </w:rPr>
        <w:t xml:space="preserve">5 · Fachlicher Gehalt der vier Einheiten</w:t>
      </w:r>
    </w:p>
    <w:p>
      <w:pPr>
        <w:spacing w:after="110" w:before="0"/>
        <w:jc w:val="both"/>
      </w:pPr>
      <w:r>
        <w:t xml:space="preserve">Zum Mitlesen, falls Rückfragen kommen. Lehrplanbezug: GK 11 LB 1, „Kennen der Wechselwirkungen zwischen Speicherung und Realisierung der Erbinformation" – semikonservative Replikation (Okazaki-Fragmente), Zellkern–Gen–Transkription, Ribosom–Translation–Protein, Regulation der Genaktivität bei Eukaryoten (TATA-Box, Transkriptionsfaktoren, DNA-Methylierung). </w:t>
      </w:r>
      <w:r>
        <w:rPr>
          <w:b/>
          <w:bCs/>
        </w:rPr>
        <w:t xml:space="preserve">Mit Einheit 4 ist dieser Lehrplanabschnitt vollständig abgedeckt</w:t>
      </w:r>
      <w:r>
        <w:t xml:space="preserve"> – der Block, der im Januar dafür nötig gewesen wäre, wird frei. Methodenhinweis des Lehrplans an dieser Stelle: „Nutzung digitaler Medien zur Visualisierung".</w:t>
      </w:r>
    </w:p>
    <w:p>
      <w:pPr>
        <w:spacing w:after="70" w:before="190"/>
      </w:pPr>
      <w:r>
        <w:rPr>
          <w:b/>
          <w:bCs/>
          <w:color w:val="2E5395"/>
          <w:sz w:val="21"/>
          <w:szCs w:val="21"/>
        </w:rPr>
        <w:t xml:space="preserve">Einheit 1 · Semikonservative Replikation</w:t>
      </w:r>
    </w:p>
    <w:p>
      <w:pPr>
        <w:pStyle w:val="ListParagraph"/>
        <w:numPr>
          <w:ilvl w:val="0"/>
          <w:numId w:val="2"/>
        </w:numPr>
        <w:spacing w:after="60"/>
      </w:pPr>
      <w:r>
        <w:t xml:space="preserve">Antiparallelität, Basenpaarung, warum ein Einzelstrang die vollständige Information trägt.</w:t>
      </w:r>
    </w:p>
    <w:p>
      <w:pPr>
        <w:pStyle w:val="ListParagraph"/>
        <w:numPr>
          <w:ilvl w:val="0"/>
          <w:numId w:val="2"/>
        </w:numPr>
        <w:spacing w:after="60"/>
      </w:pPr>
      <w:r>
        <w:t xml:space="preserve">Ablauf mit Matrize und DNA-Polymerase; semikonservativ als Ergebnis, nicht als Vokabel.</w:t>
      </w:r>
    </w:p>
    <w:p>
      <w:pPr>
        <w:pStyle w:val="ListParagraph"/>
        <w:numPr>
          <w:ilvl w:val="0"/>
          <w:numId w:val="2"/>
        </w:numPr>
        <w:spacing w:after="60"/>
      </w:pPr>
      <w:r>
        <w:rPr>
          <w:b/>
          <w:bCs/>
        </w:rPr>
        <w:t xml:space="preserve">Meselson und Stahl als Befundaufgabe.</w:t>
      </w:r>
      <w:r>
        <w:t xml:space="preserve"> Drei Vorstellungen (erhaltend, halb erhaltend, zerstreuend) werden an zwei Ergebnissen geprüft. Der didaktische Kern: Das erste Ergebnis allein trennt nicht – erst das zweite. Dasselbe Auswertungsformat wie in den Blöcken 3 und 4.</w:t>
      </w:r>
    </w:p>
    <w:p>
      <w:pPr>
        <w:pStyle w:val="ListParagraph"/>
        <w:numPr>
          <w:ilvl w:val="0"/>
          <w:numId w:val="2"/>
        </w:numPr>
        <w:spacing w:after="60"/>
      </w:pPr>
      <w:r>
        <w:t xml:space="preserve">Okazaki-Fragmente als </w:t>
      </w:r>
      <w:r>
        <w:rPr>
          <w:b/>
          <w:bCs/>
        </w:rPr>
        <w:t xml:space="preserve">notwendige</w:t>
      </w:r>
      <w:r>
        <w:t xml:space="preserve"> Folge von Antiparallelität und fester Arbeitsrichtung – nicht als Panne.</w:t>
      </w:r>
    </w:p>
    <w:p>
      <w:pPr>
        <w:pStyle w:val="ListParagraph"/>
        <w:numPr>
          <w:ilvl w:val="0"/>
          <w:numId w:val="2"/>
        </w:numPr>
        <w:spacing w:after="60"/>
      </w:pPr>
      <w:r>
        <w:t xml:space="preserve">Rückbezug: Replikation im Kern, begründet über Kompartimentierung aus Block 4.</w:t>
      </w:r>
    </w:p>
    <w:p>
      <w:pPr>
        <w:spacing w:after="70" w:before="190"/>
      </w:pPr>
      <w:r>
        <w:rPr>
          <w:b/>
          <w:bCs/>
          <w:color w:val="2E5395"/>
          <w:sz w:val="21"/>
          <w:szCs w:val="21"/>
        </w:rPr>
        <w:t xml:space="preserve">Einheit 2 · Zellkern, Gen und Transkription</w:t>
      </w:r>
    </w:p>
    <w:p>
      <w:pPr>
        <w:pStyle w:val="ListParagraph"/>
        <w:numPr>
          <w:ilvl w:val="0"/>
          <w:numId w:val="2"/>
        </w:numPr>
        <w:spacing w:after="60"/>
      </w:pPr>
      <w:r>
        <w:t xml:space="preserve">Gen als Abschnitt; RNA gegen DNA in vier Punkten; Promotor, Matrizenstrang, RNA-Polymerase, U statt T.</w:t>
      </w:r>
    </w:p>
    <w:p>
      <w:pPr>
        <w:pStyle w:val="ListParagraph"/>
        <w:numPr>
          <w:ilvl w:val="0"/>
          <w:numId w:val="2"/>
        </w:numPr>
        <w:spacing w:after="60"/>
      </w:pPr>
      <w:r>
        <w:t xml:space="preserve">Leitfrage ist die Kompartimentierungsfrage: Warum eine Abschrift statt des Originals? Schutz, Mengensteuerung, geschlossenes Kompartiment.</w:t>
      </w:r>
    </w:p>
    <w:p>
      <w:pPr>
        <w:pStyle w:val="ListParagraph"/>
        <w:numPr>
          <w:ilvl w:val="0"/>
          <w:numId w:val="2"/>
        </w:numPr>
        <w:spacing w:after="60"/>
      </w:pPr>
      <w:r>
        <w:rPr>
          <w:b/>
          <w:bCs/>
        </w:rPr>
        <w:t xml:space="preserve">Die Kernpore wird als Membranprotein aus Block 4 eingeordnet</w:t>
      </w:r>
      <w:r>
        <w:t xml:space="preserve"> – durchspannend, auswählend, kein Loch. Damit hängt die Einheit direkt an der Vorstunde.</w:t>
      </w:r>
    </w:p>
    <w:p>
      <w:pPr>
        <w:pStyle w:val="ListParagraph"/>
        <w:numPr>
          <w:ilvl w:val="0"/>
          <w:numId w:val="2"/>
        </w:numPr>
        <w:spacing w:after="60"/>
      </w:pPr>
      <w:r>
        <w:t xml:space="preserve">Vergleichstabelle Replikation/Transkription; aufschlussreichste Zeile ist der Umfang.</w:t>
      </w:r>
    </w:p>
    <w:p>
      <w:pPr>
        <w:spacing w:after="70" w:before="190"/>
      </w:pPr>
      <w:r>
        <w:rPr>
          <w:b/>
          <w:bCs/>
          <w:color w:val="2E5395"/>
          <w:sz w:val="21"/>
          <w:szCs w:val="21"/>
        </w:rPr>
        <w:t xml:space="preserve">Einheit 3 · Ribosom, Translation und Protein</w:t>
      </w:r>
    </w:p>
    <w:p>
      <w:pPr>
        <w:pStyle w:val="ListParagraph"/>
        <w:numPr>
          <w:ilvl w:val="0"/>
          <w:numId w:val="2"/>
        </w:numPr>
        <w:spacing w:after="60"/>
      </w:pPr>
      <w:r>
        <w:t xml:space="preserve">Warum Tripletts – als Rechnung: 4² = 16 reicht nicht, 4³ = 64 reicht, 4⁴ wäre Verschwendung.</w:t>
      </w:r>
    </w:p>
    <w:p>
      <w:pPr>
        <w:pStyle w:val="ListParagraph"/>
        <w:numPr>
          <w:ilvl w:val="0"/>
          <w:numId w:val="2"/>
        </w:numPr>
        <w:spacing w:after="60"/>
      </w:pPr>
      <w:r>
        <w:t xml:space="preserve">Vollständige Codetabelle auf der Seite; Degeneration, Start- und Stoppcodons.</w:t>
      </w:r>
    </w:p>
    <w:p>
      <w:pPr>
        <w:pStyle w:val="ListParagraph"/>
        <w:numPr>
          <w:ilvl w:val="0"/>
          <w:numId w:val="2"/>
        </w:numPr>
        <w:spacing w:after="60"/>
      </w:pPr>
      <w:r>
        <w:t xml:space="preserve">tRNA mit Anticodon, Ribosom als Ort, Peptidbindung, Polypeptid gegen Protein.</w:t>
      </w:r>
    </w:p>
    <w:p>
      <w:pPr>
        <w:pStyle w:val="ListParagraph"/>
        <w:numPr>
          <w:ilvl w:val="0"/>
          <w:numId w:val="2"/>
        </w:numPr>
        <w:spacing w:after="60"/>
      </w:pPr>
      <w:r>
        <w:rPr>
          <w:b/>
          <w:bCs/>
        </w:rPr>
        <w:t xml:space="preserve">Drei Basenaustausche am selben Codonsatz</w:t>
      </w:r>
      <w:r>
        <w:t xml:space="preserve">: ohne Folge, Austausch, Abbruch. Zeigt die Degeneration an Daten statt an einer Definition.</w:t>
      </w:r>
    </w:p>
    <w:p>
      <w:pPr>
        <w:pStyle w:val="ListParagraph"/>
        <w:numPr>
          <w:ilvl w:val="0"/>
          <w:numId w:val="2"/>
        </w:numPr>
        <w:spacing w:after="60"/>
      </w:pPr>
      <w:r>
        <w:rPr>
          <w:b/>
          <w:bCs/>
        </w:rPr>
        <w:t xml:space="preserve">Aufgabe 5 ist der Bogenschluss</w:t>
      </w:r>
      <w:r>
        <w:t xml:space="preserve">: Weg vom Gen zum Membranprotein in fünf Schritten mit Ortsangabe. Damit ist die Frage aus Block 4 beantwortet, woher die Membranproteine kommen.</w:t>
      </w:r>
    </w:p>
    <w:p>
      <w:pPr>
        <w:spacing w:after="70" w:before="190"/>
      </w:pPr>
      <w:r>
        <w:rPr>
          <w:b/>
          <w:bCs/>
          <w:color w:val="2E5395"/>
          <w:sz w:val="21"/>
          <w:szCs w:val="21"/>
        </w:rPr>
        <w:t xml:space="preserve">Einheit 4 · Wer entscheidet, ob ein Gen abgelesen wird</w:t>
      </w:r>
    </w:p>
    <w:p>
      <w:pPr>
        <w:pStyle w:val="ListParagraph"/>
        <w:numPr>
          <w:ilvl w:val="0"/>
          <w:numId w:val="2"/>
        </w:numPr>
        <w:spacing w:after="60"/>
      </w:pPr>
      <w:r>
        <w:rPr>
          <w:b/>
          <w:bCs/>
        </w:rPr>
        <w:t xml:space="preserve">Erste 20 min Selbstdiagnose</w:t>
      </w:r>
      <w:r>
        <w:t xml:space="preserve"> über die Einheiten 1–3, sechs Punkte, mit Lösungen und einer klaren Auswertungsregel: unter drei Richtigen heute die alten Einheiten nacharbeiten statt Teil B beginnen. Das ist die einzige Stelle, an der das Material Selbstregulation einfordert.</w:t>
      </w:r>
    </w:p>
    <w:p>
      <w:pPr>
        <w:pStyle w:val="ListParagraph"/>
        <w:numPr>
          <w:ilvl w:val="0"/>
          <w:numId w:val="2"/>
        </w:numPr>
        <w:spacing w:after="60"/>
      </w:pPr>
      <w:r>
        <w:t xml:space="preserve">Leitfrage: dieselbe DNA, verschiedene Zellen. </w:t>
      </w:r>
      <w:r>
        <w:rPr>
          <w:b/>
          <w:bCs/>
        </w:rPr>
        <w:t xml:space="preserve">Das ist wörtlich der Satz aus Block 4</w:t>
      </w:r>
      <w:r>
        <w:t xml:space="preserve"> – gleicher Bauplan, verschiedene Ausstattung –, jetzt auf Zellen statt Membranen angewandt.</w:t>
      </w:r>
    </w:p>
    <w:p>
      <w:pPr>
        <w:pStyle w:val="ListParagraph"/>
        <w:numPr>
          <w:ilvl w:val="0"/>
          <w:numId w:val="2"/>
        </w:numPr>
        <w:spacing w:after="60"/>
      </w:pPr>
      <w:r>
        <w:t xml:space="preserve">TATA-Box als Präzisierung des Promotors aus Einheit 2; Transkriptionsfaktoren als aktivierend oder hemmend; der Kreis, dass Faktoren selbst Genprodukte sind und die Zelle so ihren Zustand weitergibt.</w:t>
      </w:r>
    </w:p>
    <w:p>
      <w:pPr>
        <w:pStyle w:val="ListParagraph"/>
        <w:numPr>
          <w:ilvl w:val="0"/>
          <w:numId w:val="2"/>
        </w:numPr>
        <w:spacing w:after="60"/>
      </w:pPr>
      <w:r>
        <w:t xml:space="preserve">DNA-Methylierung, Epigenom. </w:t>
      </w:r>
      <w:r>
        <w:rPr>
          <w:b/>
          <w:bCs/>
        </w:rPr>
        <w:t xml:space="preserve">Zentrale Abgrenzung: keine Mutation</w:t>
      </w:r>
      <w:r>
        <w:t xml:space="preserve"> – die Basenfolge bleibt unverändert, verglichen mit den drei Basenaustauschen aus Einheit 3.</w:t>
      </w:r>
    </w:p>
    <w:p>
      <w:pPr>
        <w:pStyle w:val="ListParagraph"/>
        <w:numPr>
          <w:ilvl w:val="0"/>
          <w:numId w:val="2"/>
        </w:numPr>
        <w:spacing w:after="60"/>
      </w:pPr>
      <w:r>
        <w:t xml:space="preserve">Aufgabe 4 verbindet es mit der Membran: zwei Zellen, ein Gen für ein Transportprotein, einmal methyliert. Aufgabe 5 ist die Systematisierung der ganzen Sequenz – vier Steuerstellen auf dem Weg DNA → Membran.</w:t>
      </w:r>
    </w:p>
    <w:p>
      <w:pPr>
        <w:spacing w:after="70" w:before="190"/>
      </w:pPr>
      <w:r>
        <w:rPr>
          <w:b/>
          <w:bCs/>
          <w:color w:val="2E5395"/>
          <w:sz w:val="21"/>
          <w:szCs w:val="21"/>
        </w:rPr>
        <w:t xml:space="preserve">Bearbeitete Fehlvorstellungen in Einheit 4</w:t>
      </w:r>
    </w:p>
    <w:p>
      <w:pPr>
        <w:pStyle w:val="ListParagraph"/>
        <w:numPr>
          <w:ilvl w:val="0"/>
          <w:numId w:val="2"/>
        </w:numPr>
        <w:spacing w:after="60"/>
      </w:pPr>
      <w:r>
        <w:t xml:space="preserve">„Verschiedene Zelltypen haben verschiedene DNA" – die häufigste Fehlvorstellung des Themas, im Quiz als Distraktor A gesetzt.</w:t>
      </w:r>
    </w:p>
    <w:p>
      <w:pPr>
        <w:pStyle w:val="ListParagraph"/>
        <w:numPr>
          <w:ilvl w:val="0"/>
          <w:numId w:val="2"/>
        </w:numPr>
        <w:spacing w:after="60"/>
      </w:pPr>
      <w:r>
        <w:t xml:space="preserve">„Methylierung ist eine Mutation" – Aufgabe 3 und Quizfrage 2.</w:t>
      </w:r>
    </w:p>
    <w:p>
      <w:pPr>
        <w:spacing w:after="70" w:before="190"/>
      </w:pPr>
      <w:r>
        <w:rPr>
          <w:b/>
          <w:bCs/>
          <w:color w:val="2E5395"/>
          <w:sz w:val="21"/>
          <w:szCs w:val="21"/>
        </w:rPr>
        <w:t xml:space="preserve">Ein Molekül durch die Einheiten</w:t>
      </w:r>
    </w:p>
    <w:p>
      <w:pPr>
        <w:spacing w:after="110" w:before="0"/>
        <w:jc w:val="both"/>
      </w:pPr>
      <w:r>
        <w:t xml:space="preserve">Die Einheiten 1 bis 3 arbeiten an demselben DNA-Abschnitt: in Einheit 1 verdoppelt, in Einheit 2 in mRNA abgeschrieben, in Einheit 3 in ein Polypeptid übersetzt. Einheit 4 fragt, wer entscheidet, ob dieser Abschnitt überhaupt abgelesen wird. Das hält die vier Wochen zusammen, obwohl niemand sie zusammenhält.</w:t>
      </w:r>
    </w:p>
    <w:p>
      <w:pPr>
        <w:spacing w:after="90" w:before="260"/>
      </w:pPr>
      <w:r>
        <w:rPr>
          <w:b/>
          <w:bCs/>
          <w:color w:val="1F3864"/>
          <w:sz w:val="24"/>
          <w:szCs w:val="24"/>
        </w:rPr>
        <w:t xml:space="preserve">6 · Datenschutz und Bewusstes</w:t>
      </w:r>
    </w:p>
    <w:p>
      <w:pPr>
        <w:pStyle w:val="ListParagraph"/>
        <w:numPr>
          <w:ilvl w:val="0"/>
          <w:numId w:val="2"/>
        </w:numPr>
        <w:spacing w:after="60"/>
      </w:pPr>
      <w:r>
        <w:rPr>
          <w:b/>
          <w:bCs/>
        </w:rPr>
        <w:t xml:space="preserve">Die Seite speichert nichts.</w:t>
      </w:r>
      <w:r>
        <w:t xml:space="preserve"> Die Häkchen liegen ausschließlich im Browser der einzelnen Person und werden nirgends übertragen. Es gibt bewusst keine Auswertung, wer was bearbeitet hat – Schülerdaten gehören nicht in ein geteiltes Dokument (`CLAUDE.md`, Abschnitt 7). Der Laufzettel im Hefter ist der Nachweis.</w:t>
      </w:r>
    </w:p>
    <w:p>
      <w:pPr>
        <w:pStyle w:val="ListParagraph"/>
        <w:numPr>
          <w:ilvl w:val="0"/>
          <w:numId w:val="2"/>
        </w:numPr>
        <w:spacing w:after="60"/>
      </w:pPr>
      <w:r>
        <w:rPr>
          <w:b/>
          <w:bCs/>
        </w:rPr>
        <w:t xml:space="preserve">Keine Arbeitsaufträge über die Stunde hinaus.</w:t>
      </w:r>
      <w:r>
        <w:t xml:space="preserve"> Die gesamte Phase liegt in der Unterrichtszeit; nichts ist zuhause zu erledigen. Der Laufzettel ist eine Mitschrift, keine Abgabe.</w:t>
      </w:r>
    </w:p>
    <w:p>
      <w:pPr>
        <w:pStyle w:val="ListParagraph"/>
        <w:numPr>
          <w:ilvl w:val="0"/>
          <w:numId w:val="2"/>
        </w:numPr>
        <w:spacing w:after="60"/>
      </w:pPr>
      <w:r>
        <w:rPr>
          <w:b/>
          <w:bCs/>
        </w:rPr>
        <w:t xml:space="preserve">Der Laufzettel hat Ankreuzfelder</w:t>
      </w:r>
      <w:r>
        <w:t xml:space="preserve"> und weicht damit von der Regel ab, dass Schülermaterial keine Ausfüllkästen enthält. Bewusste Ausnahme: Er ist kein Arbeitsblatt, sondern das einzige Verbindlichkeitsinstrument der Phase, und er kostet eine Seite. Die Aufgaben selbst werden im Hefter bearbeitet.</w:t>
      </w:r>
    </w:p>
    <w:p>
      <w:pPr>
        <w:spacing w:after="90" w:before="260"/>
      </w:pPr>
      <w:r>
        <w:rPr>
          <w:b/>
          <w:bCs/>
          <w:color w:val="1F3864"/>
          <w:sz w:val="24"/>
          <w:szCs w:val="24"/>
        </w:rPr>
        <w:t xml:space="preserve">7 · Offene Punkte</w:t>
      </w:r>
    </w:p>
    <w:p>
      <w:pPr>
        <w:pStyle w:val="ListParagraph"/>
        <w:numPr>
          <w:ilvl w:val="0"/>
          <w:numId w:val="2"/>
        </w:numPr>
        <w:spacing w:after="60"/>
      </w:pPr>
      <w:r>
        <w:rPr>
          <w:b/>
          <w:bCs/>
        </w:rPr>
        <w:t xml:space="preserve">Wochentag der Klausur fehlt noch.</w:t>
      </w:r>
      <w:r>
        <w:t xml:space="preserve"> Der Termin liegt in der Woche 04.–08.01.2027, der Wochentag ist aus dem Jahresplan nicht sicher lesbar. Der Plan trägt in beiden Fällen: Fällt die Klausur auf Mi 06.01., ist das der Klausurblock; fällt sie auf einen anderen Tag, ist der 06.01. ein zusätzlicher Unterrichtsblock. Bitte bei Stefanie erfragen und mir sagen.</w:t>
      </w:r>
    </w:p>
    <w:p>
      <w:pPr>
        <w:pStyle w:val="ListParagraph"/>
        <w:numPr>
          <w:ilvl w:val="0"/>
          <w:numId w:val="2"/>
        </w:numPr>
        <w:spacing w:after="60"/>
      </w:pPr>
      <w:r>
        <w:rPr>
          <w:b/>
          <w:bCs/>
        </w:rPr>
        <w:t xml:space="preserve">Der 09.12. ist der letzte Block vor der Klausur</w:t>
      </w:r>
      <w:r>
        <w:t xml:space="preserve"> – dort liegt die gesamte Systematisierung und Klausurvorbereitung, weil der 16.12. Pulsarwoche ist und danach die Ferien kommen. Fällt der 09.12. aus, geht die Klausur unvorbereitet ins Rennen. Diesen Termin bitte schützen.</w:t>
      </w:r>
    </w:p>
    <w:p>
      <w:pPr>
        <w:pStyle w:val="ListParagraph"/>
        <w:numPr>
          <w:ilvl w:val="0"/>
          <w:numId w:val="2"/>
        </w:numPr>
        <w:spacing w:after="60"/>
      </w:pPr>
      <w:r>
        <w:rPr>
          <w:b/>
          <w:bCs/>
        </w:rPr>
        <w:t xml:space="preserve">Klausuren der Klasse 11 in den Selbstlernwochen:</w:t>
      </w:r>
      <w:r>
        <w:t xml:space="preserve"> am 23.09. 11 LK Deutsch und 11 LK Mathe, in der Woche 05.–09.10. 11 LK Bio, 11 LK Kunst, 11 LK Englisch. Teile des Kurses können gebunden sein. Die Seite ist asynchron und nachholbar – am 09.09. sagen, dass eine versäumte Einheit nachzuarbeiten ist.</w:t>
      </w:r>
    </w:p>
    <w:p>
      <w:pPr>
        <w:pStyle w:val="ListParagraph"/>
        <w:numPr>
          <w:ilvl w:val="0"/>
          <w:numId w:val="2"/>
        </w:numPr>
        <w:spacing w:after="60"/>
      </w:pPr>
      <w:r>
        <w:rPr>
          <w:b/>
          <w:bCs/>
        </w:rPr>
        <w:t xml:space="preserve">Chemie-Vorleistung</w:t>
      </w:r>
      <w:r>
        <w:t xml:space="preserve"> (CH Kl. 10 LB 2) fehlt weiter; relevant ab dem 04.11. (Osmose). Vor der Abwesenheit mit der Chemie abstimmen.</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jc w:val="right"/>
    </w:pPr>
    <w:r>
      <w:rPr>
        <w:color w:val="808080"/>
        <w:sz w:val="16"/>
        <w:szCs w:val="16"/>
      </w:rPr>
      <w:t xml:space="preserve">Handreichung · Selbstlernphase   </w:t>
    </w:r>
    <w:r>
      <w:rPr>
        <w:color w:val="808080"/>
        <w:sz w:val="16"/>
        <w:szCs w:val="16"/>
      </w:rPr>
      <w:fldChar w:fldCharType="begin"/>
      <w:instrText xml:space="preserve">PAGE</w:instrText>
      <w:fldChar w:fldCharType="separate"/>
      <w:fldChar w:fldCharType="end"/>
    </w:r>
    <w:r>
      <w:rPr>
        <w:color w:val="808080"/>
        <w:sz w:val="16"/>
        <w:szCs w:val="16"/>
      </w:rPr>
      <w:t xml:space="preserve"> /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68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00"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2026-09-08T20:04:23.541Z</dcterms:created>
  <dcterms:modified xsi:type="dcterms:W3CDTF">2026-09-08T20:04:23.541Z</dcterms:modified>
</cp:coreProperties>
</file>

<file path=docProps/custom.xml><?xml version="1.0" encoding="utf-8"?>
<Properties xmlns="http://schemas.openxmlformats.org/officeDocument/2006/custom-properties" xmlns:vt="http://schemas.openxmlformats.org/officeDocument/2006/docPropsVTypes"/>
</file>