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petechpartners.com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Website Revision Punchlist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Based on feedback from Tim  |  Prepared for Replit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HOMEPAGE — Hero Section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redundant logo/text overlay from center of hero image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company name already appears in the nav bar. Remove the centered overlay text to declutter the hero.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the hero overlay text to the main headline 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the descriptive text that was in the center overlay and use it as the hero headline/subheadline instead.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tagline to “Strategic IT Solutions”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hero headline to read “Strategic IT Solutions” for clarity on the IT/tech focus.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“Open Classified Tech Brief” CTA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only one CTA. The dual buttons create confusion. Remove this one and keep “Secure a Strategic Debrief.”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renaming “Secure a Strategic Debrief”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name may not be immediately clear to outsiders. Consider a plainer name if conversion is low. Test and iterate.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HOMEPAGE — Content Blocks &amp; Spacing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white space in the second content block by ~50%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the top and bottom padding/margin roughly in half. Keep some breathing room but reduce excessive scroll.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section title/header to the “challenges” content block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only block without a heading. Add a title like “The Problems You’re Facing” or similar so visitors instantly know the context.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business outcomes to the “security holes” bullet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Instead of just “security holes everywhere,” state the business consequence (e.g., deal risk, compliance failure, data exposure).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white space in the tools/platforms section to match other blocks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spacing here is noticeably larger than other content blocks. Make it consistent.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“Locked Down &amp; Compliant” to a business outcome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“What Winning Looks Like” section, reframe this as the business result of being compliant (e.g., “Deal-Ready Security” or “Compliance That Closes Deals”).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HOMEPAGE — Calls to Action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ONE primary CTA throughout the homepage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alternate CTA buttons. Stick to a single, consistent call to action across the entire page.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explainer text below every CTA instance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“No cost, no pressure, high clarity” line works well. Include it beneath every CTA button placement.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CTA button every other content block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the CTA only appears at top and bottom. Insert it roughly every 2 content blocks so visitors never have to scroll far to take action.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HOMEPAGE — Credibility &amp; Social Proof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testimonials near the “Why Us” 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client testimonials right before or after the “Why Us” block. This is the ideal location for social proof.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“Software We Know” content block with platform logos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logos for DealCloud, Affinity, PitchBook, VDRs, etc. Builds instant credibility with PE firms that use these tools.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any relevant certifications or badges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certifications exist for DealCloud, Affinity, etc., display those badges. If not, skip for now.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HOMEPAGE — Process Page Cross-Links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links/teasers on homepage that drive to the Our Process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“How to Fix It” section (or similar), add a brief reference to the process and a link to the full Our Process page.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TESTIMONIALS PAGE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 CTA consistent with the homepage CTA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this page has a different CTA label than the homepage. Use the exact same button text and link everywhere.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OUR PROCESS PAGE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primary CTA in multiple locations on this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CTA doesn’t appear often enough. Insert it in several places throughout the page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 CTA label consistent with homepage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page uses “free 30-minute strategy call.” Match it to whatever the final CTA name is across the site.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3A5C" w:sz="6"/>
              <w:right w:val="none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SITEWIDE — Consistency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60"/>
        <w:gridCol w:w="900"/>
        <w:gridCol w:w="2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 the CTA name across every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the CTA is called different things on different pages: “Secure a Strategic Debrief,” “free 30-min strategy call,” “Storm the Data Room.” Pick ONE name and use it everywhere.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or replace “Storm the Data Room”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label in the nav/header links to the strategic debrief booking. Make it match the chosen CTA name for clarity.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CTA explainer text appears below every CTA button sitewide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“No cost, no pressure, high clarity” subtext should follow every CTA button on every page.</w:t>
            </w:r>
          </w:p>
        </w:tc>
      </w:tr>
    </w:tbl>
    <w:p>
      <w:pPr>
        <w:spacing w:after="400"/>
      </w:pPr>
    </w:p>
    <w:p>
      <w:pPr>
        <w:pStyle w:val="Heading2"/>
        <w:spacing w:after="160" w:before="200"/>
      </w:pPr>
      <w:r>
        <w:rPr>
          <w:rFonts w:ascii="Arial" w:cs="Arial" w:eastAsia="Arial" w:hAnsi="Arial"/>
        </w:rPr>
        <w:t xml:space="preserve">Summary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Recommended approach: Start with all HIGH priority items first, then MEDIUM, then LOW. The CTA consistency items (#21–22) are the highest-impact changes since they affect every page.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PE-Tech-Partners Website Punchlist</w:t>
    </w:r>
    <w:r>
      <w:rPr>
        <w:rFonts w:ascii="Arial" w:cs="Arial" w:eastAsia="Arial" w:hAnsi="Arial"/>
        <w:color w:val="888888"/>
        <w:sz w:val="18"/>
        <w:szCs w:val="18"/>
      </w:rPr>
      <w:t xml:space="preserve">	March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2026-03-02T18:18:01.388Z</dcterms:created>
  <dcterms:modified xsi:type="dcterms:W3CDTF">2026-03-02T18:18:01.389Z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